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FTitle"/>
      </w:pPr>
      <w:r>
        <w:t>Shure.Fund</w:t>
      </w:r>
    </w:p>
    <w:p>
      <w:pPr>
        <w:pStyle w:val="SFSubtitle"/>
      </w:pPr>
      <w:r>
        <w:t>Single Source of Truth v2 — Deployable MVP Build Specification</w:t>
      </w:r>
    </w:p>
    <w:p>
      <w:pPr/>
      <w:r>
        <w:rPr>
          <w:b/>
        </w:rPr>
        <w:t xml:space="preserve">Purpose: </w:t>
      </w:r>
      <w:r>
        <w:t>This document is the governing build specification for the Shure.Fund MVP. It is written to let human builders and coding agents implement, extend, test, and refine the application from one current source of truth.</w:t>
      </w:r>
    </w:p>
    <w:p>
      <w:pPr>
        <w:pStyle w:val="SFCallout"/>
      </w:pPr>
      <w:r>
        <w:rPr>
          <w:b/>
        </w:rPr>
        <w:t xml:space="preserve">Confirmed product direction. </w:t>
      </w:r>
      <w:r>
        <w:t>Responsive web application with strong mobile usability; internal users first; evidence supports both files and structured forms/checklists; stage-level amount tracking is required; a synthetic bank account and ledger must simulate money moving through the platform; full regulatory-grade auditability is required from day one.</w:t>
      </w:r>
    </w:p>
    <w:tbl>
      <w:tblPr>
        <w:tblStyle w:val="TableGrid"/>
        <w:tblW w:type="auto" w:w="0"/>
        <w:jc w:val="center"/>
        <w:tblLook w:firstColumn="1" w:firstRow="1" w:lastColumn="0" w:lastRow="0" w:noHBand="0" w:noVBand="1" w:val="04A0"/>
      </w:tblPr>
      <w:tblGrid>
        <w:gridCol w:w="2880"/>
        <w:gridCol w:w="7056"/>
      </w:tblGrid>
      <w:tr>
        <w:trPr>
          <w:tblHeader w:val="true"/>
        </w:trPr>
        <w:tc>
          <w:tcPr>
            <w:tcW w:type="dxa" w:w="4968"/>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9"/>
              </w:rPr>
              <w:t>Decision</w:t>
            </w:r>
          </w:p>
        </w:tc>
        <w:tc>
          <w:tcPr>
            <w:tcW w:type="dxa" w:w="4968"/>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9"/>
              </w:rPr>
              <w:t>Locked MVP direction</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9"/>
              </w:rPr>
              <w:t>Product posture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9"/>
              </w:rPr>
              <w:t>Control-first construction funding platform</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9"/>
              </w:rPr>
              <w:t>MVP delivery mode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9"/>
              </w:rPr>
              <w:t>Responsive web app with mobile-capable workflows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9"/>
              </w:rPr>
              <w:t>Primary users</w:t>
            </w:r>
          </w:p>
        </w:tc>
        <w:tc>
          <w:tcPr>
            <w:tcW w:type="dxa" w:w="4968"/>
            <w:vAlign w:val="center"/>
            <w:tcMar>
              <w:top w:w="80" w:type="dxa"/>
              <w:start w:w="120" w:type="dxa"/>
              <w:bottom w:w="80" w:type="dxa"/>
              <w:end w:w="120" w:type="dxa"/>
            </w:tcMar>
          </w:tcPr>
          <w:p>
            <w:pPr>
              <w:spacing w:after="40" w:before="20" w:line="252" w:lineRule="auto"/>
            </w:pPr>
            <w:r>
              <w:rPr>
                <w:rFonts w:ascii="Aptos" w:hAnsi="Aptos"/>
                <w:sz w:val="19"/>
              </w:rPr>
              <w:t>Internal operating team, with architecture ready for external users later</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9"/>
              </w:rPr>
              <w:t>Money model</w:t>
            </w:r>
          </w:p>
        </w:tc>
        <w:tc>
          <w:tcPr>
            <w:tcW w:type="dxa" w:w="4968"/>
            <w:vAlign w:val="center"/>
            <w:tcMar>
              <w:top w:w="80" w:type="dxa"/>
              <w:start w:w="120" w:type="dxa"/>
              <w:bottom w:w="80" w:type="dxa"/>
              <w:end w:w="120" w:type="dxa"/>
            </w:tcMar>
          </w:tcPr>
          <w:p>
            <w:pPr>
              <w:spacing w:after="40" w:before="20" w:line="252" w:lineRule="auto"/>
            </w:pPr>
            <w:r>
              <w:rPr>
                <w:rFonts w:ascii="Aptos" w:hAnsi="Aptos"/>
                <w:sz w:val="19"/>
              </w:rPr>
              <w:t>Ringfenced project funding plus synthetic bank and stage allocations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9"/>
              </w:rPr>
              <w:t>Audit standard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9"/>
              </w:rPr>
              <w:t>Full regulatory-grade immutable event trail</w:t>
            </w:r>
          </w:p>
        </w:tc>
      </w:tr>
    </w:tbl>
    <w:p>
      <w:pPr/>
    </w:p>
    <w:p>
      <w:pPr>
        <w:pStyle w:val="SFSmall"/>
      </w:pPr>
      <w:r>
        <w:rPr>
          <w:b/>
        </w:rPr>
        <w:t xml:space="preserve">Repository recommendation: </w:t>
      </w:r>
      <w:r>
        <w:t>/docs/ShureFund_Single_Source_of_Truth_v2.docx plus a synced Markdown companion for agent execution.</w:t>
      </w:r>
    </w:p>
    <w:p>
      <w:pPr>
        <w:pStyle w:val="Heading1"/>
      </w:pPr>
      <w:r>
        <w:t>1. Product Mandate</w:t>
      </w:r>
    </w:p>
    <w:p>
      <w:pPr/>
      <w:r>
        <w:t>Shure.Fund must operate as a governed financial operating system for construction, linking available funds, delivery evidence, contractual stages, approval authority, and payment release into one explainable control chain.</w:t>
      </w:r>
    </w:p>
    <w:p>
      <w:pPr>
        <w:ind w:left="288" w:hanging="216"/>
      </w:pPr>
      <w:r>
        <w:rPr>
          <w:b/>
          <w:color w:val="24787A"/>
        </w:rPr>
        <w:t xml:space="preserve">• </w:t>
      </w:r>
      <w:r>
        <w:t>Funds must be visible, ringfenced, and allocable before work on a funded stage is permitted.</w:t>
      </w:r>
    </w:p>
    <w:p>
      <w:pPr>
        <w:ind w:left="288" w:hanging="216"/>
      </w:pPr>
      <w:r>
        <w:rPr>
          <w:b/>
          <w:color w:val="24787A"/>
        </w:rPr>
        <w:t xml:space="preserve">• </w:t>
      </w:r>
      <w:r>
        <w:t>Contract value must be structured into stages or nodes with amount, prerequisites, and release conditions.</w:t>
      </w:r>
    </w:p>
    <w:p>
      <w:pPr>
        <w:ind w:left="288" w:hanging="216"/>
      </w:pPr>
      <w:r>
        <w:rPr>
          <w:b/>
          <w:color w:val="24787A"/>
        </w:rPr>
        <w:t xml:space="preserve">• </w:t>
      </w:r>
      <w:r>
        <w:t>Evidence and structured attestations must prove completion, compliance, or progress before approval is advanced.</w:t>
      </w:r>
    </w:p>
    <w:p>
      <w:pPr>
        <w:ind w:left="288" w:hanging="216"/>
      </w:pPr>
      <w:r>
        <w:rPr>
          <w:b/>
          <w:color w:val="24787A"/>
        </w:rPr>
        <w:t xml:space="preserve">• </w:t>
      </w:r>
      <w:r>
        <w:t>Approved and undisputed value becomes releasable subject to treasury authority and funding sufficiency.</w:t>
      </w:r>
    </w:p>
    <w:p>
      <w:pPr>
        <w:ind w:left="288" w:hanging="216"/>
      </w:pPr>
      <w:r>
        <w:rPr>
          <w:b/>
          <w:color w:val="24787A"/>
        </w:rPr>
        <w:t xml:space="preserve">• </w:t>
      </w:r>
      <w:r>
        <w:t>Disputed value is frozen in isolation; the application records and segregates the issue but does not arbitrate it.</w:t>
      </w:r>
    </w:p>
    <w:p>
      <w:pPr>
        <w:ind w:left="288" w:hanging="216"/>
      </w:pPr>
      <w:r>
        <w:rPr>
          <w:b/>
          <w:color w:val="24787A"/>
        </w:rPr>
        <w:t xml:space="preserve">• </w:t>
      </w:r>
      <w:r>
        <w:t>Variations must be separately approved, funded, and activated before they affect stage value or release logic.</w:t>
      </w:r>
    </w:p>
    <w:p>
      <w:pPr>
        <w:ind w:left="288" w:hanging="216"/>
      </w:pPr>
      <w:r>
        <w:rPr>
          <w:b/>
          <w:color w:val="24787A"/>
        </w:rPr>
        <w:t xml:space="preserve">• </w:t>
      </w:r>
      <w:r>
        <w:t>Every material action must create an immutable audit event containing actor, role, timestamp, before/after state, and reason.</w:t>
      </w:r>
    </w:p>
    <w:p>
      <w:pPr>
        <w:pStyle w:val="Heading1"/>
      </w:pPr>
      <w:r>
        <w:t>2. MVP Scope Boundary</w:t>
      </w:r>
    </w:p>
    <w:p>
      <w:pPr/>
      <w:r>
        <w:t>The MVP is intentionally narrow enough to deploy credibly and broad enough to demonstrate real operating value.</w:t>
      </w:r>
    </w:p>
    <w:p>
      <w:pPr>
        <w:pStyle w:val="Heading2"/>
      </w:pPr>
      <w:r>
        <w:t>In scope</w:t>
      </w:r>
    </w:p>
    <w:p>
      <w:pPr>
        <w:ind w:left="288" w:hanging="216"/>
      </w:pPr>
      <w:r>
        <w:rPr>
          <w:b/>
          <w:color w:val="24787A"/>
        </w:rPr>
        <w:t xml:space="preserve">• </w:t>
      </w:r>
      <w:r>
        <w:t>Organisation setup, role assignment, project creation, contract creation, stage configuration, and funding configuration.</w:t>
      </w:r>
    </w:p>
    <w:p>
      <w:pPr>
        <w:ind w:left="288" w:hanging="216"/>
      </w:pPr>
      <w:r>
        <w:rPr>
          <w:b/>
          <w:color w:val="24787A"/>
        </w:rPr>
        <w:t xml:space="preserve">• </w:t>
      </w:r>
      <w:r>
        <w:t>Funding dashboard showing ringfenced funds, required cover, reserve buffer, releasable value, frozen value, and gaps.</w:t>
      </w:r>
    </w:p>
    <w:p>
      <w:pPr>
        <w:ind w:left="288" w:hanging="216"/>
      </w:pPr>
      <w:r>
        <w:rPr>
          <w:b/>
          <w:color w:val="24787A"/>
        </w:rPr>
        <w:t xml:space="preserve">• </w:t>
      </w:r>
      <w:r>
        <w:t>Synthetic bank account and ledger that allow nominal deposits, allocations, freezes, releases, reversals, and reconciliations.</w:t>
      </w:r>
    </w:p>
    <w:p>
      <w:pPr>
        <w:ind w:left="288" w:hanging="216"/>
      </w:pPr>
      <w:r>
        <w:rPr>
          <w:b/>
          <w:color w:val="24787A"/>
        </w:rPr>
        <w:t xml:space="preserve">• </w:t>
      </w:r>
      <w:r>
        <w:t>Evidence capture using both file upload and structured inputs such as ticklists, forms, declarations, and completion fields.</w:t>
      </w:r>
    </w:p>
    <w:p>
      <w:pPr>
        <w:ind w:left="288" w:hanging="216"/>
      </w:pPr>
      <w:r>
        <w:rPr>
          <w:b/>
          <w:color w:val="24787A"/>
        </w:rPr>
        <w:t xml:space="preserve">• </w:t>
      </w:r>
      <w:r>
        <w:t>Approval workflow spanning professional assurance, commercial approval, and treasury release.</w:t>
      </w:r>
    </w:p>
    <w:p>
      <w:pPr>
        <w:ind w:left="288" w:hanging="216"/>
      </w:pPr>
      <w:r>
        <w:rPr>
          <w:b/>
          <w:color w:val="24787A"/>
        </w:rPr>
        <w:t xml:space="preserve">• </w:t>
      </w:r>
      <w:r>
        <w:t>Action queue, release-decision reasoning, exceptions handling, and full audit log.</w:t>
      </w:r>
    </w:p>
    <w:p>
      <w:pPr>
        <w:pStyle w:val="Heading2"/>
      </w:pPr>
      <w:r>
        <w:t>Out of scope for MVP</w:t>
      </w:r>
    </w:p>
    <w:p>
      <w:pPr>
        <w:ind w:left="288" w:hanging="216"/>
      </w:pPr>
      <w:r>
        <w:rPr>
          <w:b/>
          <w:color w:val="24787A"/>
        </w:rPr>
        <w:t xml:space="preserve">• </w:t>
      </w:r>
      <w:r>
        <w:t>Live banking or trust-account integrations.</w:t>
      </w:r>
    </w:p>
    <w:p>
      <w:pPr>
        <w:ind w:left="288" w:hanging="216"/>
      </w:pPr>
      <w:r>
        <w:rPr>
          <w:b/>
          <w:color w:val="24787A"/>
        </w:rPr>
        <w:t xml:space="preserve">• </w:t>
      </w:r>
      <w:r>
        <w:t>External customer and contractor self-service portals as first-class products.</w:t>
      </w:r>
    </w:p>
    <w:p>
      <w:pPr>
        <w:ind w:left="288" w:hanging="216"/>
      </w:pPr>
      <w:r>
        <w:rPr>
          <w:b/>
          <w:color w:val="24787A"/>
        </w:rPr>
        <w:t xml:space="preserve">• </w:t>
      </w:r>
      <w:r>
        <w:t>Complex document generation packs beyond essential exports and receipts.</w:t>
      </w:r>
    </w:p>
    <w:p>
      <w:pPr>
        <w:ind w:left="288" w:hanging="216"/>
      </w:pPr>
      <w:r>
        <w:rPr>
          <w:b/>
          <w:color w:val="24787A"/>
        </w:rPr>
        <w:t xml:space="preserve">• </w:t>
      </w:r>
      <w:r>
        <w:t>Native mobile applications; the MVP must instead provide excellent mobile browser workflows.</w:t>
      </w:r>
    </w:p>
    <w:p>
      <w:pPr>
        <w:pStyle w:val="Heading1"/>
      </w:pPr>
      <w:r>
        <w:t>3. UX and Device Strategy</w:t>
      </w:r>
    </w:p>
    <w:p>
      <w:pPr/>
      <w:r>
        <w:t>The MVP is a responsive web product, but it must behave well on phones because some operators will manage core workflows from mobile devices.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Area</w:t>
            </w:r>
          </w:p>
        </w:tc>
        <w:tc>
          <w:tcPr>
            <w:tcW w:type="dxa" w:w="3312"/>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Desktop / tablet expectation</w:t>
            </w:r>
          </w:p>
        </w:tc>
        <w:tc>
          <w:tcPr>
            <w:tcW w:type="dxa" w:w="3312"/>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Phone expectation</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Dashboard</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Multi-card overview with richer context, filters, drill-ins</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Single-column card stack; no horizontal scrolling for core views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Evidence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Upload, review history, side-by-side detail</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Tap-first submission flow with camera/file support and structured forms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Approvals</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Panel-driven review with notes and comparisons</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Fast approve/reject/request-more actions with prominent blockers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Action queue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Grouped queue and sorting controls</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Priority-first compact cards with sticky filters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Audit</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Searchable event table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Timeline cards with concise reason summaries</w:t>
            </w:r>
          </w:p>
        </w:tc>
      </w:tr>
    </w:tbl>
    <w:p>
      <w:pPr>
        <w:pStyle w:val="Heading1"/>
      </w:pPr>
      <w:r>
        <w:t>4. User and Authority Model</w:t>
      </w:r>
    </w:p>
    <w:p>
      <w:pPr/>
      <w:r>
        <w:t>MVP users are internal first. The architecture must still anticipate future external participants without requiring a model rewrite.</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Role</w:t>
            </w:r>
          </w:p>
        </w:tc>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Primary responsibility</w:t>
            </w:r>
          </w:p>
        </w:tc>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Key permissions</w:t>
            </w:r>
          </w:p>
        </w:tc>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Override rights</w:t>
            </w:r>
          </w:p>
        </w:tc>
      </w:tr>
      <w:tr>
        <w:tc>
          <w:tcPr>
            <w:tcW w:type="dxa" w:w="2484"/>
            <w:vAlign w:val="center"/>
            <w:tcMar>
              <w:top w:w="80" w:type="dxa"/>
              <w:start w:w="120" w:type="dxa"/>
              <w:bottom w:w="80" w:type="dxa"/>
              <w:end w:w="120" w:type="dxa"/>
            </w:tcMar>
            <w:shd w:fill="F7FAFC"/>
          </w:tcPr>
          <w:p>
            <w:pPr>
              <w:spacing w:after="40" w:before="20" w:line="252" w:lineRule="auto"/>
            </w:pPr>
            <w:r>
              <w:rPr>
                <w:rFonts w:ascii="Aptos" w:hAnsi="Aptos"/>
                <w:sz w:val="18"/>
              </w:rPr>
              <w:t>Operations admin</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Platform and project setup</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Create projects, contracts, users, control rules, and views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None over treasury release</w:t>
            </w:r>
          </w:p>
        </w:tc>
      </w:tr>
      <w:tr>
        <w:tc>
          <w:tcPr>
            <w:tcW w:type="dxa" w:w="2484"/>
            <w:vAlign w:val="center"/>
            <w:tcMar>
              <w:top w:w="80" w:type="dxa"/>
              <w:start w:w="120" w:type="dxa"/>
              <w:bottom w:w="80" w:type="dxa"/>
              <w:end w:w="120" w:type="dxa"/>
            </w:tcMar>
            <w:shd w:fill="F7FAFC"/>
          </w:tcPr>
          <w:p>
            <w:pPr>
              <w:spacing w:after="40" w:before="20" w:line="252" w:lineRule="auto"/>
            </w:pPr>
            <w:r>
              <w:rPr>
                <w:rFonts w:ascii="Aptos" w:hAnsi="Aptos"/>
                <w:sz w:val="18"/>
              </w:rPr>
              <w:t>Delivery coordinator</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Manage work progress and evidence flow</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Submit evidence, update structured forms, respond to requests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None</w:t>
            </w:r>
          </w:p>
        </w:tc>
      </w:tr>
      <w:tr>
        <w:tc>
          <w:tcPr>
            <w:tcW w:type="dxa" w:w="2484"/>
            <w:vAlign w:val="center"/>
            <w:tcMar>
              <w:top w:w="80" w:type="dxa"/>
              <w:start w:w="120" w:type="dxa"/>
              <w:bottom w:w="80" w:type="dxa"/>
              <w:end w:w="120" w:type="dxa"/>
            </w:tcMar>
            <w:shd w:fill="F7FAFC"/>
          </w:tcPr>
          <w:p>
            <w:pPr>
              <w:spacing w:after="40" w:before="20" w:line="252" w:lineRule="auto"/>
            </w:pPr>
            <w:r>
              <w:rPr>
                <w:rFonts w:ascii="Aptos" w:hAnsi="Aptos"/>
                <w:sz w:val="18"/>
              </w:rPr>
              <w:t>Professional assurance</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Technical / compliance validation</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Certify evidence and stage completion status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No release override</w:t>
            </w:r>
          </w:p>
        </w:tc>
      </w:tr>
      <w:tr>
        <w:tc>
          <w:tcPr>
            <w:tcW w:type="dxa" w:w="2484"/>
            <w:vAlign w:val="center"/>
            <w:tcMar>
              <w:top w:w="80" w:type="dxa"/>
              <w:start w:w="120" w:type="dxa"/>
              <w:bottom w:w="80" w:type="dxa"/>
              <w:end w:w="120" w:type="dxa"/>
            </w:tcMar>
            <w:shd w:fill="F7FAFC"/>
          </w:tcPr>
          <w:p>
            <w:pPr>
              <w:spacing w:after="40" w:before="20" w:line="252" w:lineRule="auto"/>
            </w:pPr>
            <w:r>
              <w:rPr>
                <w:rFonts w:ascii="Aptos" w:hAnsi="Aptos"/>
                <w:sz w:val="18"/>
              </w:rPr>
              <w:t>Commercial approver</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Approve amounts and payable value</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Approve or adjust stage values; open disputes; request evidence</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Limited conditional override with reason</w:t>
            </w:r>
          </w:p>
        </w:tc>
      </w:tr>
      <w:tr>
        <w:tc>
          <w:tcPr>
            <w:tcW w:type="dxa" w:w="2484"/>
            <w:vAlign w:val="center"/>
            <w:tcMar>
              <w:top w:w="80" w:type="dxa"/>
              <w:start w:w="120" w:type="dxa"/>
              <w:bottom w:w="80" w:type="dxa"/>
              <w:end w:w="120" w:type="dxa"/>
            </w:tcMar>
            <w:shd w:fill="F7FAFC"/>
          </w:tcPr>
          <w:p>
            <w:pPr>
              <w:spacing w:after="40" w:before="20" w:line="252" w:lineRule="auto"/>
            </w:pPr>
            <w:r>
              <w:rPr>
                <w:rFonts w:ascii="Aptos" w:hAnsi="Aptos"/>
                <w:sz w:val="18"/>
              </w:rPr>
              <w:t>Treasury controller</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Release or hold funds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Release approved value, freeze amounts, reverse synthetic entries, reconcile ledger</w:t>
            </w:r>
          </w:p>
        </w:tc>
        <w:tc>
          <w:tcPr>
            <w:tcW w:type="dxa" w:w="2484"/>
            <w:vAlign w:val="center"/>
            <w:tcMar>
              <w:top w:w="80" w:type="dxa"/>
              <w:start w:w="120" w:type="dxa"/>
              <w:bottom w:w="80" w:type="dxa"/>
              <w:end w:w="120" w:type="dxa"/>
            </w:tcMar>
          </w:tcPr>
          <w:p>
            <w:pPr>
              <w:spacing w:after="40" w:before="20" w:line="252" w:lineRule="auto"/>
            </w:pPr>
            <w:r>
              <w:rPr>
                <w:rFonts w:ascii="Aptos" w:hAnsi="Aptos"/>
                <w:sz w:val="18"/>
              </w:rPr>
              <w:t>Explicit override with mandatory reason and dual logging</w:t>
            </w:r>
          </w:p>
        </w:tc>
      </w:tr>
    </w:tbl>
    <w:p>
      <w:pPr>
        <w:pStyle w:val="Heading1"/>
      </w:pPr>
      <w:r>
        <w:t>5. Core Domain Model</w:t>
      </w:r>
    </w:p>
    <w:p>
      <w:pPr/>
      <w:r>
        <w:t>The following entities should exist as first-class application concepts rather than being hidden inside UI-only state.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Entity</w:t>
            </w:r>
          </w:p>
        </w:tc>
        <w:tc>
          <w:tcPr>
            <w:tcW w:type="dxa" w:w="4968"/>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Minimum fields / purpose</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Organisation</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Identity, settings, control defaults, branding, risk posture, audit retention rules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Project</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Project metadata, funder links, reserve model, funding position, status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Contract</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Counterparties, contract value, stage framework, governing rules, permitted variations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Stage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Planned value, approved value, disputed value, releasable value, evidence state, approval state, funding status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Evidence item</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File or structured record, submitter, schema version, review state, notes, linked stage</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Structured evidence response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Checklist or form answers, typed fields, attestations, signatures, timestamps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Approval record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Role, amount decision, rationale, conditions, signed timestamp</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Dispute record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Affected amount, issue summary, opened by, frozen value, resolution outcome</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Variation record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Requested change, amount effect, funding requirement, approval state, activation status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Funding account</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Synthetic bank or sub-account, available balance, restricted balance, reference identifiers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Ledger entry</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Deposit, allocation, hold, release, freeze, reversal, reconciliation adjustment</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Audit event</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Immutable record of every material state change or decision</w:t>
            </w:r>
          </w:p>
        </w:tc>
      </w:tr>
    </w:tbl>
    <w:p>
      <w:pPr>
        <w:pStyle w:val="Heading1"/>
      </w:pPr>
      <w:r>
        <w:t>6. Funding and Ledger Logic</w:t>
      </w:r>
    </w:p>
    <w:p>
      <w:pPr/>
      <w:r>
        <w:t>The synthetic bank must behave like a controlled mirror of how money would move in a real governed funding structure. It is essential to the MVP because users need to see money flow, stage allocation, release readiness, and freezes in action.</w:t>
      </w:r>
    </w:p>
    <w:p>
      <w:pPr>
        <w:ind w:left="288" w:hanging="216"/>
      </w:pPr>
      <w:r>
        <w:rPr>
          <w:b/>
          <w:color w:val="24787A"/>
        </w:rPr>
        <w:t xml:space="preserve">• </w:t>
      </w:r>
      <w:r>
        <w:t>Each project has at least one synthetic funding account and may later support multiple sub-accounts.</w:t>
      </w:r>
    </w:p>
    <w:p>
      <w:pPr>
        <w:ind w:left="288" w:hanging="216"/>
      </w:pPr>
      <w:r>
        <w:rPr>
          <w:b/>
          <w:color w:val="24787A"/>
        </w:rPr>
        <w:t xml:space="preserve">• </w:t>
      </w:r>
      <w:r>
        <w:t>Deposits increase available ringfenced balance but do not automatically make all value releasable.</w:t>
      </w:r>
    </w:p>
    <w:p>
      <w:pPr>
        <w:ind w:left="288" w:hanging="216"/>
      </w:pPr>
      <w:r>
        <w:rPr>
          <w:b/>
          <w:color w:val="24787A"/>
        </w:rPr>
        <w:t xml:space="preserve">• </w:t>
      </w:r>
      <w:r>
        <w:t>Allocations reserve specific sums against stage requirements or contract commitments.</w:t>
      </w:r>
    </w:p>
    <w:p>
      <w:pPr>
        <w:ind w:left="288" w:hanging="216"/>
      </w:pPr>
      <w:r>
        <w:rPr>
          <w:b/>
          <w:color w:val="24787A"/>
        </w:rPr>
        <w:t xml:space="preserve">• </w:t>
      </w:r>
      <w:r>
        <w:t>Approved value may become releasable only when evidence, approvals, and account sufficiency all pass.</w:t>
      </w:r>
    </w:p>
    <w:p>
      <w:pPr>
        <w:ind w:left="288" w:hanging="216"/>
      </w:pPr>
      <w:r>
        <w:rPr>
          <w:b/>
          <w:color w:val="24787A"/>
        </w:rPr>
        <w:t xml:space="preserve">• </w:t>
      </w:r>
      <w:r>
        <w:t>Disputed or otherwise blocked amounts move into frozen status, not releasable status.</w:t>
      </w:r>
    </w:p>
    <w:p>
      <w:pPr>
        <w:ind w:left="288" w:hanging="216"/>
      </w:pPr>
      <w:r>
        <w:rPr>
          <w:b/>
          <w:color w:val="24787A"/>
        </w:rPr>
        <w:t xml:space="preserve">• </w:t>
      </w:r>
      <w:r>
        <w:t>Releases reduce account balance and create linked settlement records.</w:t>
      </w:r>
    </w:p>
    <w:p>
      <w:pPr>
        <w:ind w:left="288" w:hanging="216"/>
      </w:pPr>
      <w:r>
        <w:rPr>
          <w:b/>
          <w:color w:val="24787A"/>
        </w:rPr>
        <w:t xml:space="preserve">• </w:t>
      </w:r>
      <w:r>
        <w:t>Reversals and adjustments are allowed only through controlled treasury actions and must always reference the original transaction.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120" w:type="dxa"/>
              <w:bottom w:w="80" w:type="dxa"/>
              <w:end w:w="120" w:type="dxa"/>
            </w:tcMar>
            <w:shd w:fill="E7F0E9"/>
          </w:tcPr>
          <w:p>
            <w:pPr>
              <w:spacing w:after="40" w:before="20" w:line="252" w:lineRule="auto"/>
              <w:jc w:val="center"/>
            </w:pPr>
            <w:r>
              <w:rPr>
                <w:rFonts w:ascii="Aptos" w:hAnsi="Aptos"/>
                <w:b/>
                <w:color w:val="1F3251"/>
                <w:sz w:val="18"/>
              </w:rPr>
              <w:t>Metric</w:t>
            </w:r>
          </w:p>
        </w:tc>
        <w:tc>
          <w:tcPr>
            <w:tcW w:type="dxa" w:w="4968"/>
            <w:vAlign w:val="center"/>
            <w:tcMar>
              <w:top w:w="80" w:type="dxa"/>
              <w:start w:w="120" w:type="dxa"/>
              <w:bottom w:w="80" w:type="dxa"/>
              <w:end w:w="120" w:type="dxa"/>
            </w:tcMar>
            <w:shd w:fill="E7F0E9"/>
          </w:tcPr>
          <w:p>
            <w:pPr>
              <w:spacing w:after="40" w:before="20" w:line="252" w:lineRule="auto"/>
              <w:jc w:val="center"/>
            </w:pPr>
            <w:r>
              <w:rPr>
                <w:rFonts w:ascii="Aptos" w:hAnsi="Aptos"/>
                <w:b/>
                <w:color w:val="1F3251"/>
                <w:sz w:val="18"/>
              </w:rPr>
              <w:t>Definition for MVP</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Ringfenced funds</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Current synthetic balance available to the project after prior releases and freezes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WIP required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Expected work in progress needing cover over the near-term control window</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Reserve buffer</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Additional project-level protected buffer configured by rule</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Total required with buffer</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WIP required + reserve buffer</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Gap to required cover</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max(0, total required with buffer - ringfenced funds)</w:t>
            </w:r>
          </w:p>
        </w:tc>
      </w:tr>
    </w:tbl>
    <w:p>
      <w:pPr>
        <w:pStyle w:val="Heading1"/>
      </w:pPr>
      <w:r>
        <w:t>7. Stage State Machine</w:t>
      </w:r>
    </w:p>
    <w:p>
      <w:pPr/>
      <w:r>
        <w:t>Stages must progress through explicit states, with reasons exposed to operators. Hidden or implied transitions should be avoided.</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7"/>
              </w:rPr>
              <w:t>State</w:t>
            </w:r>
          </w:p>
        </w:tc>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7"/>
              </w:rPr>
              <w:t>Meaning</w:t>
            </w:r>
          </w:p>
        </w:tc>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7"/>
              </w:rPr>
              <w:t>Entry condition</w:t>
            </w:r>
          </w:p>
        </w:tc>
        <w:tc>
          <w:tcPr>
            <w:tcW w:type="dxa" w:w="2484"/>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7"/>
              </w:rPr>
              <w:t>Exit triggers</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Draft</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Defined but not active</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Stage created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Funding confirmed and activation allowed</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Funded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Money cover exists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Required funding allocated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Work starts / evidence begins</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In progress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Delivery underway</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Work started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Evidence submitted</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Evidence review</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Evidence awaiting decision</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Submission complete</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Accepted / rejected / request-more</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Approval review</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Value under approval</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Evidence accepted or sufficient</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Approved, partially approved, disputed</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Approved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Undisputed approved value exists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Commercial and assurance pass</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Treasury release or freeze</w:t>
            </w:r>
          </w:p>
        </w:tc>
      </w:tr>
      <w:tr>
        <w:tc>
          <w:tcPr>
            <w:tcW w:type="dxa" w:w="2484"/>
            <w:vAlign w:val="center"/>
            <w:tcMar>
              <w:top w:w="80" w:type="dxa"/>
              <w:start w:w="120" w:type="dxa"/>
              <w:bottom w:w="80" w:type="dxa"/>
              <w:end w:w="120" w:type="dxa"/>
            </w:tcMar>
          </w:tcPr>
          <w:p>
            <w:pPr>
              <w:spacing w:after="40" w:before="20" w:line="252" w:lineRule="auto"/>
            </w:pPr>
            <w:r>
              <w:rPr>
                <w:rFonts w:ascii="Aptos" w:hAnsi="Aptos"/>
                <w:sz w:val="17"/>
              </w:rPr>
              <w:t>Released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Payment issued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Treasury release executed</w:t>
            </w:r>
          </w:p>
        </w:tc>
        <w:tc>
          <w:tcPr>
            <w:tcW w:type="dxa" w:w="2484"/>
            <w:vAlign w:val="center"/>
            <w:tcMar>
              <w:top w:w="80" w:type="dxa"/>
              <w:start w:w="120" w:type="dxa"/>
              <w:bottom w:w="80" w:type="dxa"/>
              <w:end w:w="120" w:type="dxa"/>
            </w:tcMar>
          </w:tcPr>
          <w:p>
            <w:pPr>
              <w:spacing w:after="40" w:before="20" w:line="252" w:lineRule="auto"/>
            </w:pPr>
            <w:r>
              <w:rPr>
                <w:rFonts w:ascii="Aptos" w:hAnsi="Aptos"/>
                <w:sz w:val="17"/>
              </w:rPr>
              <w:t>Closed or reconciled</w:t>
            </w:r>
          </w:p>
        </w:tc>
      </w:tr>
    </w:tbl>
    <w:p>
      <w:pPr>
        <w:pStyle w:val="Heading1"/>
      </w:pPr>
      <w:r>
        <w:t>8. Evidence Model</w:t>
      </w:r>
    </w:p>
    <w:p>
      <w:pPr/>
      <w:r>
        <w:t>Evidence must support both unstructured proof and structured attestations.</w:t>
      </w:r>
    </w:p>
    <w:p>
      <w:pPr>
        <w:ind w:left="288" w:hanging="216"/>
      </w:pPr>
      <w:r>
        <w:rPr>
          <w:b/>
          <w:color w:val="24787A"/>
        </w:rPr>
        <w:t xml:space="preserve">• </w:t>
      </w:r>
      <w:r>
        <w:t>File evidence: images, PDFs, spreadsheets, certificates, signed documents, and other uploaded records.</w:t>
      </w:r>
    </w:p>
    <w:p>
      <w:pPr>
        <w:ind w:left="288" w:hanging="216"/>
      </w:pPr>
      <w:r>
        <w:rPr>
          <w:b/>
          <w:color w:val="24787A"/>
        </w:rPr>
        <w:t xml:space="preserve">• </w:t>
      </w:r>
      <w:r>
        <w:t>Structured evidence: checklists, progress forms, compliance declarations, valuation forms, and yes/no/number/text fields.</w:t>
      </w:r>
    </w:p>
    <w:p>
      <w:pPr>
        <w:ind w:left="288" w:hanging="216"/>
      </w:pPr>
      <w:r>
        <w:rPr>
          <w:b/>
          <w:color w:val="24787A"/>
        </w:rPr>
        <w:t xml:space="preserve">• </w:t>
      </w:r>
      <w:r>
        <w:t>Evidence schema versioning: forms must be stored against a schema version so later rule changes do not corrupt prior submissions.</w:t>
      </w:r>
    </w:p>
    <w:p>
      <w:pPr>
        <w:ind w:left="288" w:hanging="216"/>
      </w:pPr>
      <w:r>
        <w:rPr>
          <w:b/>
          <w:color w:val="24787A"/>
        </w:rPr>
        <w:t xml:space="preserve">• </w:t>
      </w:r>
      <w:r>
        <w:t>Review outcomes: accept, reject, or request-more, each with reviewer identity and timestamp.</w:t>
      </w:r>
    </w:p>
    <w:p>
      <w:pPr>
        <w:ind w:left="288" w:hanging="216"/>
      </w:pPr>
      <w:r>
        <w:rPr>
          <w:b/>
          <w:color w:val="24787A"/>
        </w:rPr>
        <w:t xml:space="preserve">• </w:t>
      </w:r>
      <w:r>
        <w:t>Evidence completeness rules: a stage may require a specific combination of file types, checklist completion, and signatures before approvals unlock.</w:t>
      </w:r>
    </w:p>
    <w:p>
      <w:pPr>
        <w:pStyle w:val="Heading1"/>
      </w:pPr>
      <w:r>
        <w:t>9. Approval, Dispute, Variation, and Release Rules</w:t>
      </w:r>
    </w:p>
    <w:p>
      <w:pPr/>
      <w:r>
        <w:t>These rules should exist as deterministic backend logic and be reflected verbatim in the UI reasoning surfaces.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120" w:type="dxa"/>
              <w:bottom w:w="80" w:type="dxa"/>
              <w:end w:w="120" w:type="dxa"/>
            </w:tcMar>
            <w:shd w:fill="F3E8D0"/>
          </w:tcPr>
          <w:p>
            <w:pPr>
              <w:spacing w:after="40" w:before="20" w:line="252" w:lineRule="auto"/>
              <w:jc w:val="center"/>
            </w:pPr>
            <w:r>
              <w:rPr>
                <w:rFonts w:ascii="Aptos" w:hAnsi="Aptos"/>
                <w:b/>
                <w:color w:val="1F3251"/>
                <w:sz w:val="18"/>
              </w:rPr>
              <w:t>Rule area</w:t>
            </w:r>
          </w:p>
        </w:tc>
        <w:tc>
          <w:tcPr>
            <w:tcW w:type="dxa" w:w="4968"/>
            <w:vAlign w:val="center"/>
            <w:tcMar>
              <w:top w:w="80" w:type="dxa"/>
              <w:start w:w="120" w:type="dxa"/>
              <w:bottom w:w="80" w:type="dxa"/>
              <w:end w:w="120" w:type="dxa"/>
            </w:tcMar>
            <w:shd w:fill="F3E8D0"/>
          </w:tcPr>
          <w:p>
            <w:pPr>
              <w:spacing w:after="40" w:before="20" w:line="252" w:lineRule="auto"/>
              <w:jc w:val="center"/>
            </w:pPr>
            <w:r>
              <w:rPr>
                <w:rFonts w:ascii="Aptos" w:hAnsi="Aptos"/>
                <w:b/>
                <w:color w:val="1F3251"/>
                <w:sz w:val="18"/>
              </w:rPr>
              <w:t>Required MVP behaviour</w:t>
            </w:r>
          </w:p>
        </w:tc>
      </w:tr>
      <w:tr>
        <w:tc>
          <w:tcPr>
            <w:tcW w:type="dxa" w:w="4968"/>
            <w:vAlign w:val="center"/>
            <w:tcMar>
              <w:top w:w="80" w:type="dxa"/>
              <w:start w:w="120" w:type="dxa"/>
              <w:bottom w:w="80" w:type="dxa"/>
              <w:end w:w="120" w:type="dxa"/>
            </w:tcMar>
            <w:shd w:fill="FBF7EF"/>
          </w:tcPr>
          <w:p>
            <w:pPr>
              <w:spacing w:after="40" w:before="20" w:line="252" w:lineRule="auto"/>
            </w:pPr>
            <w:r>
              <w:rPr>
                <w:rFonts w:ascii="Aptos" w:hAnsi="Aptos"/>
                <w:sz w:val="18"/>
              </w:rPr>
              <w:t>Approval</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Professional assurance and commercial approval must both be satisfied for full-stage approval unless a controlled partial approval is recorded.</w:t>
            </w:r>
          </w:p>
        </w:tc>
      </w:tr>
      <w:tr>
        <w:tc>
          <w:tcPr>
            <w:tcW w:type="dxa" w:w="4968"/>
            <w:vAlign w:val="center"/>
            <w:tcMar>
              <w:top w:w="80" w:type="dxa"/>
              <w:start w:w="120" w:type="dxa"/>
              <w:bottom w:w="80" w:type="dxa"/>
              <w:end w:w="120" w:type="dxa"/>
            </w:tcMar>
            <w:shd w:fill="FBF7EF"/>
          </w:tcPr>
          <w:p>
            <w:pPr>
              <w:spacing w:after="40" w:before="20" w:line="252" w:lineRule="auto"/>
            </w:pPr>
            <w:r>
              <w:rPr>
                <w:rFonts w:ascii="Aptos" w:hAnsi="Aptos"/>
                <w:sz w:val="18"/>
              </w:rPr>
              <w:t>Dispute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Disputed amount is isolated and frozen; undisputed amount may continue through the workflow if otherwise valid.</w:t>
            </w:r>
          </w:p>
        </w:tc>
      </w:tr>
      <w:tr>
        <w:tc>
          <w:tcPr>
            <w:tcW w:type="dxa" w:w="4968"/>
            <w:vAlign w:val="center"/>
            <w:tcMar>
              <w:top w:w="80" w:type="dxa"/>
              <w:start w:w="120" w:type="dxa"/>
              <w:bottom w:w="80" w:type="dxa"/>
              <w:end w:w="120" w:type="dxa"/>
            </w:tcMar>
            <w:shd w:fill="FBF7EF"/>
          </w:tcPr>
          <w:p>
            <w:pPr>
              <w:spacing w:after="40" w:before="20" w:line="252" w:lineRule="auto"/>
            </w:pPr>
            <w:r>
              <w:rPr>
                <w:rFonts w:ascii="Aptos" w:hAnsi="Aptos"/>
                <w:sz w:val="18"/>
              </w:rPr>
              <w:t>Variation</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Variation requests remain inactive until amount, authority, and funding are all approved.</w:t>
            </w:r>
          </w:p>
        </w:tc>
      </w:tr>
      <w:tr>
        <w:tc>
          <w:tcPr>
            <w:tcW w:type="dxa" w:w="4968"/>
            <w:vAlign w:val="center"/>
            <w:tcMar>
              <w:top w:w="80" w:type="dxa"/>
              <w:start w:w="120" w:type="dxa"/>
              <w:bottom w:w="80" w:type="dxa"/>
              <w:end w:w="120" w:type="dxa"/>
            </w:tcMar>
            <w:shd w:fill="FBF7EF"/>
          </w:tcPr>
          <w:p>
            <w:pPr>
              <w:spacing w:after="40" w:before="20" w:line="252" w:lineRule="auto"/>
            </w:pPr>
            <w:r>
              <w:rPr>
                <w:rFonts w:ascii="Aptos" w:hAnsi="Aptos"/>
                <w:sz w:val="18"/>
              </w:rPr>
              <w:t>Release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Treasury may release only approved, undisputed, funded value; any override requires explicit reason capture.</w:t>
            </w:r>
          </w:p>
        </w:tc>
      </w:tr>
      <w:tr>
        <w:tc>
          <w:tcPr>
            <w:tcW w:type="dxa" w:w="4968"/>
            <w:vAlign w:val="center"/>
            <w:tcMar>
              <w:top w:w="80" w:type="dxa"/>
              <w:start w:w="120" w:type="dxa"/>
              <w:bottom w:w="80" w:type="dxa"/>
              <w:end w:w="120" w:type="dxa"/>
            </w:tcMar>
            <w:shd w:fill="FBF7EF"/>
          </w:tcPr>
          <w:p>
            <w:pPr>
              <w:spacing w:after="40" w:before="20" w:line="252" w:lineRule="auto"/>
            </w:pPr>
            <w:r>
              <w:rPr>
                <w:rFonts w:ascii="Aptos" w:hAnsi="Aptos"/>
                <w:sz w:val="18"/>
              </w:rPr>
              <w:t>Partial release</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Allowed when stage structure and approved value permit it, with clear residual balances shown.</w:t>
            </w:r>
          </w:p>
        </w:tc>
      </w:tr>
    </w:tbl>
    <w:p>
      <w:pPr>
        <w:pStyle w:val="Heading1"/>
      </w:pPr>
      <w:r>
        <w:t>10. Audit and Compliance Requirements</w:t>
      </w:r>
    </w:p>
    <w:p>
      <w:pPr/>
      <w:r>
        <w:t>The application must be designed as if audit scrutiny is expected. Regulatory-grade does not require external certification on day one, but it does require disciplined data capture and immutability from day one.</w:t>
      </w:r>
    </w:p>
    <w:p>
      <w:pPr>
        <w:ind w:left="288" w:hanging="216"/>
      </w:pPr>
      <w:r>
        <w:rPr>
          <w:b/>
          <w:color w:val="24787A"/>
        </w:rPr>
        <w:t xml:space="preserve">• </w:t>
      </w:r>
      <w:r>
        <w:t>Every material event must store actor identity, effective role, timestamp, entity type, entity ID, action type, rationale, and before/after values where applicable.</w:t>
      </w:r>
    </w:p>
    <w:p>
      <w:pPr>
        <w:ind w:left="288" w:hanging="216"/>
      </w:pPr>
      <w:r>
        <w:rPr>
          <w:b/>
          <w:color w:val="24787A"/>
        </w:rPr>
        <w:t xml:space="preserve">• </w:t>
      </w:r>
      <w:r>
        <w:t>Audit records must not be editable through ordinary product workflows.</w:t>
      </w:r>
    </w:p>
    <w:p>
      <w:pPr>
        <w:ind w:left="288" w:hanging="216"/>
      </w:pPr>
      <w:r>
        <w:rPr>
          <w:b/>
          <w:color w:val="24787A"/>
        </w:rPr>
        <w:t xml:space="preserve">• </w:t>
      </w:r>
      <w:r>
        <w:t>Treasury override, approval adjustments, dispute actions, and ledger reversals require mandatory reason capture.</w:t>
      </w:r>
    </w:p>
    <w:p>
      <w:pPr>
        <w:ind w:left="288" w:hanging="216"/>
      </w:pPr>
      <w:r>
        <w:rPr>
          <w:b/>
          <w:color w:val="24787A"/>
        </w:rPr>
        <w:t xml:space="preserve">• </w:t>
      </w:r>
      <w:r>
        <w:t>Evidence decisions must preserve the submitted artifact, reviewer outcome, and any request-more history.</w:t>
      </w:r>
    </w:p>
    <w:p>
      <w:pPr>
        <w:ind w:left="288" w:hanging="216"/>
      </w:pPr>
      <w:r>
        <w:rPr>
          <w:b/>
          <w:color w:val="24787A"/>
        </w:rPr>
        <w:t xml:space="preserve">• </w:t>
      </w:r>
      <w:r>
        <w:t>The system must make it possible to reconstruct why a payment was or was not releasable at any point in time.</w:t>
      </w:r>
    </w:p>
    <w:p>
      <w:pPr>
        <w:pStyle w:val="Heading2"/>
      </w:pPr>
      <w:r>
        <w:t>Recommended implementation pattern</w:t>
      </w:r>
    </w:p>
    <w:p>
      <w:pPr>
        <w:ind w:left="288" w:hanging="216"/>
      </w:pPr>
      <w:r>
        <w:rPr>
          <w:b/>
        </w:rPr>
        <w:t xml:space="preserve">1. </w:t>
      </w:r>
      <w:r>
        <w:t>Append-only audit_events table for canonical immutable logging.</w:t>
      </w:r>
    </w:p>
    <w:p>
      <w:pPr>
        <w:ind w:left="288" w:hanging="216"/>
      </w:pPr>
      <w:r>
        <w:rPr>
          <w:b/>
        </w:rPr>
        <w:t xml:space="preserve">2. </w:t>
      </w:r>
      <w:r>
        <w:t>Domain tables that store current state for fast queries.</w:t>
      </w:r>
    </w:p>
    <w:p>
      <w:pPr>
        <w:ind w:left="288" w:hanging="216"/>
      </w:pPr>
      <w:r>
        <w:rPr>
          <w:b/>
        </w:rPr>
        <w:t xml:space="preserve">3. </w:t>
      </w:r>
      <w:r>
        <w:t>Derived reasoning helpers that explain state using current records plus audit context.</w:t>
      </w:r>
    </w:p>
    <w:p>
      <w:pPr>
        <w:ind w:left="288" w:hanging="216"/>
      </w:pPr>
      <w:r>
        <w:rPr>
          <w:b/>
        </w:rPr>
        <w:t xml:space="preserve">4. </w:t>
      </w:r>
      <w:r>
        <w:t>Admin-only export and filtering tools for investigation, assurance, and reporting.</w:t>
      </w:r>
    </w:p>
    <w:p>
      <w:pPr>
        <w:pStyle w:val="Heading1"/>
      </w:pPr>
      <w:r>
        <w:t>11. MVP Application Surfaces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Surface</w:t>
            </w:r>
          </w:p>
        </w:tc>
        <w:tc>
          <w:tcPr>
            <w:tcW w:type="dxa" w:w="3312"/>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Purpose</w:t>
            </w:r>
          </w:p>
        </w:tc>
        <w:tc>
          <w:tcPr>
            <w:tcW w:type="dxa" w:w="3312"/>
            <w:vAlign w:val="center"/>
            <w:tcMar>
              <w:top w:w="80" w:type="dxa"/>
              <w:start w:w="120" w:type="dxa"/>
              <w:bottom w:w="80" w:type="dxa"/>
              <w:end w:w="120" w:type="dxa"/>
            </w:tcMar>
            <w:shd w:fill="D7EEF0"/>
          </w:tcPr>
          <w:p>
            <w:pPr>
              <w:spacing w:after="40" w:before="20" w:line="252" w:lineRule="auto"/>
              <w:jc w:val="center"/>
            </w:pPr>
            <w:r>
              <w:rPr>
                <w:rFonts w:ascii="Aptos" w:hAnsi="Aptos"/>
                <w:b/>
                <w:color w:val="1F3251"/>
                <w:sz w:val="18"/>
              </w:rPr>
              <w:t>Must show / allow</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Home dashboard</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Portfolio and project control overview</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Funding integrity, blockers, action queue, release posture</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Project workspace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Operational command view for a project</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Funding account, stages, evidence summary, approvals, disputes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Stage detail</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Decision workspace for one stage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Value breakdown, evidence, approvals, ledger impact, reasoning</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Evidence review panel</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Review and disposition evidence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Accept / reject / request-more and structured form details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Action queue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Immediate work list</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Priority, blocker type, owner, due status, quick actions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Release decision view</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Explain payment readiness</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Approved amount, frozen amount, releasable amount, blockers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Ledger and synthetic bank</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Money movement visibility</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Deposits, holds, allocations, releases, reversals, balance</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Audit explorer</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Assurance and investigation</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Searchable event history, filters, export</w:t>
            </w:r>
          </w:p>
        </w:tc>
      </w:tr>
    </w:tbl>
    <w:p>
      <w:pPr>
        <w:pStyle w:val="Heading1"/>
      </w:pPr>
      <w:r>
        <w:t>12. Recommended Technical Architecture</w:t>
      </w:r>
    </w:p>
    <w:p>
      <w:pPr/>
      <w:r>
        <w:t>A pragmatic MVP architecture should favour fast delivery, strong typing, and easy staging deployment, while remaining extensible.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Layer</w:t>
            </w:r>
          </w:p>
        </w:tc>
        <w:tc>
          <w:tcPr>
            <w:tcW w:type="dxa" w:w="3312"/>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Recommendation</w:t>
            </w:r>
          </w:p>
        </w:tc>
        <w:tc>
          <w:tcPr>
            <w:tcW w:type="dxa" w:w="3312"/>
            <w:vAlign w:val="center"/>
            <w:tcMar>
              <w:top w:w="80" w:type="dxa"/>
              <w:start w:w="120" w:type="dxa"/>
              <w:bottom w:w="80" w:type="dxa"/>
              <w:end w:w="120" w:type="dxa"/>
            </w:tcMar>
            <w:shd w:fill="DCE6F2"/>
          </w:tcPr>
          <w:p>
            <w:pPr>
              <w:spacing w:after="40" w:before="20" w:line="252" w:lineRule="auto"/>
              <w:jc w:val="center"/>
            </w:pPr>
            <w:r>
              <w:rPr>
                <w:rFonts w:ascii="Aptos" w:hAnsi="Aptos"/>
                <w:b/>
                <w:color w:val="1F3251"/>
                <w:sz w:val="18"/>
              </w:rPr>
              <w:t>Notes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Frontend</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Next.js + TypeScript + Tailwind</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Responsive web first; shared components and mobile-aware patterns</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State / API</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Server actions and typed API layer</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Centralise business rules and keep UI thin</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Database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PostgreSQL</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Relational fit for contracts, ledger, approvals, and audit</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Auth &amp; storage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Supabase or equivalent managed stack</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Authentication, storage, row-level controls, rapid staging</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Deployment</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Vercel for web + managed DB hosting</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Fast previews and frictionless staging</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Testing</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Unit + workflow integration + smoke E2E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Focus on rule correctness and regression protection</w:t>
            </w:r>
          </w:p>
        </w:tc>
      </w:tr>
    </w:tbl>
    <w:p>
      <w:pPr>
        <w:pStyle w:val="Heading1"/>
      </w:pPr>
      <w:r>
        <w:t>13. Data and Rule Implementation Priorities</w:t>
      </w:r>
    </w:p>
    <w:p>
      <w:pPr>
        <w:ind w:left="288" w:hanging="216"/>
      </w:pPr>
      <w:r>
        <w:rPr>
          <w:b/>
        </w:rPr>
        <w:t xml:space="preserve">1. </w:t>
      </w:r>
      <w:r>
        <w:t>Move all core calculations and release logic into shared server-side domain functions.</w:t>
      </w:r>
    </w:p>
    <w:p>
      <w:pPr>
        <w:ind w:left="288" w:hanging="216"/>
      </w:pPr>
      <w:r>
        <w:rPr>
          <w:b/>
        </w:rPr>
        <w:t xml:space="preserve">2. </w:t>
      </w:r>
      <w:r>
        <w:t>Keep the dashboard, action queue, and stage panels as consumers of those domain functions rather than duplicating math in UI components.</w:t>
      </w:r>
    </w:p>
    <w:p>
      <w:pPr>
        <w:ind w:left="288" w:hanging="216"/>
      </w:pPr>
      <w:r>
        <w:rPr>
          <w:b/>
        </w:rPr>
        <w:t xml:space="preserve">3. </w:t>
      </w:r>
      <w:r>
        <w:t>Model synthetic ledger entries as proper database records, not temporary demo objects.</w:t>
      </w:r>
    </w:p>
    <w:p>
      <w:pPr>
        <w:ind w:left="288" w:hanging="216"/>
      </w:pPr>
      <w:r>
        <w:rPr>
          <w:b/>
        </w:rPr>
        <w:t xml:space="preserve">4. </w:t>
      </w:r>
      <w:r>
        <w:t>Store evidence forms and checklist schemas so they can evolve without breaking historical submissions.</w:t>
      </w:r>
    </w:p>
    <w:p>
      <w:pPr>
        <w:ind w:left="288" w:hanging="216"/>
      </w:pPr>
      <w:r>
        <w:rPr>
          <w:b/>
        </w:rPr>
        <w:t xml:space="preserve">5. </w:t>
      </w:r>
      <w:r>
        <w:t>Expose release reasoning and blockers through one reusable helper shared by dashboard cards, stage pages, and audit views.</w:t>
      </w:r>
    </w:p>
    <w:p>
      <w:pPr>
        <w:pStyle w:val="Heading1"/>
      </w:pPr>
      <w:r>
        <w:t>14. Codex / Agent Execution Instructions</w:t>
      </w:r>
    </w:p>
    <w:p>
      <w:pPr/>
      <w:r>
        <w:t>This section is written for coding agents and should be treated as build-operating guidance.</w:t>
      </w:r>
    </w:p>
    <w:p>
      <w:pPr>
        <w:ind w:left="288" w:hanging="216"/>
      </w:pPr>
      <w:r>
        <w:rPr>
          <w:b/>
          <w:color w:val="24787A"/>
        </w:rPr>
        <w:t xml:space="preserve">• </w:t>
      </w:r>
      <w:r>
        <w:t>Treat this document as the highest-level build specification unless superseded by an explicitly newer version in the repo.</w:t>
      </w:r>
    </w:p>
    <w:p>
      <w:pPr>
        <w:ind w:left="288" w:hanging="216"/>
      </w:pPr>
      <w:r>
        <w:rPr>
          <w:b/>
          <w:color w:val="24787A"/>
        </w:rPr>
        <w:t xml:space="preserve">• </w:t>
      </w:r>
      <w:r>
        <w:t>Prefer small, tested increments on branches rather than large speculative rewrites.</w:t>
      </w:r>
    </w:p>
    <w:p>
      <w:pPr>
        <w:ind w:left="288" w:hanging="216"/>
      </w:pPr>
      <w:r>
        <w:rPr>
          <w:b/>
          <w:color w:val="24787A"/>
        </w:rPr>
        <w:t xml:space="preserve">• </w:t>
      </w:r>
      <w:r>
        <w:t>Do not duplicate funding, approval, or release calculations in multiple UI files.</w:t>
      </w:r>
    </w:p>
    <w:p>
      <w:pPr>
        <w:ind w:left="288" w:hanging="216"/>
      </w:pPr>
      <w:r>
        <w:rPr>
          <w:b/>
          <w:color w:val="24787A"/>
        </w:rPr>
        <w:t xml:space="preserve">• </w:t>
      </w:r>
      <w:r>
        <w:t>When changing workflow logic, update both tests and the human-readable reasoning shown in the product.</w:t>
      </w:r>
    </w:p>
    <w:p>
      <w:pPr>
        <w:ind w:left="288" w:hanging="216"/>
      </w:pPr>
      <w:r>
        <w:rPr>
          <w:b/>
          <w:color w:val="24787A"/>
        </w:rPr>
        <w:t xml:space="preserve">• </w:t>
      </w:r>
      <w:r>
        <w:t>Preserve mobile usability for every newly added control surface.</w:t>
      </w:r>
    </w:p>
    <w:p>
      <w:pPr>
        <w:ind w:left="288" w:hanging="216"/>
      </w:pPr>
      <w:r>
        <w:rPr>
          <w:b/>
          <w:color w:val="24787A"/>
        </w:rPr>
        <w:t xml:space="preserve">• </w:t>
      </w:r>
      <w:r>
        <w:t>Never bypass audit logging for material state changes, especially ledger entries, approvals, disputes, freezes, and overrides.</w:t>
      </w:r>
    </w:p>
    <w:p>
      <w:pPr>
        <w:ind w:left="288" w:hanging="216"/>
      </w:pPr>
      <w:r>
        <w:rPr>
          <w:b/>
          <w:color w:val="24787A"/>
        </w:rPr>
        <w:t xml:space="preserve">• </w:t>
      </w:r>
      <w:r>
        <w:t>Where uncertainty exists, choose the implementation path that preserves rule clarity, auditability, and deterministic behaviour.</w:t>
      </w:r>
    </w:p>
    <w:p>
      <w:pPr>
        <w:pStyle w:val="Heading1"/>
      </w:pPr>
      <w:r>
        <w:t>15. Suggested Repository Source-of-Truth Layout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vAlign w:val="center"/>
            <w:tcMar>
              <w:top w:w="80" w:type="dxa"/>
              <w:start w:w="120" w:type="dxa"/>
              <w:bottom w:w="80" w:type="dxa"/>
              <w:end w:w="120" w:type="dxa"/>
            </w:tcMar>
            <w:shd w:fill="EAF0F7"/>
          </w:tcPr>
          <w:p>
            <w:pPr>
              <w:spacing w:after="40" w:before="20" w:line="252" w:lineRule="auto"/>
              <w:jc w:val="center"/>
            </w:pPr>
            <w:r>
              <w:rPr>
                <w:rFonts w:ascii="Aptos" w:hAnsi="Aptos"/>
                <w:b/>
                <w:color w:val="1F3251"/>
                <w:sz w:val="18"/>
              </w:rPr>
              <w:t>Path</w:t>
            </w:r>
          </w:p>
        </w:tc>
        <w:tc>
          <w:tcPr>
            <w:tcW w:type="dxa" w:w="4968"/>
            <w:vAlign w:val="center"/>
            <w:tcMar>
              <w:top w:w="80" w:type="dxa"/>
              <w:start w:w="120" w:type="dxa"/>
              <w:bottom w:w="80" w:type="dxa"/>
              <w:end w:w="120" w:type="dxa"/>
            </w:tcMar>
            <w:shd w:fill="EAF0F7"/>
          </w:tcPr>
          <w:p>
            <w:pPr>
              <w:spacing w:after="40" w:before="20" w:line="252" w:lineRule="auto"/>
              <w:jc w:val="center"/>
            </w:pPr>
            <w:r>
              <w:rPr>
                <w:rFonts w:ascii="Aptos" w:hAnsi="Aptos"/>
                <w:b/>
                <w:color w:val="1F3251"/>
                <w:sz w:val="18"/>
              </w:rPr>
              <w:t>Purpose</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/docs/ShureFund_Single_Source_of_Truth_v2.docx</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Primary stakeholder-readable governing document</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/docs/ShureFund_Single_Source_of_Truth_v2.md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Developer and coding-agent companion version</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/docs/CONTROL_RULES.md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Explicit funding, stage, dispute, variation, and release rules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/docs/ARCHITECTURE.md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System architecture and deployment notes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/docs/UX_MOBILE_PATTERNS.md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Mobile-first interaction and responsive behaviour guardrails</w:t>
            </w:r>
          </w:p>
        </w:tc>
      </w:tr>
      <w:tr>
        <w:tc>
          <w:tcPr>
            <w:tcW w:type="dxa" w:w="4968"/>
            <w:vAlign w:val="center"/>
            <w:tcMar>
              <w:top w:w="80" w:type="dxa"/>
              <w:start w:w="120" w:type="dxa"/>
              <w:bottom w:w="80" w:type="dxa"/>
              <w:end w:w="120" w:type="dxa"/>
            </w:tcMar>
            <w:shd w:fill="F7FAFC"/>
          </w:tcPr>
          <w:p>
            <w:pPr>
              <w:spacing w:after="40" w:before="20" w:line="252" w:lineRule="auto"/>
            </w:pPr>
            <w:r>
              <w:rPr>
                <w:rFonts w:ascii="Aptos" w:hAnsi="Aptos"/>
                <w:sz w:val="18"/>
              </w:rPr>
              <w:t>/docs/CHANGELOG.md</w:t>
            </w:r>
          </w:p>
        </w:tc>
        <w:tc>
          <w:tcPr>
            <w:tcW w:type="dxa" w:w="4968"/>
            <w:vAlign w:val="center"/>
            <w:tcMar>
              <w:top w:w="80" w:type="dxa"/>
              <w:start w:w="120" w:type="dxa"/>
              <w:bottom w:w="80" w:type="dxa"/>
              <w:end w:w="120" w:type="dxa"/>
            </w:tcMar>
          </w:tcPr>
          <w:p>
            <w:pPr>
              <w:spacing w:after="40" w:before="20" w:line="252" w:lineRule="auto"/>
            </w:pPr>
            <w:r>
              <w:rPr>
                <w:rFonts w:ascii="Aptos" w:hAnsi="Aptos"/>
                <w:sz w:val="18"/>
              </w:rPr>
              <w:t>Human-readable record of approved spec changes</w:t>
            </w:r>
          </w:p>
        </w:tc>
      </w:tr>
    </w:tbl>
    <w:p>
      <w:pPr>
        <w:pStyle w:val="Heading1"/>
      </w:pPr>
      <w:r>
        <w:t>16. Delivery Plan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vAlign w:val="center"/>
            <w:tcMar>
              <w:top w:w="80" w:type="dxa"/>
              <w:start w:w="120" w:type="dxa"/>
              <w:bottom w:w="80" w:type="dxa"/>
              <w:end w:w="120" w:type="dxa"/>
            </w:tcMar>
            <w:shd w:fill="E7F0E9"/>
          </w:tcPr>
          <w:p>
            <w:pPr>
              <w:spacing w:after="40" w:before="20" w:line="252" w:lineRule="auto"/>
              <w:jc w:val="center"/>
            </w:pPr>
            <w:r>
              <w:rPr>
                <w:rFonts w:ascii="Aptos" w:hAnsi="Aptos"/>
                <w:b/>
                <w:color w:val="1F3251"/>
                <w:sz w:val="18"/>
              </w:rPr>
              <w:t>Phase</w:t>
            </w:r>
          </w:p>
        </w:tc>
        <w:tc>
          <w:tcPr>
            <w:tcW w:type="dxa" w:w="3312"/>
            <w:vAlign w:val="center"/>
            <w:tcMar>
              <w:top w:w="80" w:type="dxa"/>
              <w:start w:w="120" w:type="dxa"/>
              <w:bottom w:w="80" w:type="dxa"/>
              <w:end w:w="120" w:type="dxa"/>
            </w:tcMar>
            <w:shd w:fill="E7F0E9"/>
          </w:tcPr>
          <w:p>
            <w:pPr>
              <w:spacing w:after="40" w:before="20" w:line="252" w:lineRule="auto"/>
              <w:jc w:val="center"/>
            </w:pPr>
            <w:r>
              <w:rPr>
                <w:rFonts w:ascii="Aptos" w:hAnsi="Aptos"/>
                <w:b/>
                <w:color w:val="1F3251"/>
                <w:sz w:val="18"/>
              </w:rPr>
              <w:t>Outcome</w:t>
            </w:r>
          </w:p>
        </w:tc>
        <w:tc>
          <w:tcPr>
            <w:tcW w:type="dxa" w:w="3312"/>
            <w:vAlign w:val="center"/>
            <w:tcMar>
              <w:top w:w="80" w:type="dxa"/>
              <w:start w:w="120" w:type="dxa"/>
              <w:bottom w:w="80" w:type="dxa"/>
              <w:end w:w="120" w:type="dxa"/>
            </w:tcMar>
            <w:shd w:fill="E7F0E9"/>
          </w:tcPr>
          <w:p>
            <w:pPr>
              <w:spacing w:after="40" w:before="20" w:line="252" w:lineRule="auto"/>
              <w:jc w:val="center"/>
            </w:pPr>
            <w:r>
              <w:rPr>
                <w:rFonts w:ascii="Aptos" w:hAnsi="Aptos"/>
                <w:b/>
                <w:color w:val="1F3251"/>
                <w:sz w:val="18"/>
              </w:rPr>
              <w:t>Exit condition</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Phase 1</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Shared domain model and seeded demo data</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Core entities and calculations exist in one source</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Phase 2</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Funding dashboard and project workspace</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Funding integrity, stages, and queue visible</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Phase 3</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Evidence and approval workflows</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Users can submit, review, approve, dispute, and reason</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Phase 4</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Synthetic bank and release flow</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Nominal money movement works end-to-end</w:t>
            </w:r>
          </w:p>
        </w:tc>
      </w:tr>
      <w:tr>
        <w:tc>
          <w:tcPr>
            <w:tcW w:type="dxa" w:w="3312"/>
            <w:vAlign w:val="center"/>
            <w:tcMar>
              <w:top w:w="80" w:type="dxa"/>
              <w:start w:w="120" w:type="dxa"/>
              <w:bottom w:w="80" w:type="dxa"/>
              <w:end w:w="120" w:type="dxa"/>
            </w:tcMar>
          </w:tcPr>
          <w:p>
            <w:pPr>
              <w:spacing w:after="40" w:before="20" w:line="252" w:lineRule="auto"/>
            </w:pPr>
            <w:r>
              <w:rPr>
                <w:rFonts w:ascii="Aptos" w:hAnsi="Aptos"/>
                <w:sz w:val="18"/>
              </w:rPr>
              <w:t>Phase 5</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Audit explorer and hardening</w:t>
            </w:r>
          </w:p>
        </w:tc>
        <w:tc>
          <w:tcPr>
            <w:tcW w:type="dxa" w:w="3312"/>
            <w:vAlign w:val="center"/>
            <w:tcMar>
              <w:top w:w="80" w:type="dxa"/>
              <w:start w:w="120" w:type="dxa"/>
              <w:bottom w:w="80" w:type="dxa"/>
              <w:end w:w="120" w:type="dxa"/>
            </w:tcMar>
          </w:tcPr>
          <w:p>
            <w:pPr>
              <w:spacing w:after="40" w:before="20" w:line="252" w:lineRule="auto"/>
            </w:pPr>
            <w:r>
              <w:rPr>
                <w:rFonts w:ascii="Aptos" w:hAnsi="Aptos"/>
                <w:sz w:val="18"/>
              </w:rPr>
              <w:t>Full event trace, test coverage, deployment readiness</w:t>
            </w:r>
          </w:p>
        </w:tc>
      </w:tr>
    </w:tbl>
    <w:p>
      <w:pPr>
        <w:pStyle w:val="Heading1"/>
      </w:pPr>
      <w:r>
        <w:t>17. Final Implementation Position</w:t>
      </w:r>
    </w:p>
    <w:p>
      <w:pPr/>
      <w:r>
        <w:t>Shure.Fund should now be built as a deployable, auditable, responsive web MVP for internal teams, with strong mobile usability and a realistic synthetic money model. This gives the product a credible pilot form without forcing premature complexity such as live bank integrations or native mobile apps. The chosen architecture should deliberately leave room for future expansion to external users, real payment rails, and broader tenancy with minimal structural rework.</w:t>
      </w:r>
    </w:p>
    <w:p>
      <w:pPr>
        <w:pStyle w:val="SFCallout"/>
      </w:pPr>
      <w:r>
        <w:rPr>
          <w:b/>
        </w:rPr>
        <w:t xml:space="preserve">Decision lock. </w:t>
      </w:r>
      <w:r>
        <w:t>From this point, change requests should update this document first and then flow into implementation, rather than relying on scattered chat instructions.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7"/>
      </w:rPr>
      <w:t>Confidential working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FSmall"/>
      <w:jc w:val="right"/>
    </w:pPr>
    <w:r>
      <w:t>Shure.Fund — Single Source of 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3251"/>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478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FTitle">
    <w:name w:val="SF Title"/>
    <w:basedOn w:val="Normal"/>
    <w:pPr>
      <w:spacing w:after="80"/>
    </w:pPr>
    <w:rPr>
      <w:rFonts w:ascii="Aptos Display" w:hAnsi="Aptos Display"/>
      <w:b/>
      <w:color w:val="1F3251"/>
      <w:sz w:val="48"/>
    </w:rPr>
  </w:style>
  <w:style w:type="paragraph" w:customStyle="1" w:styleId="SFSubtitle">
    <w:name w:val="SF Subtitle"/>
    <w:basedOn w:val="Normal"/>
    <w:pPr>
      <w:spacing w:after="240"/>
    </w:pPr>
    <w:rPr>
      <w:rFonts w:ascii="Aptos" w:hAnsi="Aptos"/>
      <w:color w:val="24787A"/>
      <w:sz w:val="26"/>
    </w:rPr>
  </w:style>
  <w:style w:type="paragraph" w:customStyle="1" w:styleId="SFCallout">
    <w:name w:val="SF Callout"/>
    <w:basedOn w:val="Normal"/>
    <w:pPr>
      <w:spacing w:before="80" w:after="120"/>
      <w:ind w:left="216" w:right="216"/>
    </w:pPr>
    <w:rPr>
      <w:i w:val="0"/>
      <w:sz w:val="21"/>
    </w:rPr>
  </w:style>
  <w:style w:type="paragraph" w:customStyle="1" w:styleId="SFSmall">
    <w:name w:val="SF Small"/>
    <w:basedOn w:val="Normal"/>
    <w:pPr>
      <w:spacing w:after="80"/>
    </w:pPr>
    <w:rPr>
      <w:color w:val="4A55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Shure.Fund Single Source of Truth v2</dc:title>
  <dc:subject>Deployable MVP build specification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