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A30A7" w14:textId="77777777" w:rsidR="00C62855" w:rsidRPr="00C62855" w:rsidRDefault="00C62855" w:rsidP="00126A43">
      <w:pPr>
        <w:pStyle w:val="Heading2"/>
        <w:spacing w:before="60" w:beforeAutospacing="0" w:after="60" w:afterAutospacing="0"/>
        <w:jc w:val="both"/>
        <w:rPr>
          <w:rFonts w:ascii="Arial" w:hAnsi="Arial" w:cs="Arial"/>
          <w:color w:val="000000"/>
          <w:sz w:val="40"/>
          <w:szCs w:val="40"/>
        </w:rPr>
      </w:pPr>
      <w:r w:rsidRPr="00C62855">
        <w:rPr>
          <w:rFonts w:ascii="Arial" w:hAnsi="Arial" w:cs="Arial"/>
          <w:color w:val="000000"/>
          <w:sz w:val="40"/>
          <w:szCs w:val="40"/>
        </w:rPr>
        <w:t>Working Papers</w:t>
      </w:r>
    </w:p>
    <w:p w14:paraId="3CB0A384" w14:textId="4A8FCB70" w:rsidR="00F07528" w:rsidRDefault="00F07528" w:rsidP="00126A43">
      <w:pPr>
        <w:spacing w:before="60" w:after="60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F69E56C" wp14:editId="0D247AA5">
            <wp:simplePos x="0" y="0"/>
            <wp:positionH relativeFrom="margin">
              <wp:posOffset>-160069</wp:posOffset>
            </wp:positionH>
            <wp:positionV relativeFrom="paragraph">
              <wp:posOffset>250190</wp:posOffset>
            </wp:positionV>
            <wp:extent cx="2569845" cy="1983105"/>
            <wp:effectExtent l="0" t="0" r="1905" b="0"/>
            <wp:wrapTight wrapText="bothSides">
              <wp:wrapPolygon edited="0">
                <wp:start x="0" y="0"/>
                <wp:lineTo x="0" y="21372"/>
                <wp:lineTo x="21456" y="21372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ED02A" w14:textId="2C516B58" w:rsidR="00FA7786" w:rsidRPr="00F07528" w:rsidRDefault="00F07528" w:rsidP="00126A43">
      <w:pPr>
        <w:spacing w:before="60" w:after="6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 w:rsidRPr="00F07528">
        <w:rPr>
          <w:rFonts w:ascii="Arial" w:hAnsi="Arial" w:cs="Arial"/>
          <w:b/>
          <w:bCs/>
          <w:color w:val="000000"/>
          <w:sz w:val="32"/>
          <w:szCs w:val="32"/>
        </w:rPr>
        <w:t>How Much Does Your Boss Make?</w:t>
      </w:r>
    </w:p>
    <w:p w14:paraId="6B41159E" w14:textId="04860B5D" w:rsidR="00F07528" w:rsidRPr="00F07528" w:rsidRDefault="00F07528" w:rsidP="00126A43">
      <w:pPr>
        <w:spacing w:before="60" w:after="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Do employees know how much more they bosses get paid? </w:t>
      </w:r>
      <w:r w:rsidRPr="00F07528">
        <w:rPr>
          <w:rFonts w:ascii="Arial" w:hAnsi="Arial" w:cs="Arial"/>
          <w:color w:val="000000"/>
        </w:rPr>
        <w:t>Are employees demotivated by this inequality? To address these questions, we conducted a field experiment with 2,060 employees from a multibillion-dollar corporation.</w:t>
      </w:r>
    </w:p>
    <w:p w14:paraId="5E20CB91" w14:textId="089585F7" w:rsidR="00F07528" w:rsidRPr="00F07528" w:rsidRDefault="00F07528" w:rsidP="00126A43">
      <w:pPr>
        <w:spacing w:before="60" w:after="60"/>
        <w:jc w:val="both"/>
        <w:rPr>
          <w:rFonts w:ascii="Arial" w:hAnsi="Arial" w:cs="Arial"/>
          <w:color w:val="000000"/>
          <w:sz w:val="20"/>
          <w:szCs w:val="20"/>
        </w:rPr>
      </w:pPr>
      <w:r w:rsidRPr="00F07528">
        <w:rPr>
          <w:rFonts w:ascii="Arial" w:hAnsi="Arial" w:cs="Arial"/>
          <w:color w:val="000000"/>
          <w:sz w:val="20"/>
          <w:szCs w:val="20"/>
        </w:rPr>
        <w:t>Cullen, Z. and Perez-Truglia, R. (2018). How Much Does Your Boss Make? The Effects of Salary Comparisons. NBER Working Paper No. 24841. [Revise &amp; Resubmit, </w:t>
      </w:r>
      <w:r w:rsidRPr="00F07528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Journal of Political Economy</w:t>
      </w:r>
      <w:r w:rsidRPr="00F07528">
        <w:rPr>
          <w:rFonts w:ascii="Arial" w:hAnsi="Arial" w:cs="Arial"/>
          <w:color w:val="000000"/>
          <w:sz w:val="20"/>
          <w:szCs w:val="20"/>
        </w:rPr>
        <w:t>]</w:t>
      </w:r>
    </w:p>
    <w:p w14:paraId="09C15917" w14:textId="295462F1" w:rsidR="00F07528" w:rsidRPr="00F07528" w:rsidRDefault="00B3363A" w:rsidP="00126A43">
      <w:pPr>
        <w:spacing w:before="60" w:after="60"/>
        <w:jc w:val="both"/>
        <w:rPr>
          <w:rFonts w:ascii="Arial" w:hAnsi="Arial" w:cs="Arial"/>
          <w:color w:val="000000"/>
          <w:sz w:val="20"/>
          <w:szCs w:val="20"/>
        </w:rPr>
      </w:pPr>
      <w:hyperlink r:id="rId5" w:tgtFrame="_blank" w:history="1">
        <w:r w:rsidR="00F07528" w:rsidRPr="00F07528">
          <w:rPr>
            <w:rStyle w:val="Hyperlink"/>
            <w:rFonts w:ascii="Arial" w:hAnsi="Arial" w:cs="Arial"/>
            <w:color w:val="6688AA"/>
            <w:sz w:val="20"/>
            <w:szCs w:val="20"/>
            <w:u w:val="none"/>
          </w:rPr>
          <w:t>[PDF]</w:t>
        </w:r>
      </w:hyperlink>
    </w:p>
    <w:p w14:paraId="2E51BD94" w14:textId="22B46659" w:rsidR="00F07528" w:rsidRDefault="00F07528" w:rsidP="00126A43">
      <w:pPr>
        <w:spacing w:before="60" w:after="6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8049C84" wp14:editId="1462D9DF">
            <wp:simplePos x="0" y="0"/>
            <wp:positionH relativeFrom="margin">
              <wp:posOffset>-60960</wp:posOffset>
            </wp:positionH>
            <wp:positionV relativeFrom="paragraph">
              <wp:posOffset>306070</wp:posOffset>
            </wp:positionV>
            <wp:extent cx="2369185" cy="194119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9F11" w14:textId="0B464AE8" w:rsidR="00FA7786" w:rsidRPr="00912005" w:rsidRDefault="00FA7786" w:rsidP="00126A43">
      <w:pPr>
        <w:spacing w:before="60" w:after="60"/>
        <w:jc w:val="both"/>
        <w:rPr>
          <w:noProof/>
          <w:sz w:val="32"/>
          <w:szCs w:val="32"/>
        </w:rPr>
      </w:pPr>
      <w:r w:rsidRPr="00FA7786">
        <w:rPr>
          <w:rFonts w:ascii="Arial" w:hAnsi="Arial" w:cs="Arial"/>
          <w:b/>
          <w:bCs/>
          <w:noProof/>
          <w:color w:val="000000"/>
          <w:sz w:val="32"/>
          <w:szCs w:val="32"/>
        </w:rPr>
        <w:t>The Old Boys' Club</w:t>
      </w:r>
      <w:r w:rsidRPr="00912005">
        <w:rPr>
          <w:noProof/>
          <w:sz w:val="32"/>
          <w:szCs w:val="32"/>
        </w:rPr>
        <w:t xml:space="preserve"> </w:t>
      </w:r>
    </w:p>
    <w:p w14:paraId="2D617C7E" w14:textId="170B6532" w:rsidR="00FA7786" w:rsidRDefault="00E547FF" w:rsidP="00126A43">
      <w:pPr>
        <w:spacing w:before="60" w:after="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Using administrative data and an event-study design, w</w:t>
      </w:r>
      <w:r w:rsidR="00FA7786" w:rsidRPr="00FA7786">
        <w:rPr>
          <w:rFonts w:ascii="Arial" w:hAnsi="Arial" w:cs="Arial"/>
          <w:color w:val="000000"/>
        </w:rPr>
        <w:t xml:space="preserve">e provide </w:t>
      </w:r>
      <w:r>
        <w:rPr>
          <w:rFonts w:ascii="Arial" w:hAnsi="Arial" w:cs="Arial"/>
          <w:color w:val="000000"/>
        </w:rPr>
        <w:t xml:space="preserve">causal </w:t>
      </w:r>
      <w:r w:rsidR="00FA7786" w:rsidRPr="00FA7786">
        <w:rPr>
          <w:rFonts w:ascii="Arial" w:hAnsi="Arial" w:cs="Arial"/>
          <w:color w:val="000000"/>
        </w:rPr>
        <w:t>evidence that</w:t>
      </w:r>
      <w:r w:rsidR="00FA7786">
        <w:rPr>
          <w:rFonts w:ascii="Arial" w:hAnsi="Arial" w:cs="Arial"/>
          <w:color w:val="000000"/>
        </w:rPr>
        <w:t xml:space="preserve"> </w:t>
      </w:r>
      <w:r w:rsidR="00FA7786" w:rsidRPr="00FA7786">
        <w:rPr>
          <w:rFonts w:ascii="Arial" w:hAnsi="Arial" w:cs="Arial"/>
          <w:color w:val="000000"/>
        </w:rPr>
        <w:t>employees’ social interactions with their managers can be advantageous for their careers and that</w:t>
      </w:r>
      <w:r w:rsidR="00FA7786">
        <w:rPr>
          <w:rFonts w:ascii="Arial" w:hAnsi="Arial" w:cs="Arial"/>
          <w:color w:val="000000"/>
        </w:rPr>
        <w:t xml:space="preserve"> </w:t>
      </w:r>
      <w:r w:rsidR="00FA7786" w:rsidRPr="00FA7786">
        <w:rPr>
          <w:rFonts w:ascii="Arial" w:hAnsi="Arial" w:cs="Arial"/>
          <w:color w:val="000000"/>
        </w:rPr>
        <w:t>this phenomenon contribute</w:t>
      </w:r>
      <w:r w:rsidR="00FA7786">
        <w:rPr>
          <w:rFonts w:ascii="Arial" w:hAnsi="Arial" w:cs="Arial"/>
          <w:color w:val="000000"/>
        </w:rPr>
        <w:t>s</w:t>
      </w:r>
      <w:r w:rsidR="00FA7786" w:rsidRPr="00FA7786">
        <w:rPr>
          <w:rFonts w:ascii="Arial" w:hAnsi="Arial" w:cs="Arial"/>
          <w:color w:val="000000"/>
        </w:rPr>
        <w:t xml:space="preserve"> to the gender pay gap.</w:t>
      </w:r>
    </w:p>
    <w:p w14:paraId="10D632D3" w14:textId="77777777" w:rsidR="00FA7786" w:rsidRPr="00FA7786" w:rsidRDefault="00FA7786" w:rsidP="00126A43">
      <w:pPr>
        <w:spacing w:before="60" w:after="60"/>
        <w:jc w:val="both"/>
        <w:rPr>
          <w:rFonts w:ascii="Arial" w:hAnsi="Arial" w:cs="Arial"/>
          <w:color w:val="000000"/>
          <w:sz w:val="20"/>
          <w:szCs w:val="20"/>
        </w:rPr>
      </w:pPr>
      <w:r w:rsidRPr="00FA7786">
        <w:rPr>
          <w:rFonts w:ascii="Arial" w:hAnsi="Arial" w:cs="Arial"/>
          <w:color w:val="000000"/>
          <w:sz w:val="20"/>
          <w:szCs w:val="20"/>
        </w:rPr>
        <w:t>Cullen, Z. and Perez-Truglia, R. (2019). The Old Boys' Club: Schmoozing and the Gender Gap. NBER Working Paper No. 26530.</w:t>
      </w:r>
    </w:p>
    <w:p w14:paraId="7A6737C6" w14:textId="0BF6A9A1" w:rsidR="00FA7786" w:rsidRDefault="00B3363A" w:rsidP="00126A43">
      <w:pPr>
        <w:spacing w:before="60" w:after="60"/>
        <w:jc w:val="both"/>
        <w:rPr>
          <w:rFonts w:ascii="Arial" w:hAnsi="Arial" w:cs="Arial"/>
          <w:color w:val="000000"/>
        </w:rPr>
      </w:pPr>
      <w:hyperlink r:id="rId7" w:tgtFrame="_blank" w:history="1">
        <w:r w:rsidR="00FA7786"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  <w:r w:rsidR="00FA7786">
        <w:rPr>
          <w:rFonts w:ascii="Arial" w:hAnsi="Arial" w:cs="Arial"/>
          <w:color w:val="000000"/>
        </w:rPr>
        <w:t> </w:t>
      </w:r>
    </w:p>
    <w:p w14:paraId="0FC43365" w14:textId="6ED761CD" w:rsidR="00126A43" w:rsidRDefault="00126A43" w:rsidP="00126A43">
      <w:pPr>
        <w:spacing w:before="60" w:after="60"/>
        <w:jc w:val="both"/>
        <w:rPr>
          <w:rFonts w:ascii="Arial" w:hAnsi="Arial" w:cs="Arial"/>
          <w:color w:val="000000"/>
        </w:rPr>
      </w:pPr>
    </w:p>
    <w:p w14:paraId="57CFD53B" w14:textId="29A8564E" w:rsidR="00126A43" w:rsidRDefault="00126A43" w:rsidP="00126A43">
      <w:pPr>
        <w:spacing w:before="60" w:after="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11C6865" wp14:editId="43B83CAC">
            <wp:simplePos x="0" y="0"/>
            <wp:positionH relativeFrom="margin">
              <wp:posOffset>-78105</wp:posOffset>
            </wp:positionH>
            <wp:positionV relativeFrom="paragraph">
              <wp:posOffset>200660</wp:posOffset>
            </wp:positionV>
            <wp:extent cx="2385060" cy="1969135"/>
            <wp:effectExtent l="0" t="0" r="0" b="0"/>
            <wp:wrapTight wrapText="bothSides">
              <wp:wrapPolygon edited="0">
                <wp:start x="0" y="0"/>
                <wp:lineTo x="0" y="21314"/>
                <wp:lineTo x="21393" y="21314"/>
                <wp:lineTo x="213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E3874" w14:textId="334643EB" w:rsidR="00C62855" w:rsidRPr="00C62855" w:rsidRDefault="00C62855" w:rsidP="00126A43">
      <w:pPr>
        <w:spacing w:before="60" w:after="6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 w:rsidRPr="00C62855">
        <w:rPr>
          <w:rFonts w:ascii="Arial" w:hAnsi="Arial" w:cs="Arial"/>
          <w:b/>
          <w:bCs/>
          <w:color w:val="000000"/>
          <w:sz w:val="32"/>
          <w:szCs w:val="32"/>
        </w:rPr>
        <w:t>The Salary Taboo</w:t>
      </w:r>
      <w:r w:rsidRPr="00C62855">
        <w:rPr>
          <w:rFonts w:ascii="Arial" w:hAnsi="Arial" w:cs="Arial"/>
          <w:b/>
          <w:bCs/>
          <w:noProof/>
          <w:color w:val="000000"/>
          <w:sz w:val="32"/>
          <w:szCs w:val="32"/>
        </w:rPr>
        <w:t xml:space="preserve"> </w:t>
      </w:r>
    </w:p>
    <w:p w14:paraId="2716FC76" w14:textId="5758CB8F" w:rsidR="00126A43" w:rsidRDefault="00126A4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126A43">
        <w:rPr>
          <w:rFonts w:ascii="Arial" w:hAnsi="Arial" w:cs="Arial"/>
          <w:color w:val="000000"/>
          <w:sz w:val="22"/>
          <w:szCs w:val="22"/>
        </w:rPr>
        <w:t>Access to salary information is believed to be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126A43">
        <w:rPr>
          <w:rFonts w:ascii="Arial" w:hAnsi="Arial" w:cs="Arial"/>
          <w:color w:val="000000"/>
          <w:sz w:val="22"/>
          <w:szCs w:val="22"/>
        </w:rPr>
        <w:t>limited and unequal, but there is little direct evidence on the sources of these information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frictions. We provide evidence </w:t>
      </w:r>
      <w:r>
        <w:rPr>
          <w:rFonts w:ascii="Arial" w:hAnsi="Arial" w:cs="Arial"/>
          <w:color w:val="000000"/>
          <w:sz w:val="22"/>
          <w:szCs w:val="22"/>
        </w:rPr>
        <w:t xml:space="preserve">on the role of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privacy norms </w:t>
      </w:r>
      <w:r>
        <w:rPr>
          <w:rFonts w:ascii="Arial" w:hAnsi="Arial" w:cs="Arial"/>
          <w:color w:val="000000"/>
          <w:sz w:val="22"/>
          <w:szCs w:val="22"/>
        </w:rPr>
        <w:t xml:space="preserve">with a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field experiment </w:t>
      </w:r>
      <w:r w:rsidR="00F07528">
        <w:rPr>
          <w:rFonts w:ascii="Arial" w:hAnsi="Arial" w:cs="Arial"/>
          <w:color w:val="000000"/>
          <w:sz w:val="22"/>
          <w:szCs w:val="22"/>
        </w:rPr>
        <w:t xml:space="preserve">involving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755 employees </w:t>
      </w:r>
      <w:r w:rsidR="00F07528">
        <w:rPr>
          <w:rFonts w:ascii="Arial" w:hAnsi="Arial" w:cs="Arial"/>
          <w:color w:val="000000"/>
          <w:sz w:val="22"/>
          <w:szCs w:val="22"/>
        </w:rPr>
        <w:t xml:space="preserve">from </w:t>
      </w:r>
      <w:r w:rsidRPr="00126A43">
        <w:rPr>
          <w:rFonts w:ascii="Arial" w:hAnsi="Arial" w:cs="Arial"/>
          <w:color w:val="000000"/>
          <w:sz w:val="22"/>
          <w:szCs w:val="22"/>
        </w:rPr>
        <w:t>a multibillion-dollar corporation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3AE1B82" w14:textId="2FCB58B6" w:rsidR="00C62855" w:rsidRPr="00126A43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126A43">
        <w:rPr>
          <w:rFonts w:ascii="Arial" w:hAnsi="Arial" w:cs="Arial"/>
          <w:color w:val="000000"/>
          <w:sz w:val="20"/>
          <w:szCs w:val="20"/>
        </w:rPr>
        <w:t>Cullen, Z. and Perez-Truglia, R. (2018). The Salary Taboo: Privacy Norms and the Diffusion of Information. NBER Working Paper No. 25145.</w:t>
      </w:r>
    </w:p>
    <w:p w14:paraId="3B2EA4D8" w14:textId="49620F89" w:rsidR="00C62855" w:rsidRPr="00126A43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9" w:tgtFrame="_blank" w:history="1">
        <w:r w:rsidR="00C62855" w:rsidRPr="00126A43">
          <w:rPr>
            <w:rStyle w:val="Hyperlink"/>
            <w:rFonts w:ascii="Arial" w:hAnsi="Arial" w:cs="Arial"/>
            <w:color w:val="6688AA"/>
            <w:sz w:val="20"/>
            <w:szCs w:val="20"/>
          </w:rPr>
          <w:t>[PDF]</w:t>
        </w:r>
      </w:hyperlink>
      <w:r w:rsidR="00C62855" w:rsidRPr="00126A43">
        <w:rPr>
          <w:rFonts w:ascii="Arial" w:hAnsi="Arial" w:cs="Arial"/>
          <w:color w:val="000000"/>
          <w:sz w:val="20"/>
          <w:szCs w:val="20"/>
        </w:rPr>
        <w:t> </w:t>
      </w:r>
    </w:p>
    <w:p w14:paraId="03D4D621" w14:textId="09C9DBE6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200C83CC" w14:textId="4B58F4E8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0D606D1A" w14:textId="2EB84F29" w:rsidR="00C62855" w:rsidRPr="00C62855" w:rsidRDefault="00126A4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 w:rsidRPr="00C62855">
        <w:rPr>
          <w:rFonts w:ascii="Arial" w:hAnsi="Arial" w:cs="Arial"/>
          <w:b/>
          <w:bCs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19CE29E8" wp14:editId="7DA9A3F8">
            <wp:simplePos x="0" y="0"/>
            <wp:positionH relativeFrom="margin">
              <wp:posOffset>-71120</wp:posOffset>
            </wp:positionH>
            <wp:positionV relativeFrom="paragraph">
              <wp:posOffset>99695</wp:posOffset>
            </wp:positionV>
            <wp:extent cx="2412365" cy="2046605"/>
            <wp:effectExtent l="0" t="0" r="6985" b="0"/>
            <wp:wrapTight wrapText="bothSides">
              <wp:wrapPolygon edited="0">
                <wp:start x="0" y="0"/>
                <wp:lineTo x="0" y="21312"/>
                <wp:lineTo x="21492" y="21312"/>
                <wp:lineTo x="214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855" w:rsidRPr="00C62855">
        <w:rPr>
          <w:rFonts w:ascii="Arial" w:hAnsi="Arial" w:cs="Arial"/>
          <w:b/>
          <w:bCs/>
          <w:color w:val="000000"/>
          <w:sz w:val="32"/>
          <w:szCs w:val="32"/>
        </w:rPr>
        <w:t>Betting on the House</w:t>
      </w:r>
      <w:r w:rsidR="00C62855" w:rsidRPr="00C62855">
        <w:rPr>
          <w:rFonts w:ascii="Arial" w:hAnsi="Arial" w:cs="Arial"/>
          <w:b/>
          <w:bCs/>
          <w:noProof/>
          <w:color w:val="000000"/>
          <w:sz w:val="32"/>
          <w:szCs w:val="32"/>
        </w:rPr>
        <w:t xml:space="preserve"> </w:t>
      </w:r>
    </w:p>
    <w:p w14:paraId="33EA7B22" w14:textId="686DBB1D" w:rsidR="00C62855" w:rsidRPr="00126A43" w:rsidRDefault="00126A43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126A43">
        <w:rPr>
          <w:rFonts w:ascii="Arial" w:hAnsi="Arial" w:cs="Arial"/>
          <w:color w:val="000000"/>
          <w:sz w:val="22"/>
          <w:szCs w:val="22"/>
        </w:rPr>
        <w:t>Home price expectations play a central role in macroeconomics and finance. However, there is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little direct evidence on how these expectations affect market choices. We provide </w:t>
      </w:r>
      <w:r w:rsidR="00F07528">
        <w:rPr>
          <w:rFonts w:ascii="Arial" w:hAnsi="Arial" w:cs="Arial"/>
          <w:color w:val="000000"/>
          <w:sz w:val="22"/>
          <w:szCs w:val="22"/>
        </w:rPr>
        <w:t xml:space="preserve">unique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evidence </w:t>
      </w:r>
      <w:r w:rsidR="00F07528">
        <w:rPr>
          <w:rFonts w:ascii="Arial" w:hAnsi="Arial" w:cs="Arial"/>
          <w:color w:val="000000"/>
          <w:sz w:val="22"/>
          <w:szCs w:val="22"/>
        </w:rPr>
        <w:t xml:space="preserve">from a large-scale </w:t>
      </w:r>
      <w:r w:rsidRPr="00126A43">
        <w:rPr>
          <w:rFonts w:ascii="Arial" w:hAnsi="Arial" w:cs="Arial"/>
          <w:color w:val="000000"/>
          <w:sz w:val="22"/>
          <w:szCs w:val="22"/>
        </w:rPr>
        <w:t xml:space="preserve">field experiment </w:t>
      </w:r>
      <w:r w:rsidR="00F07528">
        <w:rPr>
          <w:rFonts w:ascii="Arial" w:hAnsi="Arial" w:cs="Arial"/>
          <w:color w:val="000000"/>
          <w:sz w:val="22"/>
          <w:szCs w:val="22"/>
        </w:rPr>
        <w:t xml:space="preserve">involving </w:t>
      </w:r>
      <w:r w:rsidRPr="00126A43">
        <w:rPr>
          <w:rFonts w:ascii="Arial" w:hAnsi="Arial" w:cs="Arial"/>
          <w:color w:val="000000"/>
          <w:sz w:val="22"/>
          <w:szCs w:val="22"/>
        </w:rPr>
        <w:t>57,910</w:t>
      </w:r>
      <w:r w:rsidR="00C42220">
        <w:rPr>
          <w:rFonts w:ascii="Arial" w:hAnsi="Arial" w:cs="Arial"/>
          <w:color w:val="000000"/>
          <w:sz w:val="22"/>
          <w:szCs w:val="22"/>
        </w:rPr>
        <w:t xml:space="preserve"> </w:t>
      </w:r>
      <w:r w:rsidRPr="00126A43">
        <w:rPr>
          <w:rFonts w:ascii="Arial" w:hAnsi="Arial" w:cs="Arial"/>
          <w:color w:val="000000"/>
          <w:sz w:val="22"/>
          <w:szCs w:val="22"/>
        </w:rPr>
        <w:t>homeowners</w:t>
      </w:r>
      <w:r w:rsidR="00C42220">
        <w:rPr>
          <w:rFonts w:ascii="Arial" w:hAnsi="Arial" w:cs="Arial"/>
          <w:color w:val="000000"/>
          <w:sz w:val="22"/>
          <w:szCs w:val="22"/>
        </w:rPr>
        <w:t xml:space="preserve"> in the United States</w:t>
      </w:r>
      <w:r w:rsidRPr="00126A43">
        <w:rPr>
          <w:rFonts w:ascii="Arial" w:hAnsi="Arial" w:cs="Arial"/>
          <w:color w:val="000000"/>
          <w:sz w:val="22"/>
          <w:szCs w:val="22"/>
        </w:rPr>
        <w:t>.</w:t>
      </w:r>
    </w:p>
    <w:p w14:paraId="5DB458C0" w14:textId="4F34B401" w:rsidR="00C62855" w:rsidRPr="00126A43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126A43">
        <w:rPr>
          <w:rFonts w:ascii="Arial" w:hAnsi="Arial" w:cs="Arial"/>
          <w:color w:val="000000"/>
          <w:sz w:val="20"/>
          <w:szCs w:val="20"/>
        </w:rPr>
        <w:t>Bottan</w:t>
      </w:r>
      <w:proofErr w:type="spellEnd"/>
      <w:r w:rsidRPr="00126A43">
        <w:rPr>
          <w:rFonts w:ascii="Arial" w:hAnsi="Arial" w:cs="Arial"/>
          <w:color w:val="000000"/>
          <w:sz w:val="20"/>
          <w:szCs w:val="20"/>
        </w:rPr>
        <w:t>, N. and Perez-Truglia, R. (2020). Betting on the House: Subjective Expectations and Market Choices. NBER Working Paper No. 27412.</w:t>
      </w:r>
    </w:p>
    <w:p w14:paraId="0776D30E" w14:textId="6ABD9F01" w:rsidR="00C62855" w:rsidRPr="00126A43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11" w:tgtFrame="_blank" w:history="1">
        <w:r w:rsidR="00C62855" w:rsidRPr="00126A43">
          <w:rPr>
            <w:rStyle w:val="Hyperlink"/>
            <w:rFonts w:ascii="Arial" w:hAnsi="Arial" w:cs="Arial"/>
            <w:color w:val="6688AA"/>
            <w:sz w:val="20"/>
            <w:szCs w:val="20"/>
          </w:rPr>
          <w:t>[PDF]</w:t>
        </w:r>
      </w:hyperlink>
      <w:r w:rsidR="00C62855" w:rsidRPr="00126A43">
        <w:rPr>
          <w:rFonts w:ascii="Arial" w:hAnsi="Arial" w:cs="Arial"/>
          <w:color w:val="000000"/>
          <w:sz w:val="20"/>
          <w:szCs w:val="20"/>
        </w:rPr>
        <w:t> </w:t>
      </w:r>
    </w:p>
    <w:p w14:paraId="5CBDE24C" w14:textId="77777777" w:rsidR="00C62855" w:rsidRP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738A66F3" w14:textId="6434419E" w:rsidR="00C62855" w:rsidRPr="00C62855" w:rsidRDefault="00126A4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65713A00" wp14:editId="03E0B682">
            <wp:simplePos x="0" y="0"/>
            <wp:positionH relativeFrom="margin">
              <wp:posOffset>-635</wp:posOffset>
            </wp:positionH>
            <wp:positionV relativeFrom="paragraph">
              <wp:posOffset>71853</wp:posOffset>
            </wp:positionV>
            <wp:extent cx="2623185" cy="2525395"/>
            <wp:effectExtent l="0" t="0" r="5715" b="8255"/>
            <wp:wrapTight wrapText="bothSides">
              <wp:wrapPolygon edited="0">
                <wp:start x="0" y="0"/>
                <wp:lineTo x="0" y="21508"/>
                <wp:lineTo x="21490" y="21508"/>
                <wp:lineTo x="214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855" w:rsidRPr="00C62855">
        <w:rPr>
          <w:rFonts w:ascii="Arial" w:hAnsi="Arial" w:cs="Arial"/>
          <w:b/>
          <w:bCs/>
          <w:color w:val="000000"/>
          <w:sz w:val="32"/>
          <w:szCs w:val="32"/>
        </w:rPr>
        <w:t>My Taxes are Too Darn High</w:t>
      </w:r>
    </w:p>
    <w:p w14:paraId="0BC3C8CC" w14:textId="2A88BB62" w:rsidR="00C62855" w:rsidRPr="00126A43" w:rsidRDefault="00F07528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</w:t>
      </w:r>
      <w:r w:rsidR="00126A43" w:rsidRPr="00126A43">
        <w:rPr>
          <w:rFonts w:ascii="Arial" w:hAnsi="Arial" w:cs="Arial"/>
          <w:color w:val="000000"/>
          <w:sz w:val="22"/>
          <w:szCs w:val="22"/>
        </w:rPr>
        <w:t>ousehol</w:t>
      </w:r>
      <w:r>
        <w:rPr>
          <w:rFonts w:ascii="Arial" w:hAnsi="Arial" w:cs="Arial"/>
          <w:color w:val="000000"/>
          <w:sz w:val="22"/>
          <w:szCs w:val="22"/>
        </w:rPr>
        <w:t>ds</w:t>
      </w:r>
      <w:r w:rsidR="00126A43" w:rsidRPr="00126A43">
        <w:rPr>
          <w:rFonts w:ascii="Arial" w:hAnsi="Arial" w:cs="Arial"/>
          <w:color w:val="000000"/>
          <w:sz w:val="22"/>
          <w:szCs w:val="22"/>
        </w:rPr>
        <w:t xml:space="preserve"> can file a protest with the goal of legally reducing their property taxes. This choice provides a unique opportunity to study </w:t>
      </w:r>
      <w:r>
        <w:rPr>
          <w:rFonts w:ascii="Arial" w:hAnsi="Arial" w:cs="Arial"/>
          <w:color w:val="000000"/>
          <w:sz w:val="22"/>
          <w:szCs w:val="22"/>
        </w:rPr>
        <w:t xml:space="preserve">support for taxation </w:t>
      </w:r>
      <w:r w:rsidR="00126A43" w:rsidRPr="00126A43">
        <w:rPr>
          <w:rFonts w:ascii="Arial" w:hAnsi="Arial" w:cs="Arial"/>
          <w:color w:val="000000"/>
          <w:sz w:val="22"/>
          <w:szCs w:val="22"/>
        </w:rPr>
        <w:t xml:space="preserve">via </w:t>
      </w:r>
      <w:r w:rsidRPr="00126A43">
        <w:rPr>
          <w:rFonts w:ascii="Arial" w:hAnsi="Arial" w:cs="Arial"/>
          <w:color w:val="000000"/>
          <w:sz w:val="22"/>
          <w:szCs w:val="22"/>
        </w:rPr>
        <w:t>revealed</w:t>
      </w:r>
      <w:r>
        <w:rPr>
          <w:rFonts w:ascii="Arial" w:hAnsi="Arial" w:cs="Arial"/>
          <w:color w:val="000000"/>
          <w:sz w:val="22"/>
          <w:szCs w:val="22"/>
        </w:rPr>
        <w:t xml:space="preserve"> preference</w:t>
      </w:r>
      <w:r w:rsidR="00126A43" w:rsidRPr="00126A43">
        <w:rPr>
          <w:rFonts w:ascii="Arial" w:hAnsi="Arial" w:cs="Arial"/>
          <w:color w:val="000000"/>
          <w:sz w:val="22"/>
          <w:szCs w:val="22"/>
        </w:rPr>
        <w:t>. We study the motives driving tax protests through two sources of causal identification: a quasi-experiment and a pre-registered large-scale natural field experiment.</w:t>
      </w:r>
    </w:p>
    <w:p w14:paraId="67AE8CB4" w14:textId="1FA762EA" w:rsidR="00C62855" w:rsidRPr="00126A43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126A43">
        <w:rPr>
          <w:rFonts w:ascii="Arial" w:hAnsi="Arial" w:cs="Arial"/>
          <w:color w:val="000000"/>
          <w:sz w:val="20"/>
          <w:szCs w:val="20"/>
        </w:rPr>
        <w:t xml:space="preserve">Nathan, B.; Perez-Truglia, R. and </w:t>
      </w:r>
      <w:proofErr w:type="spellStart"/>
      <w:r w:rsidRPr="00126A43">
        <w:rPr>
          <w:rFonts w:ascii="Arial" w:hAnsi="Arial" w:cs="Arial"/>
          <w:color w:val="000000"/>
          <w:sz w:val="20"/>
          <w:szCs w:val="20"/>
        </w:rPr>
        <w:t>Zentner</w:t>
      </w:r>
      <w:proofErr w:type="spellEnd"/>
      <w:r w:rsidRPr="00126A43">
        <w:rPr>
          <w:rFonts w:ascii="Arial" w:hAnsi="Arial" w:cs="Arial"/>
          <w:color w:val="000000"/>
          <w:sz w:val="20"/>
          <w:szCs w:val="20"/>
        </w:rPr>
        <w:t>, A. (2020). My Taxes are Too Darn High: Tax Protests as Revealed Preferences for Redistribution. NBER Working Paper No. 27816.</w:t>
      </w:r>
    </w:p>
    <w:p w14:paraId="748B8431" w14:textId="2E58BFA4" w:rsidR="00C62855" w:rsidRPr="00126A43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13" w:tgtFrame="_blank" w:history="1">
        <w:r w:rsidR="00C62855" w:rsidRPr="00126A43">
          <w:rPr>
            <w:rStyle w:val="Hyperlink"/>
            <w:rFonts w:ascii="Arial" w:hAnsi="Arial" w:cs="Arial"/>
            <w:color w:val="6688AA"/>
            <w:sz w:val="20"/>
            <w:szCs w:val="20"/>
          </w:rPr>
          <w:t>[PDF]</w:t>
        </w:r>
      </w:hyperlink>
      <w:r w:rsidR="00C62855" w:rsidRPr="00126A43">
        <w:rPr>
          <w:rFonts w:ascii="Arial" w:hAnsi="Arial" w:cs="Arial"/>
          <w:color w:val="000000"/>
          <w:sz w:val="20"/>
          <w:szCs w:val="20"/>
        </w:rPr>
        <w:t> </w:t>
      </w:r>
    </w:p>
    <w:p w14:paraId="1C995D75" w14:textId="3D4F750E" w:rsidR="00B338BC" w:rsidRDefault="00B338BC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D76E09A" w14:textId="2C4A73DA" w:rsidR="00C62855" w:rsidRPr="00C62855" w:rsidRDefault="00C4222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0CAA75C" wp14:editId="66415C1E">
            <wp:simplePos x="0" y="0"/>
            <wp:positionH relativeFrom="margin">
              <wp:posOffset>-197485</wp:posOffset>
            </wp:positionH>
            <wp:positionV relativeFrom="paragraph">
              <wp:posOffset>104140</wp:posOffset>
            </wp:positionV>
            <wp:extent cx="2785110" cy="2595880"/>
            <wp:effectExtent l="0" t="0" r="0" b="0"/>
            <wp:wrapTight wrapText="bothSides">
              <wp:wrapPolygon edited="0">
                <wp:start x="0" y="0"/>
                <wp:lineTo x="0" y="21399"/>
                <wp:lineTo x="21423" y="21399"/>
                <wp:lineTo x="21423" y="0"/>
                <wp:lineTo x="0" y="0"/>
              </wp:wrapPolygon>
            </wp:wrapTight>
            <wp:docPr id="11" name="Picture 11" descr="tax audit stamp on US tax form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x audit stamp on US tax form 10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855" w:rsidRPr="00C62855">
        <w:rPr>
          <w:rFonts w:ascii="Arial" w:hAnsi="Arial" w:cs="Arial"/>
          <w:b/>
          <w:bCs/>
          <w:color w:val="000000"/>
          <w:sz w:val="32"/>
          <w:szCs w:val="32"/>
        </w:rPr>
        <w:t>Tax Audits as Scarecrows</w:t>
      </w:r>
    </w:p>
    <w:p w14:paraId="7910D3F3" w14:textId="04633FF3" w:rsidR="00126A43" w:rsidRPr="00C42220" w:rsidRDefault="00C42220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C42220">
        <w:rPr>
          <w:rFonts w:ascii="Arial" w:hAnsi="Arial" w:cs="Arial"/>
          <w:color w:val="000000"/>
          <w:sz w:val="22"/>
          <w:szCs w:val="22"/>
        </w:rPr>
        <w:t xml:space="preserve">To </w:t>
      </w:r>
      <w:r>
        <w:rPr>
          <w:rFonts w:ascii="Arial" w:hAnsi="Arial" w:cs="Arial"/>
          <w:color w:val="000000"/>
          <w:sz w:val="22"/>
          <w:szCs w:val="22"/>
        </w:rPr>
        <w:t>study tax evasion choices</w:t>
      </w:r>
      <w:r w:rsidRPr="00C42220">
        <w:rPr>
          <w:rFonts w:ascii="Arial" w:hAnsi="Arial" w:cs="Arial"/>
          <w:color w:val="000000"/>
          <w:sz w:val="22"/>
          <w:szCs w:val="22"/>
        </w:rPr>
        <w:t xml:space="preserve">, we </w:t>
      </w:r>
      <w:r w:rsidR="00126A43" w:rsidRPr="00C42220">
        <w:rPr>
          <w:rFonts w:ascii="Arial" w:hAnsi="Arial" w:cs="Arial"/>
          <w:color w:val="000000"/>
          <w:sz w:val="22"/>
          <w:szCs w:val="22"/>
        </w:rPr>
        <w:t>conducted a large-scale field experiment with 20,440 small- and medium-sized firms that collectively paid more than 200 million dollars in taxes per year.</w:t>
      </w:r>
      <w:r w:rsidRPr="00C42220">
        <w:rPr>
          <w:rFonts w:ascii="Arial" w:hAnsi="Arial" w:cs="Arial"/>
          <w:color w:val="000000"/>
          <w:sz w:val="22"/>
          <w:szCs w:val="22"/>
        </w:rPr>
        <w:t xml:space="preserve"> Our evidence suggests that </w:t>
      </w:r>
      <w:r w:rsidR="00126A43" w:rsidRPr="00C42220">
        <w:rPr>
          <w:rFonts w:ascii="Arial" w:hAnsi="Arial" w:cs="Arial"/>
          <w:color w:val="000000"/>
          <w:sz w:val="22"/>
          <w:szCs w:val="22"/>
        </w:rPr>
        <w:t>audits may deter tax evasion in the same way that scarecrows frighten off birds</w:t>
      </w:r>
      <w:r w:rsidRPr="00C42220">
        <w:rPr>
          <w:rFonts w:ascii="Arial" w:hAnsi="Arial" w:cs="Arial"/>
          <w:color w:val="000000"/>
          <w:sz w:val="22"/>
          <w:szCs w:val="22"/>
        </w:rPr>
        <w:t>.</w:t>
      </w:r>
    </w:p>
    <w:p w14:paraId="275B5047" w14:textId="53A86C1A" w:rsidR="00C62855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Bergolo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 xml:space="preserve">, M.;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Ceni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 xml:space="preserve">, R.; Cruces, G.;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Giaccobasso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M. and Perez-Truglia, R. (2017). Tax Audits as Scarecrows: Evidence from a Large-Scale Field Experiment. NBER Working Paper No. 23631. [Revise &amp; Resubmit,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</w:rPr>
        <w:t>American Economic Journal: Economic Policy</w:t>
      </w:r>
      <w:r w:rsidRPr="00C42220">
        <w:rPr>
          <w:rFonts w:ascii="Arial" w:hAnsi="Arial" w:cs="Arial"/>
          <w:color w:val="000000"/>
          <w:sz w:val="20"/>
          <w:szCs w:val="20"/>
        </w:rPr>
        <w:t>]</w:t>
      </w:r>
    </w:p>
    <w:p w14:paraId="0809C3D3" w14:textId="11C773D8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15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</w:p>
    <w:p w14:paraId="2BB3CD42" w14:textId="77777777" w:rsidR="00C62855" w:rsidRP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05AE7899" w14:textId="77777777" w:rsidR="00086263" w:rsidRDefault="0008626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3F8C1BF0" w14:textId="110188D5" w:rsidR="00A156BA" w:rsidRDefault="00A156B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332210D7" w14:textId="02EAFB65" w:rsidR="00A156BA" w:rsidRPr="00A156BA" w:rsidRDefault="002E128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5D365B90" wp14:editId="5AFBDF10">
            <wp:simplePos x="0" y="0"/>
            <wp:positionH relativeFrom="column">
              <wp:posOffset>0</wp:posOffset>
            </wp:positionH>
            <wp:positionV relativeFrom="paragraph">
              <wp:posOffset>107364</wp:posOffset>
            </wp:positionV>
            <wp:extent cx="2524760" cy="2115820"/>
            <wp:effectExtent l="0" t="0" r="8890" b="0"/>
            <wp:wrapTight wrapText="bothSides">
              <wp:wrapPolygon edited="0">
                <wp:start x="0" y="0"/>
                <wp:lineTo x="0" y="21393"/>
                <wp:lineTo x="21513" y="21393"/>
                <wp:lineTo x="2151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56BA" w:rsidRPr="00A156BA">
        <w:rPr>
          <w:rFonts w:ascii="Arial" w:hAnsi="Arial" w:cs="Arial"/>
          <w:b/>
          <w:bCs/>
          <w:color w:val="000000"/>
          <w:sz w:val="32"/>
          <w:szCs w:val="32"/>
        </w:rPr>
        <w:t>Your Place in the World</w:t>
      </w:r>
    </w:p>
    <w:p w14:paraId="14120CA6" w14:textId="6A03C309" w:rsidR="002E128A" w:rsidRDefault="002E128A" w:rsidP="002E128A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128A">
        <w:rPr>
          <w:rFonts w:ascii="Arial" w:hAnsi="Arial" w:cs="Arial"/>
          <w:color w:val="000000"/>
          <w:sz w:val="22"/>
          <w:szCs w:val="22"/>
        </w:rPr>
        <w:t xml:space="preserve">Some </w:t>
      </w:r>
      <w:r w:rsidRPr="002E128A">
        <w:rPr>
          <w:rFonts w:ascii="Arial" w:hAnsi="Arial" w:cs="Arial"/>
          <w:color w:val="000000"/>
          <w:sz w:val="22"/>
          <w:szCs w:val="22"/>
        </w:rPr>
        <w:t>of today’s most heated policy debates about Brexit, trade wars, climate change abatement, and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>migration involve redistribution of resources between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>countries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 xml:space="preserve">We study the </w:t>
      </w:r>
      <w:r w:rsidRPr="002E128A">
        <w:rPr>
          <w:rFonts w:ascii="Arial" w:hAnsi="Arial" w:cs="Arial"/>
          <w:color w:val="000000"/>
          <w:sz w:val="22"/>
          <w:szCs w:val="22"/>
        </w:rPr>
        <w:t>demand for global redistribution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>using a two-year, face-to-face survey of a representative sample of German households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5236CA9" w14:textId="30D2B7DE" w:rsidR="00C62855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C42220">
        <w:rPr>
          <w:rFonts w:ascii="Arial" w:hAnsi="Arial" w:cs="Arial"/>
          <w:color w:val="000000"/>
          <w:sz w:val="20"/>
          <w:szCs w:val="20"/>
        </w:rPr>
        <w:t xml:space="preserve">Fehr, D.;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Mollerstrom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J. and Perez-Truglia, R. (2019). Your Place in the World: The Demand for National and Global Redistribution. NBER Working Paper No. 26555.</w:t>
      </w:r>
      <w:r w:rsidR="00086263" w:rsidRPr="00C42220">
        <w:rPr>
          <w:rFonts w:ascii="Arial" w:hAnsi="Arial" w:cs="Arial"/>
          <w:color w:val="000000"/>
          <w:sz w:val="20"/>
          <w:szCs w:val="20"/>
        </w:rPr>
        <w:t xml:space="preserve"> </w:t>
      </w:r>
      <w:r w:rsidRPr="00C42220">
        <w:rPr>
          <w:rFonts w:ascii="Arial" w:hAnsi="Arial" w:cs="Arial"/>
          <w:color w:val="000000"/>
          <w:sz w:val="20"/>
          <w:szCs w:val="20"/>
        </w:rPr>
        <w:t>[Revise &amp; Resubmit,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</w:rPr>
        <w:t>American Economic Journal: Economic Policy</w:t>
      </w:r>
      <w:r w:rsidRPr="00C42220">
        <w:rPr>
          <w:rFonts w:ascii="Arial" w:hAnsi="Arial" w:cs="Arial"/>
          <w:color w:val="000000"/>
          <w:sz w:val="20"/>
          <w:szCs w:val="20"/>
        </w:rPr>
        <w:t>]</w:t>
      </w:r>
    </w:p>
    <w:p w14:paraId="16192467" w14:textId="5DFCA8EB" w:rsidR="00086263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17" w:tgtFrame="_blank" w:history="1">
        <w:r w:rsidR="00086263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[PDF]</w:t>
        </w:r>
      </w:hyperlink>
      <w:r w:rsidR="00086263" w:rsidRPr="00C42220">
        <w:rPr>
          <w:rFonts w:ascii="Arial" w:hAnsi="Arial" w:cs="Arial"/>
          <w:color w:val="000000"/>
          <w:sz w:val="20"/>
          <w:szCs w:val="20"/>
        </w:rPr>
        <w:t>  </w:t>
      </w:r>
    </w:p>
    <w:p w14:paraId="718492DF" w14:textId="5CF8BDF1" w:rsidR="00A156BA" w:rsidRDefault="00A156B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4D9B9F1E" w14:textId="30F5A2C9" w:rsidR="00904697" w:rsidRDefault="00904697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65AF5484" w14:textId="5A72C12D" w:rsidR="00B338BC" w:rsidRPr="00B338BC" w:rsidRDefault="002E128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 w:rsidRPr="00B338BC"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BC00C91" wp14:editId="365D774C">
            <wp:simplePos x="0" y="0"/>
            <wp:positionH relativeFrom="column">
              <wp:posOffset>-226060</wp:posOffset>
            </wp:positionH>
            <wp:positionV relativeFrom="paragraph">
              <wp:posOffset>111174</wp:posOffset>
            </wp:positionV>
            <wp:extent cx="2531745" cy="2152015"/>
            <wp:effectExtent l="0" t="0" r="1905" b="635"/>
            <wp:wrapTight wrapText="bothSides">
              <wp:wrapPolygon edited="0">
                <wp:start x="0" y="0"/>
                <wp:lineTo x="0" y="21415"/>
                <wp:lineTo x="21454" y="21415"/>
                <wp:lineTo x="2145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8BC" w:rsidRPr="00B338BC">
        <w:rPr>
          <w:rFonts w:ascii="Arial" w:hAnsi="Arial" w:cs="Arial"/>
          <w:b/>
          <w:bCs/>
          <w:color w:val="000000"/>
          <w:sz w:val="32"/>
          <w:szCs w:val="32"/>
        </w:rPr>
        <w:t>What Makes a Tax Evader?</w:t>
      </w:r>
    </w:p>
    <w:p w14:paraId="4B1CD631" w14:textId="31E9CA5C" w:rsidR="00B338BC" w:rsidRPr="002E128A" w:rsidRDefault="002E128A" w:rsidP="002E128A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128A">
        <w:rPr>
          <w:rFonts w:ascii="Arial" w:hAnsi="Arial" w:cs="Arial"/>
          <w:color w:val="000000"/>
          <w:sz w:val="22"/>
          <w:szCs w:val="22"/>
        </w:rPr>
        <w:t xml:space="preserve">Why do some individuals choose to evade taxes while others do not? One popular view is </w:t>
      </w:r>
      <w:proofErr w:type="spellStart"/>
      <w:r w:rsidRPr="002E128A">
        <w:rPr>
          <w:rFonts w:ascii="Arial" w:hAnsi="Arial" w:cs="Arial"/>
          <w:color w:val="000000"/>
          <w:sz w:val="22"/>
          <w:szCs w:val="22"/>
        </w:rPr>
        <w:t>thatsome</w:t>
      </w:r>
      <w:proofErr w:type="spellEnd"/>
      <w:r w:rsidRPr="002E128A">
        <w:rPr>
          <w:rFonts w:ascii="Arial" w:hAnsi="Arial" w:cs="Arial"/>
          <w:color w:val="000000"/>
          <w:sz w:val="22"/>
          <w:szCs w:val="22"/>
        </w:rPr>
        <w:t xml:space="preserve"> individuals cheat on their taxes because they are more dishonest, selfish, or perceive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different social norms. There is, however, little direct evidence on this matter. </w:t>
      </w:r>
      <w:r>
        <w:rPr>
          <w:rFonts w:ascii="Arial" w:hAnsi="Arial" w:cs="Arial"/>
          <w:color w:val="000000"/>
          <w:sz w:val="22"/>
          <w:szCs w:val="22"/>
        </w:rPr>
        <w:t>W</w:t>
      </w:r>
      <w:r w:rsidRPr="002E128A">
        <w:rPr>
          <w:rFonts w:ascii="Arial" w:hAnsi="Arial" w:cs="Arial"/>
          <w:color w:val="000000"/>
          <w:sz w:val="22"/>
          <w:szCs w:val="22"/>
        </w:rPr>
        <w:t>e address this question using a combination of surveys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>and administrative records.</w:t>
      </w:r>
    </w:p>
    <w:p w14:paraId="75182C19" w14:textId="60021642" w:rsidR="00A156BA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Bergolo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 xml:space="preserve">, M.;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Leites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 xml:space="preserve">, M.; Perez-Truglia, R. and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Strehl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M. (2020). What Makes a Tax Evader? NBER Working Paper No. 28235.</w:t>
      </w:r>
    </w:p>
    <w:p w14:paraId="6B0C8A6D" w14:textId="1EE2926D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19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</w:p>
    <w:p w14:paraId="765E473F" w14:textId="77777777" w:rsidR="00904697" w:rsidRDefault="00904697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373BCD5C" w14:textId="56E57164" w:rsidR="00B338BC" w:rsidRDefault="00B338BC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5F76C5AF" w14:textId="3B3BEDBC" w:rsidR="00B338BC" w:rsidRPr="00BA694D" w:rsidRDefault="002E128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 w:rsidRPr="00BA694D"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9F126D2" wp14:editId="7494E101">
            <wp:simplePos x="0" y="0"/>
            <wp:positionH relativeFrom="margin">
              <wp:posOffset>-361315</wp:posOffset>
            </wp:positionH>
            <wp:positionV relativeFrom="paragraph">
              <wp:posOffset>164514</wp:posOffset>
            </wp:positionV>
            <wp:extent cx="2616200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390" y="21459"/>
                <wp:lineTo x="2139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94D" w:rsidRPr="00BA694D">
        <w:rPr>
          <w:rFonts w:ascii="Arial" w:hAnsi="Arial" w:cs="Arial"/>
          <w:b/>
          <w:bCs/>
          <w:color w:val="000000"/>
          <w:sz w:val="32"/>
          <w:szCs w:val="32"/>
        </w:rPr>
        <w:t>Macroeconomic Expectations and Credit Card Spending</w:t>
      </w:r>
    </w:p>
    <w:p w14:paraId="130C075A" w14:textId="35BB770B" w:rsidR="00B338BC" w:rsidRPr="002E128A" w:rsidRDefault="002E128A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128A">
        <w:rPr>
          <w:rFonts w:ascii="Arial" w:hAnsi="Arial" w:cs="Arial"/>
          <w:color w:val="000000"/>
          <w:sz w:val="22"/>
          <w:szCs w:val="22"/>
        </w:rPr>
        <w:t>How do macroeconomic expectations affect consumer decisions? We examine this question using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>a natural field experiment with 2,872 credit card customers from a large commercial bank.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We provide subjects with information about the future inflation rate and nominal exchange rate and measure the effects on spending.</w:t>
      </w:r>
    </w:p>
    <w:p w14:paraId="42618374" w14:textId="77777777" w:rsidR="00A156BA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F07528">
        <w:rPr>
          <w:rFonts w:ascii="Arial" w:hAnsi="Arial" w:cs="Arial"/>
          <w:color w:val="000000"/>
          <w:sz w:val="20"/>
          <w:szCs w:val="20"/>
          <w:lang w:val="es-AR"/>
        </w:rPr>
        <w:t>Galashin</w:t>
      </w:r>
      <w:proofErr w:type="spellEnd"/>
      <w:r w:rsidRPr="00F07528">
        <w:rPr>
          <w:rFonts w:ascii="Arial" w:hAnsi="Arial" w:cs="Arial"/>
          <w:color w:val="000000"/>
          <w:sz w:val="20"/>
          <w:szCs w:val="20"/>
          <w:lang w:val="es-AR"/>
        </w:rPr>
        <w:t xml:space="preserve">, M.; </w:t>
      </w:r>
      <w:proofErr w:type="spellStart"/>
      <w:r w:rsidRPr="00F07528">
        <w:rPr>
          <w:rFonts w:ascii="Arial" w:hAnsi="Arial" w:cs="Arial"/>
          <w:color w:val="000000"/>
          <w:sz w:val="20"/>
          <w:szCs w:val="20"/>
          <w:lang w:val="es-AR"/>
        </w:rPr>
        <w:t>Kanz</w:t>
      </w:r>
      <w:proofErr w:type="spellEnd"/>
      <w:r w:rsidRPr="00F07528">
        <w:rPr>
          <w:rFonts w:ascii="Arial" w:hAnsi="Arial" w:cs="Arial"/>
          <w:color w:val="000000"/>
          <w:sz w:val="20"/>
          <w:szCs w:val="20"/>
          <w:lang w:val="es-AR"/>
        </w:rPr>
        <w:t>, M.; Perez-Truglia, R. (2020). </w:t>
      </w:r>
      <w:r w:rsidRPr="00C42220">
        <w:rPr>
          <w:rFonts w:ascii="Arial" w:hAnsi="Arial" w:cs="Arial"/>
          <w:color w:val="000000"/>
          <w:sz w:val="20"/>
          <w:szCs w:val="20"/>
        </w:rPr>
        <w:t>Macroeconomic Expectations and Credit Card Spending. NBER Working Paper No. 28281.</w:t>
      </w:r>
    </w:p>
    <w:p w14:paraId="5B275B53" w14:textId="31FCDC59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21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</w:p>
    <w:p w14:paraId="718E5F89" w14:textId="52969802" w:rsidR="00710F28" w:rsidRPr="00710F28" w:rsidRDefault="002E128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  <w:lang w:val="es-AR"/>
        </w:rPr>
        <w:lastRenderedPageBreak/>
        <w:drawing>
          <wp:anchor distT="0" distB="0" distL="114300" distR="114300" simplePos="0" relativeHeight="251672576" behindDoc="1" locked="0" layoutInCell="1" allowOverlap="1" wp14:anchorId="5A660F26" wp14:editId="5BB13B21">
            <wp:simplePos x="0" y="0"/>
            <wp:positionH relativeFrom="margin">
              <wp:posOffset>-518160</wp:posOffset>
            </wp:positionH>
            <wp:positionV relativeFrom="paragraph">
              <wp:posOffset>144780</wp:posOffset>
            </wp:positionV>
            <wp:extent cx="288925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05" y="21449"/>
                <wp:lineTo x="2150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F28" w:rsidRPr="00710F28">
        <w:rPr>
          <w:rFonts w:ascii="Arial" w:hAnsi="Arial" w:cs="Arial"/>
          <w:b/>
          <w:bCs/>
          <w:color w:val="000000"/>
          <w:sz w:val="32"/>
          <w:szCs w:val="32"/>
        </w:rPr>
        <w:t>Are Political and Charitable Giving Substitutes?</w:t>
      </w:r>
    </w:p>
    <w:p w14:paraId="6599B24E" w14:textId="6D21EC39" w:rsidR="00710F28" w:rsidRPr="002E128A" w:rsidRDefault="002E128A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128A">
        <w:rPr>
          <w:rFonts w:ascii="Arial" w:hAnsi="Arial" w:cs="Arial"/>
          <w:color w:val="000000"/>
          <w:sz w:val="22"/>
          <w:szCs w:val="22"/>
        </w:rPr>
        <w:t>We provide evidence that individuals substitute between political contributions and charitable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</w:t>
      </w:r>
      <w:r w:rsidRPr="002E128A">
        <w:rPr>
          <w:rFonts w:ascii="Arial" w:hAnsi="Arial" w:cs="Arial"/>
          <w:color w:val="000000"/>
          <w:sz w:val="22"/>
          <w:szCs w:val="22"/>
        </w:rPr>
        <w:t>contributions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. We use </w:t>
      </w:r>
      <w:r w:rsidRPr="002E128A">
        <w:rPr>
          <w:rFonts w:ascii="Arial" w:hAnsi="Arial" w:cs="Arial"/>
          <w:color w:val="000000"/>
          <w:sz w:val="22"/>
          <w:szCs w:val="22"/>
        </w:rPr>
        <w:t>micro data from the American Red Cross and Federal Election Commission</w:t>
      </w:r>
      <w:r w:rsidRPr="002E128A">
        <w:rPr>
          <w:rFonts w:ascii="Arial" w:hAnsi="Arial" w:cs="Arial"/>
          <w:color w:val="000000"/>
          <w:sz w:val="22"/>
          <w:szCs w:val="22"/>
        </w:rPr>
        <w:t xml:space="preserve"> and exploit two natural experiments.</w:t>
      </w:r>
    </w:p>
    <w:p w14:paraId="4A08B3BD" w14:textId="6C35C37E" w:rsidR="00A156BA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  <w:lang w:val="es-AR"/>
        </w:rPr>
        <w:t>Petrova</w:t>
      </w:r>
      <w:proofErr w:type="spellEnd"/>
      <w:r w:rsidRPr="00C42220">
        <w:rPr>
          <w:rFonts w:ascii="Arial" w:hAnsi="Arial" w:cs="Arial"/>
          <w:color w:val="000000"/>
          <w:sz w:val="20"/>
          <w:szCs w:val="20"/>
          <w:lang w:val="es-AR"/>
        </w:rPr>
        <w:t xml:space="preserve">, M.; Perez-Truglia, R.;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  <w:lang w:val="es-AR"/>
        </w:rPr>
        <w:t>Simonov</w:t>
      </w:r>
      <w:proofErr w:type="spellEnd"/>
      <w:r w:rsidRPr="00C42220">
        <w:rPr>
          <w:rFonts w:ascii="Arial" w:hAnsi="Arial" w:cs="Arial"/>
          <w:color w:val="000000"/>
          <w:sz w:val="20"/>
          <w:szCs w:val="20"/>
          <w:lang w:val="es-AR"/>
        </w:rPr>
        <w:t xml:space="preserve">, A. and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  <w:lang w:val="es-AR"/>
        </w:rPr>
        <w:t>Yildirim</w:t>
      </w:r>
      <w:proofErr w:type="spellEnd"/>
      <w:r w:rsidRPr="00C42220">
        <w:rPr>
          <w:rFonts w:ascii="Arial" w:hAnsi="Arial" w:cs="Arial"/>
          <w:color w:val="000000"/>
          <w:sz w:val="20"/>
          <w:szCs w:val="20"/>
          <w:lang w:val="es-AR"/>
        </w:rPr>
        <w:t>, P. (2020). </w:t>
      </w:r>
      <w:r w:rsidRPr="00C42220">
        <w:rPr>
          <w:rFonts w:ascii="Arial" w:hAnsi="Arial" w:cs="Arial"/>
          <w:color w:val="000000"/>
          <w:sz w:val="20"/>
          <w:szCs w:val="20"/>
        </w:rPr>
        <w:t>Are Political and Charitable Giving Substitutes? Evidence from the United States. NBER Working Paper No. 26616.</w:t>
      </w:r>
    </w:p>
    <w:p w14:paraId="0FE7765E" w14:textId="4AE446AE" w:rsidR="00C62855" w:rsidRPr="00C62855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hyperlink r:id="rId23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62855">
        <w:rPr>
          <w:rFonts w:ascii="Arial" w:hAnsi="Arial" w:cs="Arial"/>
          <w:color w:val="000000"/>
        </w:rPr>
        <w:t> </w:t>
      </w:r>
    </w:p>
    <w:p w14:paraId="391E92DF" w14:textId="77777777" w:rsidR="00710F28" w:rsidRDefault="00710F28" w:rsidP="00126A43">
      <w:pPr>
        <w:spacing w:before="60" w:after="60"/>
        <w:jc w:val="both"/>
        <w:rPr>
          <w:rFonts w:ascii="Arial" w:hAnsi="Arial" w:cs="Arial"/>
          <w:color w:val="000000"/>
        </w:rPr>
      </w:pPr>
    </w:p>
    <w:p w14:paraId="6371A02A" w14:textId="41BFAFF3" w:rsidR="00F07528" w:rsidRDefault="00C62855" w:rsidP="00126A43">
      <w:pPr>
        <w:spacing w:before="60" w:after="60"/>
        <w:jc w:val="both"/>
        <w:rPr>
          <w:rFonts w:ascii="Arial" w:hAnsi="Arial" w:cs="Arial"/>
          <w:b/>
          <w:bCs/>
          <w:color w:val="000000"/>
          <w:sz w:val="40"/>
          <w:szCs w:val="40"/>
        </w:rPr>
      </w:pPr>
      <w:r w:rsidRPr="00C62855">
        <w:rPr>
          <w:rFonts w:ascii="Arial" w:hAnsi="Arial" w:cs="Arial"/>
          <w:b/>
          <w:bCs/>
          <w:color w:val="000000"/>
          <w:sz w:val="40"/>
          <w:szCs w:val="40"/>
        </w:rPr>
        <w:t>Publications</w:t>
      </w:r>
    </w:p>
    <w:p w14:paraId="7F085192" w14:textId="3B2600DD" w:rsidR="00710F28" w:rsidRPr="00710F28" w:rsidRDefault="003B126D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noProof/>
          <w:color w:val="000000"/>
          <w:sz w:val="32"/>
          <w:szCs w:val="32"/>
        </w:rPr>
      </w:pPr>
      <w:r w:rsidRPr="00710F28"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31EA525A" wp14:editId="4CC99107">
            <wp:simplePos x="0" y="0"/>
            <wp:positionH relativeFrom="margin">
              <wp:posOffset>-283845</wp:posOffset>
            </wp:positionH>
            <wp:positionV relativeFrom="paragraph">
              <wp:posOffset>61595</wp:posOffset>
            </wp:positionV>
            <wp:extent cx="2620010" cy="2215515"/>
            <wp:effectExtent l="0" t="0" r="8890" b="0"/>
            <wp:wrapTight wrapText="bothSides">
              <wp:wrapPolygon edited="0">
                <wp:start x="0" y="0"/>
                <wp:lineTo x="0" y="21359"/>
                <wp:lineTo x="21516" y="21359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F28" w:rsidRPr="00710F28">
        <w:rPr>
          <w:rFonts w:ascii="Arial" w:hAnsi="Arial" w:cs="Arial"/>
          <w:b/>
          <w:bCs/>
          <w:color w:val="000000"/>
          <w:sz w:val="32"/>
          <w:szCs w:val="32"/>
        </w:rPr>
        <w:t>The Effects of Income Transparency on Well-Being</w:t>
      </w:r>
      <w:r w:rsidR="00710F28" w:rsidRPr="00710F28">
        <w:rPr>
          <w:rFonts w:ascii="Arial" w:hAnsi="Arial" w:cs="Arial"/>
          <w:b/>
          <w:bCs/>
          <w:noProof/>
          <w:color w:val="000000"/>
          <w:sz w:val="32"/>
          <w:szCs w:val="32"/>
        </w:rPr>
        <w:t xml:space="preserve"> </w:t>
      </w:r>
    </w:p>
    <w:p w14:paraId="446C7F9B" w14:textId="27A73110" w:rsidR="003B126D" w:rsidRPr="003B126D" w:rsidRDefault="003B126D" w:rsidP="003B126D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3B126D">
        <w:rPr>
          <w:rFonts w:ascii="Arial" w:hAnsi="Arial" w:cs="Arial"/>
          <w:color w:val="000000"/>
          <w:sz w:val="22"/>
          <w:szCs w:val="22"/>
        </w:rPr>
        <w:t>In 2001, Norwegian tax records became easily accessible online,</w:t>
      </w:r>
      <w:r w:rsidRPr="003B126D">
        <w:rPr>
          <w:rFonts w:ascii="Arial" w:hAnsi="Arial" w:cs="Arial"/>
          <w:color w:val="000000"/>
          <w:sz w:val="22"/>
          <w:szCs w:val="22"/>
        </w:rPr>
        <w:t xml:space="preserve"> </w:t>
      </w:r>
      <w:r w:rsidRPr="003B126D">
        <w:rPr>
          <w:rFonts w:ascii="Arial" w:hAnsi="Arial" w:cs="Arial"/>
          <w:color w:val="000000"/>
          <w:sz w:val="22"/>
          <w:szCs w:val="22"/>
        </w:rPr>
        <w:t>allowing everyone in the country to observe the incomes of everyone</w:t>
      </w:r>
      <w:r w:rsidRPr="003B126D">
        <w:rPr>
          <w:rFonts w:ascii="Arial" w:hAnsi="Arial" w:cs="Arial"/>
          <w:color w:val="000000"/>
          <w:sz w:val="22"/>
          <w:szCs w:val="22"/>
        </w:rPr>
        <w:t xml:space="preserve"> </w:t>
      </w:r>
      <w:r w:rsidRPr="003B126D">
        <w:rPr>
          <w:rFonts w:ascii="Arial" w:hAnsi="Arial" w:cs="Arial"/>
          <w:color w:val="000000"/>
          <w:sz w:val="22"/>
          <w:szCs w:val="22"/>
        </w:rPr>
        <w:t>else.</w:t>
      </w:r>
      <w:r w:rsidRPr="003B126D">
        <w:rPr>
          <w:rFonts w:ascii="Arial" w:hAnsi="Arial" w:cs="Arial"/>
          <w:color w:val="000000"/>
          <w:sz w:val="22"/>
          <w:szCs w:val="22"/>
        </w:rPr>
        <w:t xml:space="preserve"> We use </w:t>
      </w:r>
      <w:r w:rsidRPr="003B126D">
        <w:rPr>
          <w:rFonts w:ascii="Arial" w:hAnsi="Arial" w:cs="Arial"/>
          <w:color w:val="000000"/>
          <w:sz w:val="22"/>
          <w:szCs w:val="22"/>
        </w:rPr>
        <w:t>survey data</w:t>
      </w:r>
      <w:r w:rsidRPr="003B126D">
        <w:rPr>
          <w:rFonts w:ascii="Arial" w:hAnsi="Arial" w:cs="Arial"/>
          <w:color w:val="000000"/>
          <w:sz w:val="22"/>
          <w:szCs w:val="22"/>
        </w:rPr>
        <w:t xml:space="preserve"> to provide evidence that </w:t>
      </w:r>
      <w:r w:rsidRPr="003B126D">
        <w:rPr>
          <w:rFonts w:ascii="Arial" w:hAnsi="Arial" w:cs="Arial"/>
          <w:color w:val="000000"/>
          <w:sz w:val="22"/>
          <w:szCs w:val="22"/>
        </w:rPr>
        <w:t>the transparency</w:t>
      </w:r>
      <w:r w:rsidRPr="003B126D">
        <w:rPr>
          <w:rFonts w:ascii="Arial" w:hAnsi="Arial" w:cs="Arial"/>
          <w:color w:val="000000"/>
          <w:sz w:val="22"/>
          <w:szCs w:val="22"/>
        </w:rPr>
        <w:t xml:space="preserve"> policy </w:t>
      </w:r>
      <w:r w:rsidRPr="003B126D">
        <w:rPr>
          <w:rFonts w:ascii="Arial" w:hAnsi="Arial" w:cs="Arial"/>
          <w:color w:val="000000"/>
          <w:sz w:val="22"/>
          <w:szCs w:val="22"/>
        </w:rPr>
        <w:t>increased the gap in happiness between richer and poorer individuals</w:t>
      </w:r>
      <w:r w:rsidRPr="003B126D">
        <w:rPr>
          <w:rFonts w:ascii="Arial" w:hAnsi="Arial" w:cs="Arial"/>
          <w:color w:val="000000"/>
          <w:sz w:val="22"/>
          <w:szCs w:val="22"/>
        </w:rPr>
        <w:t>.</w:t>
      </w:r>
    </w:p>
    <w:p w14:paraId="7B97509C" w14:textId="77777777" w:rsidR="00710F28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C42220">
        <w:rPr>
          <w:rFonts w:ascii="Arial" w:hAnsi="Arial" w:cs="Arial"/>
          <w:color w:val="000000"/>
          <w:sz w:val="20"/>
          <w:szCs w:val="20"/>
        </w:rPr>
        <w:t>Perez-Truglia, R. (2020). The Effects of Income Transparency on Well-Being: Evidence from a Natural Experiment.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American Economic Review</w:t>
      </w:r>
      <w:r w:rsidRPr="00C42220">
        <w:rPr>
          <w:rFonts w:ascii="Arial" w:hAnsi="Arial" w:cs="Arial"/>
          <w:color w:val="000000"/>
          <w:sz w:val="20"/>
          <w:szCs w:val="20"/>
        </w:rPr>
        <w:t>, Vol. 110 (4), pp. 1019-54.</w:t>
      </w:r>
    </w:p>
    <w:p w14:paraId="385C03BC" w14:textId="76FC72F8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25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26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27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[Slides]</w:t>
        </w:r>
      </w:hyperlink>
    </w:p>
    <w:p w14:paraId="07EBF465" w14:textId="45B9F8B1" w:rsidR="00086263" w:rsidRPr="00B338BC" w:rsidRDefault="0008626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7774F55B" w14:textId="1695EA34" w:rsidR="00710F28" w:rsidRDefault="00710F28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53A33307" w14:textId="10468E28" w:rsidR="005D3991" w:rsidRPr="005D3991" w:rsidRDefault="00452F3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42547B6D" wp14:editId="4B095380">
            <wp:simplePos x="0" y="0"/>
            <wp:positionH relativeFrom="margin">
              <wp:posOffset>-175895</wp:posOffset>
            </wp:positionH>
            <wp:positionV relativeFrom="paragraph">
              <wp:posOffset>73709</wp:posOffset>
            </wp:positionV>
            <wp:extent cx="2369820" cy="1912620"/>
            <wp:effectExtent l="0" t="0" r="0" b="0"/>
            <wp:wrapTight wrapText="bothSides">
              <wp:wrapPolygon edited="0">
                <wp:start x="0" y="0"/>
                <wp:lineTo x="0" y="21299"/>
                <wp:lineTo x="21357" y="21299"/>
                <wp:lineTo x="21357" y="0"/>
                <wp:lineTo x="0" y="0"/>
              </wp:wrapPolygon>
            </wp:wrapTight>
            <wp:docPr id="17" name="Picture 17" descr="Big Fish In A Small Pond Or Small Fish In A Big Pon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ig Fish In A Small Pond Or Small Fish In A Big Pond?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Choosing Your Pond</w:t>
      </w:r>
    </w:p>
    <w:p w14:paraId="4F0E7FF5" w14:textId="422DC609" w:rsidR="00452F30" w:rsidRPr="00452F30" w:rsidRDefault="00452F30" w:rsidP="00452F30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452F30">
        <w:rPr>
          <w:rFonts w:ascii="Arial" w:hAnsi="Arial" w:cs="Arial"/>
          <w:color w:val="000000"/>
          <w:sz w:val="22"/>
          <w:szCs w:val="22"/>
        </w:rPr>
        <w:t>Do individuals care about their relative income?</w:t>
      </w:r>
      <w:r>
        <w:rPr>
          <w:rFonts w:ascii="Arial" w:hAnsi="Arial" w:cs="Arial"/>
          <w:color w:val="000000"/>
          <w:sz w:val="22"/>
          <w:szCs w:val="22"/>
        </w:rPr>
        <w:t xml:space="preserve"> Do they prefer to be a big fish in a small pond?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 We provide </w:t>
      </w:r>
      <w:r>
        <w:rPr>
          <w:rFonts w:ascii="Arial" w:hAnsi="Arial" w:cs="Arial"/>
          <w:color w:val="000000"/>
          <w:sz w:val="22"/>
          <w:szCs w:val="22"/>
        </w:rPr>
        <w:t xml:space="preserve">a 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unique test </w:t>
      </w:r>
      <w:r w:rsidRPr="00452F30">
        <w:rPr>
          <w:rFonts w:ascii="Arial" w:hAnsi="Arial" w:cs="Arial"/>
          <w:color w:val="000000"/>
          <w:sz w:val="22"/>
          <w:szCs w:val="22"/>
        </w:rPr>
        <w:t>of this hypothesis</w:t>
      </w:r>
      <w:r>
        <w:rPr>
          <w:rFonts w:ascii="Arial" w:hAnsi="Arial" w:cs="Arial"/>
          <w:color w:val="000000"/>
          <w:sz w:val="22"/>
          <w:szCs w:val="22"/>
        </w:rPr>
        <w:t xml:space="preserve"> based 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revealed-preference </w:t>
      </w:r>
      <w:r>
        <w:rPr>
          <w:rFonts w:ascii="Arial" w:hAnsi="Arial" w:cs="Arial"/>
          <w:color w:val="000000"/>
          <w:sz w:val="22"/>
          <w:szCs w:val="22"/>
        </w:rPr>
        <w:t xml:space="preserve">evidence from a </w:t>
      </w:r>
      <w:r w:rsidRPr="00452F30">
        <w:rPr>
          <w:rFonts w:ascii="Arial" w:hAnsi="Arial" w:cs="Arial"/>
          <w:color w:val="000000"/>
          <w:sz w:val="22"/>
          <w:szCs w:val="22"/>
        </w:rPr>
        <w:t>field experiment with 1,080 senior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 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medical students </w:t>
      </w:r>
      <w:r>
        <w:rPr>
          <w:rFonts w:ascii="Arial" w:hAnsi="Arial" w:cs="Arial"/>
          <w:color w:val="000000"/>
          <w:sz w:val="22"/>
          <w:szCs w:val="22"/>
        </w:rPr>
        <w:t xml:space="preserve">participating </w:t>
      </w:r>
      <w:r w:rsidRPr="00452F30">
        <w:rPr>
          <w:rFonts w:ascii="Arial" w:hAnsi="Arial" w:cs="Arial"/>
          <w:color w:val="000000"/>
          <w:sz w:val="22"/>
          <w:szCs w:val="22"/>
        </w:rPr>
        <w:t>in the National Resident Matching Program.</w:t>
      </w:r>
    </w:p>
    <w:p w14:paraId="65CA908D" w14:textId="6F0B0BE8" w:rsidR="005D3991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Bottan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N. and Perez-Truglia, R. (2020). Choosing Your Pond: Location Choices and Relative Income.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Review of Economics and Statistics</w:t>
      </w:r>
      <w:r w:rsidRPr="00C42220">
        <w:rPr>
          <w:rFonts w:ascii="Arial" w:hAnsi="Arial" w:cs="Arial"/>
          <w:color w:val="000000"/>
          <w:sz w:val="20"/>
          <w:szCs w:val="20"/>
        </w:rPr>
        <w:t>, forthcoming.</w:t>
      </w:r>
    </w:p>
    <w:p w14:paraId="3D081F02" w14:textId="27185ED8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29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</w:p>
    <w:p w14:paraId="0F26809B" w14:textId="1ECF389F" w:rsidR="00086263" w:rsidRDefault="0008626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679CC1E5" w14:textId="03C74A6F" w:rsidR="005D3991" w:rsidRDefault="005D3991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113E000D" w14:textId="2BCC6B8F" w:rsidR="005D3991" w:rsidRPr="005D3991" w:rsidRDefault="00452F3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32F0479" wp14:editId="277232AB">
            <wp:simplePos x="0" y="0"/>
            <wp:positionH relativeFrom="column">
              <wp:posOffset>-310515</wp:posOffset>
            </wp:positionH>
            <wp:positionV relativeFrom="paragraph">
              <wp:posOffset>174576</wp:posOffset>
            </wp:positionV>
            <wp:extent cx="2765425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26" y="21374"/>
                <wp:lineTo x="21426" y="0"/>
                <wp:lineTo x="0" y="0"/>
              </wp:wrapPolygon>
            </wp:wrapTight>
            <wp:docPr id="18" name="Picture 18" descr="Meridian Home Price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ridian Home Price trend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Expectations with Endogenous Information Acquisition</w:t>
      </w:r>
    </w:p>
    <w:p w14:paraId="796C7375" w14:textId="7B5F0089" w:rsidR="00452F30" w:rsidRPr="00452F30" w:rsidRDefault="00452F30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 use a 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survey experiment to </w:t>
      </w:r>
      <w:r>
        <w:rPr>
          <w:rFonts w:ascii="Arial" w:hAnsi="Arial" w:cs="Arial"/>
          <w:color w:val="000000"/>
          <w:sz w:val="22"/>
          <w:szCs w:val="22"/>
        </w:rPr>
        <w:t xml:space="preserve">study </w:t>
      </w:r>
      <w:r w:rsidRPr="00452F30">
        <w:rPr>
          <w:rFonts w:ascii="Arial" w:hAnsi="Arial" w:cs="Arial"/>
          <w:color w:val="000000"/>
          <w:sz w:val="22"/>
          <w:szCs w:val="22"/>
        </w:rPr>
        <w:t>how people select, acquire and process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 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information. </w:t>
      </w:r>
      <w:r w:rsidRPr="00452F30">
        <w:rPr>
          <w:rFonts w:ascii="Arial" w:hAnsi="Arial" w:cs="Arial"/>
          <w:color w:val="000000"/>
          <w:sz w:val="22"/>
          <w:szCs w:val="22"/>
        </w:rPr>
        <w:t>We find that, surprisingly</w:t>
      </w:r>
      <w:r w:rsidRPr="00452F30">
        <w:rPr>
          <w:rFonts w:ascii="Arial" w:hAnsi="Arial" w:cs="Arial"/>
          <w:color w:val="000000"/>
          <w:sz w:val="22"/>
          <w:szCs w:val="22"/>
        </w:rPr>
        <w:t>, making information cheaper does not decrease the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 </w:t>
      </w:r>
      <w:r w:rsidRPr="00452F30">
        <w:rPr>
          <w:rFonts w:ascii="Arial" w:hAnsi="Arial" w:cs="Arial"/>
          <w:color w:val="000000"/>
          <w:sz w:val="22"/>
          <w:szCs w:val="22"/>
        </w:rPr>
        <w:t>cross-sectional dispersion of expectations. We provide a model with costly acquisition and processing of information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 that </w:t>
      </w:r>
      <w:r w:rsidRPr="00452F30">
        <w:rPr>
          <w:rFonts w:ascii="Arial" w:hAnsi="Arial" w:cs="Arial"/>
          <w:color w:val="000000"/>
          <w:sz w:val="22"/>
          <w:szCs w:val="22"/>
        </w:rPr>
        <w:t>can</w:t>
      </w:r>
      <w:r w:rsidRPr="00452F30">
        <w:rPr>
          <w:rFonts w:ascii="Arial" w:hAnsi="Arial" w:cs="Arial"/>
          <w:color w:val="000000"/>
          <w:sz w:val="22"/>
          <w:szCs w:val="22"/>
        </w:rPr>
        <w:t xml:space="preserve"> </w:t>
      </w:r>
      <w:r w:rsidRPr="00452F30">
        <w:rPr>
          <w:rFonts w:ascii="Arial" w:hAnsi="Arial" w:cs="Arial"/>
          <w:color w:val="000000"/>
          <w:sz w:val="22"/>
          <w:szCs w:val="22"/>
        </w:rPr>
        <w:t>match most of our empirical results.</w:t>
      </w:r>
    </w:p>
    <w:p w14:paraId="6EBD4E3B" w14:textId="055CA6E9" w:rsidR="005D3991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Fuster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 xml:space="preserve">, A.; Perez-Truglia, R.; </w:t>
      </w: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Wiederholt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M. and Zafar, B. (2020). Expectations with Endogenous Information Acquisition: An Experimental Investigation.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Review of Economics and Statistics</w:t>
      </w:r>
      <w:r w:rsidRPr="00C42220">
        <w:rPr>
          <w:rFonts w:ascii="Arial" w:hAnsi="Arial" w:cs="Arial"/>
          <w:color w:val="000000"/>
          <w:sz w:val="20"/>
          <w:szCs w:val="20"/>
        </w:rPr>
        <w:t>, forthcoming.</w:t>
      </w:r>
    </w:p>
    <w:p w14:paraId="7B9A7626" w14:textId="6F6F21CB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31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</w:p>
    <w:p w14:paraId="242C4FF7" w14:textId="77777777" w:rsidR="00F07528" w:rsidRDefault="00F07528" w:rsidP="00126A43">
      <w:pPr>
        <w:spacing w:before="60" w:after="60"/>
        <w:jc w:val="both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4E72392D" w14:textId="191A61F2" w:rsidR="005D3991" w:rsidRPr="00C62855" w:rsidRDefault="005D3991" w:rsidP="00126A43">
      <w:pPr>
        <w:spacing w:before="60" w:after="60"/>
        <w:jc w:val="both"/>
        <w:rPr>
          <w:rFonts w:ascii="Arial" w:hAnsi="Arial" w:cs="Arial"/>
          <w:b/>
          <w:bCs/>
          <w:color w:val="000000"/>
          <w:sz w:val="40"/>
          <w:szCs w:val="40"/>
        </w:rPr>
      </w:pPr>
      <w:r w:rsidRPr="00912005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F4C7A49" wp14:editId="20B1FA0F">
            <wp:simplePos x="0" y="0"/>
            <wp:positionH relativeFrom="margin">
              <wp:posOffset>-77470</wp:posOffset>
            </wp:positionH>
            <wp:positionV relativeFrom="paragraph">
              <wp:posOffset>393749</wp:posOffset>
            </wp:positionV>
            <wp:extent cx="2494915" cy="213804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7D34F" w14:textId="1398C69C" w:rsidR="00C62855" w:rsidRPr="00912005" w:rsidRDefault="00C62855" w:rsidP="00126A43">
      <w:pPr>
        <w:spacing w:before="60" w:after="60"/>
        <w:jc w:val="both"/>
        <w:rPr>
          <w:noProof/>
          <w:sz w:val="32"/>
          <w:szCs w:val="32"/>
        </w:rPr>
      </w:pPr>
      <w:r w:rsidRPr="00912005">
        <w:rPr>
          <w:rFonts w:ascii="Arial" w:hAnsi="Arial" w:cs="Arial"/>
          <w:b/>
          <w:bCs/>
          <w:color w:val="000000"/>
          <w:sz w:val="32"/>
          <w:szCs w:val="32"/>
        </w:rPr>
        <w:t>Shaming Tax Delinquents</w:t>
      </w:r>
      <w:r w:rsidRPr="00912005">
        <w:rPr>
          <w:noProof/>
          <w:sz w:val="32"/>
          <w:szCs w:val="32"/>
        </w:rPr>
        <w:t xml:space="preserve"> </w:t>
      </w:r>
    </w:p>
    <w:p w14:paraId="02D24C74" w14:textId="6A6C6063" w:rsidR="00C62855" w:rsidRDefault="005D3991" w:rsidP="00126A43">
      <w:pPr>
        <w:spacing w:before="60" w:after="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</w:t>
      </w:r>
      <w:r w:rsidR="00C62855" w:rsidRPr="00912005">
        <w:rPr>
          <w:rFonts w:ascii="Arial" w:hAnsi="Arial" w:cs="Arial"/>
          <w:color w:val="000000"/>
        </w:rPr>
        <w:t>overnments rely on shaming penalties to achieve policy goals,</w:t>
      </w:r>
      <w:r w:rsidR="00452F30">
        <w:rPr>
          <w:rFonts w:ascii="Arial" w:hAnsi="Arial" w:cs="Arial"/>
          <w:color w:val="000000"/>
        </w:rPr>
        <w:t xml:space="preserve"> such as shaming tax delinquents. There is, however, </w:t>
      </w:r>
      <w:r w:rsidR="00C62855" w:rsidRPr="00912005">
        <w:rPr>
          <w:rFonts w:ascii="Arial" w:hAnsi="Arial" w:cs="Arial"/>
          <w:color w:val="000000"/>
        </w:rPr>
        <w:t xml:space="preserve">little </w:t>
      </w:r>
      <w:r w:rsidR="00452F30">
        <w:rPr>
          <w:rFonts w:ascii="Arial" w:hAnsi="Arial" w:cs="Arial"/>
          <w:color w:val="000000"/>
        </w:rPr>
        <w:t>evidence on the effects of these policies</w:t>
      </w:r>
      <w:r w:rsidR="00C62855" w:rsidRPr="00912005">
        <w:rPr>
          <w:rFonts w:ascii="Arial" w:hAnsi="Arial" w:cs="Arial"/>
          <w:color w:val="000000"/>
        </w:rPr>
        <w:t xml:space="preserve">. </w:t>
      </w:r>
      <w:r w:rsidR="00452F30">
        <w:rPr>
          <w:rFonts w:ascii="Arial" w:hAnsi="Arial" w:cs="Arial"/>
          <w:color w:val="000000"/>
        </w:rPr>
        <w:t xml:space="preserve">We provide evidence from a </w:t>
      </w:r>
      <w:r w:rsidR="00C62855">
        <w:rPr>
          <w:rFonts w:ascii="Arial" w:hAnsi="Arial" w:cs="Arial"/>
          <w:color w:val="000000"/>
        </w:rPr>
        <w:t xml:space="preserve">field experiment with </w:t>
      </w:r>
      <w:r w:rsidR="00C62855" w:rsidRPr="00912005">
        <w:rPr>
          <w:rFonts w:ascii="Arial" w:hAnsi="Arial" w:cs="Arial"/>
          <w:color w:val="000000"/>
        </w:rPr>
        <w:t>34,334 tax delinquents who owed a total of half a billion dollars in three U.S. states.</w:t>
      </w:r>
    </w:p>
    <w:p w14:paraId="58CBADF2" w14:textId="77777777" w:rsidR="00C62855" w:rsidRPr="00FA7786" w:rsidRDefault="00C62855" w:rsidP="00126A43">
      <w:pPr>
        <w:spacing w:before="60" w:after="60"/>
        <w:jc w:val="both"/>
        <w:rPr>
          <w:rFonts w:ascii="Arial" w:hAnsi="Arial" w:cs="Arial"/>
          <w:color w:val="000000"/>
          <w:sz w:val="20"/>
          <w:szCs w:val="20"/>
        </w:rPr>
      </w:pPr>
      <w:r w:rsidRPr="00FA7786">
        <w:rPr>
          <w:rFonts w:ascii="Arial" w:hAnsi="Arial" w:cs="Arial"/>
          <w:color w:val="000000"/>
          <w:sz w:val="20"/>
          <w:szCs w:val="20"/>
        </w:rPr>
        <w:t>Perez-Truglia, R. and Troiano, U. (2018). Shaming Tax Delinquents. </w:t>
      </w:r>
      <w:r w:rsidRPr="00FA7786">
        <w:rPr>
          <w:rStyle w:val="Emphasis"/>
          <w:rFonts w:ascii="Arial" w:hAnsi="Arial" w:cs="Arial"/>
          <w:color w:val="000000"/>
          <w:sz w:val="20"/>
          <w:szCs w:val="20"/>
        </w:rPr>
        <w:t>Journal of Public Economics</w:t>
      </w:r>
      <w:r w:rsidRPr="00FA7786">
        <w:rPr>
          <w:rFonts w:ascii="Arial" w:hAnsi="Arial" w:cs="Arial"/>
          <w:color w:val="000000"/>
          <w:sz w:val="20"/>
          <w:szCs w:val="20"/>
        </w:rPr>
        <w:t>, Vol. 167, pp. 120-137.</w:t>
      </w:r>
    </w:p>
    <w:p w14:paraId="18DCF26A" w14:textId="77777777" w:rsidR="00C62855" w:rsidRDefault="00B3363A" w:rsidP="00126A43">
      <w:pPr>
        <w:spacing w:before="60" w:after="60"/>
        <w:jc w:val="both"/>
        <w:rPr>
          <w:rFonts w:ascii="Arial" w:hAnsi="Arial" w:cs="Arial"/>
          <w:color w:val="000000"/>
        </w:rPr>
      </w:pPr>
      <w:hyperlink r:id="rId33" w:tgtFrame="_blank" w:history="1">
        <w:r w:rsidR="00C62855">
          <w:rPr>
            <w:rStyle w:val="Hyperlink"/>
            <w:rFonts w:ascii="Arial" w:hAnsi="Arial" w:cs="Arial"/>
            <w:color w:val="6688AA"/>
          </w:rPr>
          <w:t>[Link]</w:t>
        </w:r>
      </w:hyperlink>
      <w:r w:rsidR="00C62855">
        <w:rPr>
          <w:rFonts w:ascii="Arial" w:hAnsi="Arial" w:cs="Arial"/>
          <w:color w:val="000000"/>
        </w:rPr>
        <w:t>  </w:t>
      </w:r>
      <w:hyperlink r:id="rId34" w:tgtFrame="_blank" w:history="1">
        <w:r w:rsidR="00C62855">
          <w:rPr>
            <w:rStyle w:val="Hyperlink"/>
            <w:rFonts w:ascii="Arial" w:hAnsi="Arial" w:cs="Arial"/>
            <w:color w:val="6688AA"/>
          </w:rPr>
          <w:t>[PDF]</w:t>
        </w:r>
      </w:hyperlink>
      <w:r w:rsidR="00C62855">
        <w:rPr>
          <w:rFonts w:ascii="Arial" w:hAnsi="Arial" w:cs="Arial"/>
          <w:color w:val="000000"/>
        </w:rPr>
        <w:t>  </w:t>
      </w:r>
      <w:hyperlink r:id="rId35" w:tgtFrame="_blank" w:history="1">
        <w:r w:rsidR="00C62855">
          <w:rPr>
            <w:rStyle w:val="Hyperlink"/>
            <w:rFonts w:ascii="Arial" w:hAnsi="Arial" w:cs="Arial"/>
            <w:color w:val="6688AA"/>
          </w:rPr>
          <w:t>[Slides]</w:t>
        </w:r>
      </w:hyperlink>
    </w:p>
    <w:p w14:paraId="4BC86602" w14:textId="77777777" w:rsidR="005D3991" w:rsidRDefault="005D3991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C64CF2B" w14:textId="2F74C2CB" w:rsidR="005D3991" w:rsidRPr="005D3991" w:rsidRDefault="00126A43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7C53B44" wp14:editId="37BACB65">
            <wp:simplePos x="0" y="0"/>
            <wp:positionH relativeFrom="margin">
              <wp:posOffset>-316914</wp:posOffset>
            </wp:positionH>
            <wp:positionV relativeFrom="paragraph">
              <wp:posOffset>99060</wp:posOffset>
            </wp:positionV>
            <wp:extent cx="266890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30" y="21404"/>
                <wp:lineTo x="21430" y="0"/>
                <wp:lineTo x="0" y="0"/>
              </wp:wrapPolygon>
            </wp:wrapTight>
            <wp:docPr id="19" name="Picture 19" descr="Democrats, Republicans have undergone a role reversal | COMMENTARY -  Baltimore 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mocrats, Republicans have undergone a role reversal | COMMENTARY -  Baltimore Su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Political Conformity</w:t>
      </w:r>
    </w:p>
    <w:p w14:paraId="32171E4C" w14:textId="54C1AC92" w:rsidR="00EC1600" w:rsidRPr="00F349B0" w:rsidRDefault="00452F30" w:rsidP="00F349B0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F349B0">
        <w:rPr>
          <w:rFonts w:ascii="Arial" w:hAnsi="Arial" w:cs="Arial"/>
          <w:color w:val="000000"/>
          <w:sz w:val="22"/>
          <w:szCs w:val="22"/>
        </w:rPr>
        <w:t xml:space="preserve">We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provide causal evidence </w:t>
      </w:r>
      <w:r w:rsidRPr="00F349B0">
        <w:rPr>
          <w:rFonts w:ascii="Arial" w:hAnsi="Arial" w:cs="Arial"/>
          <w:color w:val="000000"/>
          <w:sz w:val="22"/>
          <w:szCs w:val="22"/>
        </w:rPr>
        <w:t>that individuals are more politically active in more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F349B0">
        <w:rPr>
          <w:rFonts w:ascii="Arial" w:hAnsi="Arial" w:cs="Arial"/>
          <w:color w:val="000000"/>
          <w:sz w:val="22"/>
          <w:szCs w:val="22"/>
        </w:rPr>
        <w:t>like-minded social environments.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 xml:space="preserve"> We combine 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>administrative data from the Federal Election Commission and the U.S.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 xml:space="preserve"> 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>Postal Service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 xml:space="preserve">and conduct an event-study analysis of the geographic mobility of 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>45,000</w:t>
      </w:r>
      <w:r w:rsidR="00F349B0" w:rsidRPr="00F349B0">
        <w:rPr>
          <w:rFonts w:ascii="Arial" w:hAnsi="Arial" w:cs="Arial"/>
          <w:color w:val="000000"/>
          <w:sz w:val="22"/>
          <w:szCs w:val="22"/>
        </w:rPr>
        <w:t xml:space="preserve"> campaign contributors. </w:t>
      </w:r>
    </w:p>
    <w:p w14:paraId="7D232373" w14:textId="2CCC3B99" w:rsidR="005D3991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C42220">
        <w:rPr>
          <w:rFonts w:ascii="Arial" w:hAnsi="Arial" w:cs="Arial"/>
          <w:color w:val="000000"/>
          <w:sz w:val="20"/>
          <w:szCs w:val="20"/>
        </w:rPr>
        <w:t>Perez-Truglia, R. (2018). Political Conformity: Event-Study Evidence from the United States.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Review of Economics and Statistics,</w:t>
      </w:r>
      <w:r w:rsidRPr="00C42220">
        <w:rPr>
          <w:rFonts w:ascii="Arial" w:hAnsi="Arial" w:cs="Arial"/>
          <w:color w:val="000000"/>
          <w:sz w:val="20"/>
          <w:szCs w:val="20"/>
        </w:rPr>
        <w:t> Vol. 100 (1), pp. 14-28.</w:t>
      </w:r>
    </w:p>
    <w:p w14:paraId="61AB7124" w14:textId="30A37067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37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38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39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[Slides]</w:t>
        </w:r>
      </w:hyperlink>
    </w:p>
    <w:p w14:paraId="091BFD02" w14:textId="11C5E42F" w:rsidR="00EC1600" w:rsidRDefault="00EC160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2B721C7F" w14:textId="6D058C24" w:rsidR="005D3991" w:rsidRPr="005D3991" w:rsidRDefault="00F349B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83840" behindDoc="1" locked="0" layoutInCell="1" allowOverlap="1" wp14:anchorId="71BC5318" wp14:editId="0730F5AD">
            <wp:simplePos x="0" y="0"/>
            <wp:positionH relativeFrom="margin">
              <wp:posOffset>-677545</wp:posOffset>
            </wp:positionH>
            <wp:positionV relativeFrom="paragraph">
              <wp:posOffset>149811</wp:posOffset>
            </wp:positionV>
            <wp:extent cx="2550160" cy="2159000"/>
            <wp:effectExtent l="0" t="0" r="2540" b="0"/>
            <wp:wrapTight wrapText="bothSides">
              <wp:wrapPolygon edited="0">
                <wp:start x="0" y="0"/>
                <wp:lineTo x="0" y="21346"/>
                <wp:lineTo x="21460" y="21346"/>
                <wp:lineTo x="2146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Sympathy for the Diligent</w:t>
      </w:r>
    </w:p>
    <w:p w14:paraId="04F1A0A0" w14:textId="23EF60A6" w:rsidR="00EC1600" w:rsidRPr="00F349B0" w:rsidRDefault="00F349B0" w:rsidP="00F349B0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F349B0">
        <w:rPr>
          <w:rFonts w:ascii="Arial" w:hAnsi="Arial" w:cs="Arial"/>
          <w:color w:val="000000"/>
          <w:sz w:val="22"/>
          <w:szCs w:val="22"/>
        </w:rPr>
        <w:t>W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e present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evidence from a </w:t>
      </w:r>
      <w:r w:rsidRPr="00F349B0">
        <w:rPr>
          <w:rFonts w:ascii="Arial" w:hAnsi="Arial" w:cs="Arial"/>
          <w:color w:val="000000"/>
          <w:sz w:val="22"/>
          <w:szCs w:val="22"/>
        </w:rPr>
        <w:t>survey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experiment that </w:t>
      </w:r>
      <w:r w:rsidRPr="00F349B0">
        <w:rPr>
          <w:rFonts w:ascii="Arial" w:hAnsi="Arial" w:cs="Arial"/>
          <w:color w:val="000000"/>
          <w:sz w:val="22"/>
          <w:szCs w:val="22"/>
        </w:rPr>
        <w:t>individuals are more generous towards poor people whom they perceive to be diligent workers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. </w:t>
      </w:r>
      <w:r w:rsidRPr="00F349B0">
        <w:rPr>
          <w:rFonts w:ascii="Arial" w:hAnsi="Arial" w:cs="Arial"/>
          <w:color w:val="000000"/>
          <w:sz w:val="22"/>
          <w:szCs w:val="22"/>
        </w:rPr>
        <w:t>This preference is much stronger than preferences regarding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other characteristics of the poor, such as race, nationality, and disability. </w:t>
      </w:r>
      <w:r w:rsidRPr="00F349B0">
        <w:rPr>
          <w:rFonts w:ascii="Arial" w:hAnsi="Arial" w:cs="Arial"/>
          <w:color w:val="000000"/>
          <w:sz w:val="22"/>
          <w:szCs w:val="22"/>
        </w:rPr>
        <w:t>W</w:t>
      </w:r>
      <w:r w:rsidRPr="00F349B0">
        <w:rPr>
          <w:rFonts w:ascii="Arial" w:hAnsi="Arial" w:cs="Arial"/>
          <w:color w:val="000000"/>
          <w:sz w:val="22"/>
          <w:szCs w:val="22"/>
        </w:rPr>
        <w:t>e show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, theoretically and empirically, that the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sympathy for the diligent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generate a demand for </w:t>
      </w:r>
      <w:r w:rsidRPr="00F349B0">
        <w:rPr>
          <w:rFonts w:ascii="Arial" w:hAnsi="Arial" w:cs="Arial"/>
          <w:color w:val="000000"/>
          <w:sz w:val="22"/>
          <w:szCs w:val="22"/>
        </w:rPr>
        <w:t>workfare programs.</w:t>
      </w:r>
    </w:p>
    <w:p w14:paraId="79D36A29" w14:textId="42484938" w:rsidR="005D3991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Drenik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A, and Perez-Truglia, R. (2018). Sympathy for the Diligent and the Demand for Workfare.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Journal of Economic Behavior and Organization</w:t>
      </w:r>
      <w:r w:rsidRPr="00C42220">
        <w:rPr>
          <w:rFonts w:ascii="Arial" w:hAnsi="Arial" w:cs="Arial"/>
          <w:color w:val="000000"/>
          <w:sz w:val="20"/>
          <w:szCs w:val="20"/>
        </w:rPr>
        <w:t>, Vol. 153, pp. 77-102.</w:t>
      </w:r>
    </w:p>
    <w:p w14:paraId="09205BF5" w14:textId="4FC2A8D2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41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42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</w:p>
    <w:p w14:paraId="4AFE049F" w14:textId="77777777" w:rsidR="00F349B0" w:rsidRDefault="00F349B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1AEE1566" w14:textId="62720386" w:rsidR="00126A43" w:rsidRPr="00B338BC" w:rsidRDefault="00F349B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2E79AEF" wp14:editId="35D5B0EC">
            <wp:simplePos x="0" y="0"/>
            <wp:positionH relativeFrom="margin">
              <wp:posOffset>-358775</wp:posOffset>
            </wp:positionH>
            <wp:positionV relativeFrom="paragraph">
              <wp:posOffset>251411</wp:posOffset>
            </wp:positionV>
            <wp:extent cx="2667635" cy="2292985"/>
            <wp:effectExtent l="0" t="0" r="0" b="0"/>
            <wp:wrapTight wrapText="bothSides">
              <wp:wrapPolygon edited="0">
                <wp:start x="0" y="0"/>
                <wp:lineTo x="0" y="21355"/>
                <wp:lineTo x="21441" y="21355"/>
                <wp:lineTo x="21441" y="0"/>
                <wp:lineTo x="0" y="0"/>
              </wp:wrapPolygon>
            </wp:wrapTight>
            <wp:docPr id="27" name="Picture 27" descr="Democratic donkey and Republican elephant butting heads. Vector illustr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mocratic donkey and Republican elephant butting heads. Vector illustration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C3263" w14:textId="38F5464C" w:rsidR="005D3991" w:rsidRPr="005D3991" w:rsidRDefault="005D3991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 w:rsidRPr="005D3991">
        <w:rPr>
          <w:rFonts w:ascii="Arial" w:hAnsi="Arial" w:cs="Arial"/>
          <w:b/>
          <w:bCs/>
          <w:color w:val="000000"/>
          <w:sz w:val="32"/>
          <w:szCs w:val="32"/>
        </w:rPr>
        <w:t>Partisan Interactions</w:t>
      </w:r>
    </w:p>
    <w:p w14:paraId="0C4E90C2" w14:textId="0A14B16B" w:rsidR="00F349B0" w:rsidRPr="00F349B0" w:rsidRDefault="00F349B0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F349B0">
        <w:rPr>
          <w:rFonts w:ascii="Arial" w:hAnsi="Arial" w:cs="Arial"/>
          <w:color w:val="000000"/>
          <w:sz w:val="22"/>
          <w:szCs w:val="22"/>
        </w:rPr>
        <w:t xml:space="preserve">We conducted a field experiment with 92,000 contributors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to the Democrat and Republican candidates in the </w:t>
      </w:r>
      <w:r w:rsidRPr="00F349B0">
        <w:rPr>
          <w:rFonts w:ascii="Arial" w:hAnsi="Arial" w:cs="Arial"/>
          <w:color w:val="000000"/>
          <w:sz w:val="22"/>
          <w:szCs w:val="22"/>
        </w:rPr>
        <w:t>2012 presidential election.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We provide causal evidence that individuals feel pressure to agree with the political views of their neighbors and show that these partisan interactions exacerbate geographic polarization.</w:t>
      </w:r>
    </w:p>
    <w:p w14:paraId="74FF654F" w14:textId="77777777" w:rsidR="00F349B0" w:rsidRDefault="00C62855" w:rsidP="00F349B0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C42220">
        <w:rPr>
          <w:rFonts w:ascii="Arial" w:hAnsi="Arial" w:cs="Arial"/>
          <w:color w:val="000000"/>
          <w:sz w:val="20"/>
          <w:szCs w:val="20"/>
        </w:rPr>
        <w:t>Perez-Truglia, R. and Cruces, G. (2017). Partisan Interactions: Evidence from a Field Experiment in the United States.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Journal of Political Economy</w:t>
      </w:r>
      <w:r w:rsidRPr="00C42220">
        <w:rPr>
          <w:rFonts w:ascii="Arial" w:hAnsi="Arial" w:cs="Arial"/>
          <w:color w:val="000000"/>
          <w:sz w:val="20"/>
          <w:szCs w:val="20"/>
        </w:rPr>
        <w:t>, Vol. 125 (4), pp. 1208–1243.</w:t>
      </w:r>
    </w:p>
    <w:p w14:paraId="39746C5E" w14:textId="0B37C14D" w:rsidR="00C62855" w:rsidRPr="00C42220" w:rsidRDefault="00B3363A" w:rsidP="00F349B0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44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45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46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[Slides]</w:t>
        </w:r>
      </w:hyperlink>
    </w:p>
    <w:p w14:paraId="033B4CA5" w14:textId="0203AA2F" w:rsidR="00B949AB" w:rsidRDefault="00B949AB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61A46C78" w14:textId="35863920" w:rsidR="00F349B0" w:rsidRPr="00B338BC" w:rsidRDefault="00F349B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1ACB3F98" w14:textId="794A469B" w:rsidR="005D3991" w:rsidRPr="005D3991" w:rsidRDefault="00F349B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0A26A434" wp14:editId="20869326">
            <wp:simplePos x="0" y="0"/>
            <wp:positionH relativeFrom="margin">
              <wp:posOffset>-394335</wp:posOffset>
            </wp:positionH>
            <wp:positionV relativeFrom="paragraph">
              <wp:posOffset>179070</wp:posOffset>
            </wp:positionV>
            <wp:extent cx="2475230" cy="2369820"/>
            <wp:effectExtent l="0" t="0" r="1270" b="0"/>
            <wp:wrapTight wrapText="bothSides">
              <wp:wrapPolygon edited="0">
                <wp:start x="0" y="0"/>
                <wp:lineTo x="0" y="21357"/>
                <wp:lineTo x="21445" y="21357"/>
                <wp:lineTo x="2144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Inflation Expectations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and Supermarket Prices</w:t>
      </w:r>
    </w:p>
    <w:p w14:paraId="3A752B45" w14:textId="77777777" w:rsidR="00F349B0" w:rsidRPr="00F349B0" w:rsidRDefault="00F349B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F349B0">
        <w:rPr>
          <w:rFonts w:ascii="Arial" w:hAnsi="Arial" w:cs="Arial"/>
          <w:color w:val="000000"/>
          <w:sz w:val="22"/>
          <w:szCs w:val="22"/>
        </w:rPr>
        <w:t xml:space="preserve">We use survey and field experiments to study the sources of information frictions for </w:t>
      </w:r>
      <w:r w:rsidRPr="00F349B0">
        <w:rPr>
          <w:rFonts w:ascii="Arial" w:hAnsi="Arial" w:cs="Arial"/>
          <w:color w:val="000000"/>
          <w:sz w:val="22"/>
          <w:szCs w:val="22"/>
        </w:rPr>
        <w:t>inflation expectations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. We show that </w:t>
      </w:r>
      <w:r w:rsidRPr="00F349B0">
        <w:rPr>
          <w:rFonts w:ascii="Arial" w:hAnsi="Arial" w:cs="Arial"/>
          <w:color w:val="000000"/>
          <w:sz w:val="22"/>
          <w:szCs w:val="22"/>
        </w:rPr>
        <w:t>rational inattention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explains some of the misperceptions. However,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cognitive limitations appear to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play a significant role too: </w:t>
      </w:r>
      <w:r w:rsidRPr="00F349B0">
        <w:rPr>
          <w:rFonts w:ascii="Arial" w:hAnsi="Arial" w:cs="Arial"/>
          <w:color w:val="000000"/>
          <w:sz w:val="22"/>
          <w:szCs w:val="22"/>
        </w:rPr>
        <w:t>even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when information about inflation statistics is available,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households </w:t>
      </w:r>
      <w:r w:rsidRPr="00F349B0">
        <w:rPr>
          <w:rFonts w:ascii="Arial" w:hAnsi="Arial" w:cs="Arial"/>
          <w:color w:val="000000"/>
          <w:sz w:val="22"/>
          <w:szCs w:val="22"/>
        </w:rPr>
        <w:t>still place a significant weight on inaccurate sources of information,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such as their memories of the </w:t>
      </w:r>
      <w:r w:rsidRPr="00F349B0">
        <w:rPr>
          <w:rFonts w:ascii="Arial" w:hAnsi="Arial" w:cs="Arial"/>
          <w:color w:val="000000"/>
          <w:sz w:val="22"/>
          <w:szCs w:val="22"/>
        </w:rPr>
        <w:t xml:space="preserve">supermarket </w:t>
      </w:r>
      <w:r w:rsidRPr="00F349B0">
        <w:rPr>
          <w:rFonts w:ascii="Arial" w:hAnsi="Arial" w:cs="Arial"/>
          <w:color w:val="000000"/>
          <w:sz w:val="22"/>
          <w:szCs w:val="22"/>
        </w:rPr>
        <w:t>price</w:t>
      </w:r>
      <w:r w:rsidRPr="00F349B0">
        <w:rPr>
          <w:rFonts w:ascii="Arial" w:hAnsi="Arial" w:cs="Arial"/>
          <w:color w:val="000000"/>
          <w:sz w:val="22"/>
          <w:szCs w:val="22"/>
        </w:rPr>
        <w:t>s.</w:t>
      </w:r>
    </w:p>
    <w:p w14:paraId="34C7D7DC" w14:textId="24A71FA1" w:rsidR="00B949AB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C42220">
        <w:rPr>
          <w:rFonts w:ascii="Arial" w:hAnsi="Arial" w:cs="Arial"/>
          <w:color w:val="000000"/>
          <w:sz w:val="20"/>
          <w:szCs w:val="20"/>
          <w:lang w:val="es-AR"/>
        </w:rPr>
        <w:t>Cavallo, A.; Cruces, G. and Perez-Truglia, R. (2017). </w:t>
      </w:r>
      <w:r w:rsidRPr="00C42220">
        <w:rPr>
          <w:rFonts w:ascii="Arial" w:hAnsi="Arial" w:cs="Arial"/>
          <w:color w:val="000000"/>
          <w:sz w:val="20"/>
          <w:szCs w:val="20"/>
        </w:rPr>
        <w:t>Inflation Expectations, Learning and Supermarket Prices: Evidence from Field Experiments.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American Economic Journal: Macroeconomics</w:t>
      </w:r>
      <w:r w:rsidRPr="00C42220">
        <w:rPr>
          <w:rFonts w:ascii="Arial" w:hAnsi="Arial" w:cs="Arial"/>
          <w:color w:val="000000"/>
          <w:sz w:val="20"/>
          <w:szCs w:val="20"/>
        </w:rPr>
        <w:t>, Vol. 9 (3), pp. 1–35</w:t>
      </w:r>
      <w:r w:rsidR="00B949AB" w:rsidRPr="00C42220">
        <w:rPr>
          <w:rFonts w:ascii="Arial" w:hAnsi="Arial" w:cs="Arial"/>
          <w:color w:val="000000"/>
          <w:sz w:val="20"/>
          <w:szCs w:val="20"/>
        </w:rPr>
        <w:t>.</w:t>
      </w:r>
    </w:p>
    <w:p w14:paraId="3006C870" w14:textId="38748305" w:rsidR="00B949AB" w:rsidRPr="00651FFF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48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49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50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[Slides]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51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[Questionnaire]</w:t>
        </w:r>
      </w:hyperlink>
    </w:p>
    <w:p w14:paraId="1104F151" w14:textId="4CABDA10" w:rsidR="005D3991" w:rsidRPr="005D3991" w:rsidRDefault="00651FFF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85888" behindDoc="1" locked="0" layoutInCell="1" allowOverlap="1" wp14:anchorId="35E58B20" wp14:editId="6A542C32">
            <wp:simplePos x="0" y="0"/>
            <wp:positionH relativeFrom="column">
              <wp:posOffset>-624840</wp:posOffset>
            </wp:positionH>
            <wp:positionV relativeFrom="paragraph">
              <wp:posOffset>100916</wp:posOffset>
            </wp:positionV>
            <wp:extent cx="320294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4" y="21450"/>
                <wp:lineTo x="2145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Learning from Potentially Biased Statistics</w:t>
      </w:r>
    </w:p>
    <w:p w14:paraId="6F3142CE" w14:textId="1D42BA68" w:rsidR="00EC1600" w:rsidRPr="00651FFF" w:rsidRDefault="00F349B0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51FFF">
        <w:rPr>
          <w:rFonts w:ascii="Arial" w:hAnsi="Arial" w:cs="Arial"/>
          <w:color w:val="000000"/>
          <w:sz w:val="22"/>
          <w:szCs w:val="22"/>
        </w:rPr>
        <w:t>W</w:t>
      </w:r>
      <w:r w:rsidRPr="00651FFF">
        <w:rPr>
          <w:rFonts w:ascii="Arial" w:hAnsi="Arial" w:cs="Arial"/>
          <w:color w:val="000000"/>
          <w:sz w:val="22"/>
          <w:szCs w:val="22"/>
        </w:rPr>
        <w:t>e study how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individuals learn from potentially biased statistics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 xml:space="preserve">, using </w:t>
      </w:r>
      <w:r w:rsidRPr="00651FFF">
        <w:rPr>
          <w:rFonts w:ascii="Arial" w:hAnsi="Arial" w:cs="Arial"/>
          <w:color w:val="000000"/>
          <w:sz w:val="22"/>
          <w:szCs w:val="22"/>
        </w:rPr>
        <w:t>a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natural experiment and a survey experiment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 xml:space="preserve">. We examine </w:t>
      </w:r>
      <w:r w:rsidRPr="00651FFF">
        <w:rPr>
          <w:rFonts w:ascii="Arial" w:hAnsi="Arial" w:cs="Arial"/>
          <w:color w:val="000000"/>
          <w:sz w:val="22"/>
          <w:szCs w:val="22"/>
        </w:rPr>
        <w:t>a period (2007–15) when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the government of Argentina was manipulating official inflation statistics. 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>We provide evidence that</w:t>
      </w:r>
      <w:r w:rsidRPr="00651FFF">
        <w:rPr>
          <w:rFonts w:ascii="Arial" w:hAnsi="Arial" w:cs="Arial"/>
          <w:color w:val="000000"/>
          <w:sz w:val="22"/>
          <w:szCs w:val="22"/>
        </w:rPr>
        <w:t>, rather than ignoring biased statistics or naively accepting them,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households react in a sophisticated way, as predicted by a Bayesian learning</w:t>
      </w:r>
      <w:r w:rsidR="00651FFF"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model.</w:t>
      </w:r>
    </w:p>
    <w:p w14:paraId="6D5770DD" w14:textId="77777777" w:rsidR="005D3991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651FFF">
        <w:rPr>
          <w:rFonts w:ascii="Arial" w:hAnsi="Arial" w:cs="Arial"/>
          <w:color w:val="000000"/>
          <w:sz w:val="20"/>
          <w:szCs w:val="20"/>
          <w:lang w:val="es-AR"/>
        </w:rPr>
        <w:t>Cavallo, A.; Cruces, G. and Perez-Truglia, R. (2016). </w:t>
      </w:r>
      <w:r w:rsidRPr="00C42220">
        <w:rPr>
          <w:rFonts w:ascii="Arial" w:hAnsi="Arial" w:cs="Arial"/>
          <w:color w:val="000000"/>
          <w:sz w:val="20"/>
          <w:szCs w:val="20"/>
        </w:rPr>
        <w:t>Learning from Potentially Biased Statistics.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Brookings Papers on Economic Activity</w:t>
      </w:r>
      <w:r w:rsidRPr="00C42220">
        <w:rPr>
          <w:rFonts w:ascii="Arial" w:hAnsi="Arial" w:cs="Arial"/>
          <w:color w:val="000000"/>
          <w:sz w:val="20"/>
          <w:szCs w:val="20"/>
        </w:rPr>
        <w:t>, Spring 2016, pp. 59-108.</w:t>
      </w:r>
    </w:p>
    <w:p w14:paraId="179A5A96" w14:textId="2F0EFEF3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53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</w:p>
    <w:p w14:paraId="62C27D63" w14:textId="1E0289C9" w:rsidR="00B949AB" w:rsidRDefault="00B949AB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46721266" w14:textId="7FD64C8E" w:rsidR="005D3991" w:rsidRPr="005D3991" w:rsidRDefault="00651FFF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9744" behindDoc="1" locked="0" layoutInCell="1" allowOverlap="1" wp14:anchorId="1096AE9B" wp14:editId="4F7F0AB7">
            <wp:simplePos x="0" y="0"/>
            <wp:positionH relativeFrom="margin">
              <wp:posOffset>-506730</wp:posOffset>
            </wp:positionH>
            <wp:positionV relativeFrom="paragraph">
              <wp:posOffset>111125</wp:posOffset>
            </wp:positionV>
            <wp:extent cx="2510790" cy="2172970"/>
            <wp:effectExtent l="0" t="0" r="3810" b="0"/>
            <wp:wrapTight wrapText="bothSides">
              <wp:wrapPolygon edited="0">
                <wp:start x="0" y="0"/>
                <wp:lineTo x="0" y="21398"/>
                <wp:lineTo x="21469" y="21398"/>
                <wp:lineTo x="2146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Conveniently Upset</w:t>
      </w:r>
    </w:p>
    <w:p w14:paraId="02218ED7" w14:textId="0139BB25" w:rsidR="00B949AB" w:rsidRPr="00651FFF" w:rsidRDefault="00651FFF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51FFF">
        <w:rPr>
          <w:rFonts w:ascii="Arial" w:hAnsi="Arial" w:cs="Arial"/>
          <w:color w:val="000000"/>
          <w:sz w:val="22"/>
          <w:szCs w:val="22"/>
        </w:rPr>
        <w:t>We provide evidence of self-serving biases in other-regarding behavior: p</w:t>
      </w:r>
      <w:r w:rsidRPr="00651FFF">
        <w:rPr>
          <w:rFonts w:ascii="Arial" w:hAnsi="Arial" w:cs="Arial"/>
          <w:color w:val="000000"/>
          <w:sz w:val="22"/>
          <w:szCs w:val="22"/>
        </w:rPr>
        <w:t>eople’s beliefs about others are affected by their own desire to be selfish and that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ambiguity about other people’s actions plays an important role in allowing selfish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behavior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.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We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designed a laboratory game (the </w:t>
      </w:r>
      <w:r w:rsidRPr="00651FFF">
        <w:rPr>
          <w:rFonts w:ascii="Arial" w:hAnsi="Arial" w:cs="Arial"/>
          <w:color w:val="000000"/>
          <w:sz w:val="22"/>
          <w:szCs w:val="22"/>
        </w:rPr>
        <w:t>“corruption game”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) to </w:t>
      </w:r>
      <w:r>
        <w:rPr>
          <w:rFonts w:ascii="Arial" w:hAnsi="Arial" w:cs="Arial"/>
          <w:color w:val="000000"/>
          <w:sz w:val="22"/>
          <w:szCs w:val="22"/>
        </w:rPr>
        <w:t xml:space="preserve">study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this </w:t>
      </w:r>
      <w:r>
        <w:rPr>
          <w:rFonts w:ascii="Arial" w:hAnsi="Arial" w:cs="Arial"/>
          <w:color w:val="000000"/>
          <w:sz w:val="22"/>
          <w:szCs w:val="22"/>
        </w:rPr>
        <w:t>phenomenon</w:t>
      </w:r>
      <w:r w:rsidRPr="00651FFF">
        <w:rPr>
          <w:rFonts w:ascii="Arial" w:hAnsi="Arial" w:cs="Arial"/>
          <w:color w:val="000000"/>
          <w:sz w:val="22"/>
          <w:szCs w:val="22"/>
        </w:rPr>
        <w:t>.</w:t>
      </w:r>
    </w:p>
    <w:p w14:paraId="6EC6EBFC" w14:textId="0EFFFB4A" w:rsidR="005D3991" w:rsidRPr="00C42220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651FFF">
        <w:rPr>
          <w:rFonts w:ascii="Arial" w:hAnsi="Arial" w:cs="Arial"/>
          <w:color w:val="000000"/>
          <w:sz w:val="20"/>
          <w:szCs w:val="20"/>
          <w:lang w:val="es-AR"/>
        </w:rPr>
        <w:t>Di</w:t>
      </w:r>
      <w:r w:rsidR="00C42220" w:rsidRPr="00651FFF">
        <w:rPr>
          <w:rFonts w:ascii="Arial" w:hAnsi="Arial" w:cs="Arial"/>
          <w:color w:val="000000"/>
          <w:sz w:val="20"/>
          <w:szCs w:val="20"/>
          <w:lang w:val="es-AR"/>
        </w:rPr>
        <w:t xml:space="preserve"> </w:t>
      </w:r>
      <w:r w:rsidRPr="00651FFF">
        <w:rPr>
          <w:rFonts w:ascii="Arial" w:hAnsi="Arial" w:cs="Arial"/>
          <w:color w:val="000000"/>
          <w:sz w:val="20"/>
          <w:szCs w:val="20"/>
          <w:lang w:val="es-AR"/>
        </w:rPr>
        <w:t xml:space="preserve">Tella, R., Perez-Truglia, R., </w:t>
      </w:r>
      <w:proofErr w:type="spellStart"/>
      <w:r w:rsidRPr="00651FFF">
        <w:rPr>
          <w:rFonts w:ascii="Arial" w:hAnsi="Arial" w:cs="Arial"/>
          <w:color w:val="000000"/>
          <w:sz w:val="20"/>
          <w:szCs w:val="20"/>
          <w:lang w:val="es-AR"/>
        </w:rPr>
        <w:t>Babino</w:t>
      </w:r>
      <w:proofErr w:type="spellEnd"/>
      <w:r w:rsidRPr="00651FFF">
        <w:rPr>
          <w:rFonts w:ascii="Arial" w:hAnsi="Arial" w:cs="Arial"/>
          <w:color w:val="000000"/>
          <w:sz w:val="20"/>
          <w:szCs w:val="20"/>
          <w:lang w:val="es-AR"/>
        </w:rPr>
        <w:t xml:space="preserve">, A., </w:t>
      </w:r>
      <w:proofErr w:type="spellStart"/>
      <w:r w:rsidRPr="00651FFF">
        <w:rPr>
          <w:rFonts w:ascii="Arial" w:hAnsi="Arial" w:cs="Arial"/>
          <w:color w:val="000000"/>
          <w:sz w:val="20"/>
          <w:szCs w:val="20"/>
          <w:lang w:val="es-AR"/>
        </w:rPr>
        <w:t>Sigman</w:t>
      </w:r>
      <w:proofErr w:type="spellEnd"/>
      <w:r w:rsidRPr="00651FFF">
        <w:rPr>
          <w:rFonts w:ascii="Arial" w:hAnsi="Arial" w:cs="Arial"/>
          <w:color w:val="000000"/>
          <w:sz w:val="20"/>
          <w:szCs w:val="20"/>
          <w:lang w:val="es-AR"/>
        </w:rPr>
        <w:t>, M. (2015). </w:t>
      </w:r>
      <w:r w:rsidRPr="00C42220">
        <w:rPr>
          <w:rFonts w:ascii="Arial" w:hAnsi="Arial" w:cs="Arial"/>
          <w:color w:val="000000"/>
          <w:sz w:val="20"/>
          <w:szCs w:val="20"/>
        </w:rPr>
        <w:t>Conveniently Upset: Avoiding Altruism by Distorting Beliefs About Others’ Altruism.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American Economic Review</w:t>
      </w:r>
      <w:r w:rsidRPr="00C42220">
        <w:rPr>
          <w:rFonts w:ascii="Arial" w:hAnsi="Arial" w:cs="Arial"/>
          <w:color w:val="000000"/>
          <w:sz w:val="20"/>
          <w:szCs w:val="20"/>
        </w:rPr>
        <w:t>, Vol. 105 (11), pp. 3416-42.</w:t>
      </w:r>
    </w:p>
    <w:p w14:paraId="1791DF85" w14:textId="71A1FF2A" w:rsidR="00C62855" w:rsidRPr="00C42220" w:rsidRDefault="00B3363A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55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56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57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[Questionnaire]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  <w:hyperlink r:id="rId58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[Older Version]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</w:t>
      </w:r>
    </w:p>
    <w:p w14:paraId="621F99AD" w14:textId="6CE4649F" w:rsidR="00651FFF" w:rsidRDefault="00651FFF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2344B7AD" w14:textId="3804C46A" w:rsidR="005D3991" w:rsidRPr="005D3991" w:rsidRDefault="00651FFF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58867E4B" wp14:editId="730137E0">
            <wp:simplePos x="0" y="0"/>
            <wp:positionH relativeFrom="margin">
              <wp:posOffset>-631190</wp:posOffset>
            </wp:positionH>
            <wp:positionV relativeFrom="paragraph">
              <wp:posOffset>161144</wp:posOffset>
            </wp:positionV>
            <wp:extent cx="2508426" cy="2131256"/>
            <wp:effectExtent l="0" t="0" r="6350" b="2540"/>
            <wp:wrapTight wrapText="bothSides">
              <wp:wrapPolygon edited="0">
                <wp:start x="0" y="0"/>
                <wp:lineTo x="0" y="21433"/>
                <wp:lineTo x="21491" y="21433"/>
                <wp:lineTo x="214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26" cy="21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 w:rsidRPr="005D3991">
        <w:rPr>
          <w:rFonts w:ascii="Arial" w:hAnsi="Arial" w:cs="Arial"/>
          <w:b/>
          <w:bCs/>
          <w:color w:val="000000"/>
          <w:sz w:val="32"/>
          <w:szCs w:val="32"/>
        </w:rPr>
        <w:t>Losing my Religion</w:t>
      </w:r>
    </w:p>
    <w:p w14:paraId="7794D3E8" w14:textId="20E2CDFA" w:rsidR="00651FFF" w:rsidRDefault="00651FFF" w:rsidP="00126A43">
      <w:pPr>
        <w:pStyle w:val="NormalWeb"/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51FFF">
        <w:rPr>
          <w:rFonts w:ascii="Arial" w:hAnsi="Arial" w:cs="Arial"/>
          <w:color w:val="000000"/>
          <w:sz w:val="22"/>
          <w:szCs w:val="22"/>
        </w:rPr>
        <w:t xml:space="preserve">We study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the effects of the </w:t>
      </w:r>
      <w:r w:rsidRPr="00651FFF">
        <w:rPr>
          <w:rFonts w:ascii="Arial" w:hAnsi="Arial" w:cs="Arial"/>
          <w:color w:val="000000"/>
          <w:sz w:val="22"/>
          <w:szCs w:val="22"/>
        </w:rPr>
        <w:t>U.S. Catholic clergy abuse scandals. To estimate the causal effects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, </w:t>
      </w:r>
      <w:r w:rsidRPr="00651FFF">
        <w:rPr>
          <w:rFonts w:ascii="Arial" w:hAnsi="Arial" w:cs="Arial"/>
          <w:color w:val="000000"/>
          <w:sz w:val="22"/>
          <w:szCs w:val="22"/>
        </w:rPr>
        <w:t>we conduct an event-study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analysis that exploits the fine distribution of the scandals over space and time.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We show that each </w:t>
      </w:r>
      <w:r w:rsidRPr="00651FFF">
        <w:rPr>
          <w:rFonts w:ascii="Arial" w:hAnsi="Arial" w:cs="Arial"/>
          <w:color w:val="000000"/>
          <w:sz w:val="22"/>
          <w:szCs w:val="22"/>
        </w:rPr>
        <w:t>scandal causes a significant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and long-lasting decline in religious participation in the </w:t>
      </w:r>
      <w:r w:rsidRPr="00651FFF">
        <w:rPr>
          <w:rFonts w:ascii="Arial" w:hAnsi="Arial" w:cs="Arial"/>
          <w:color w:val="000000"/>
          <w:sz w:val="22"/>
          <w:szCs w:val="22"/>
        </w:rPr>
        <w:t>community in which it occurs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. 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The </w:t>
      </w:r>
      <w:r w:rsidRPr="00651FFF">
        <w:rPr>
          <w:rFonts w:ascii="Arial" w:hAnsi="Arial" w:cs="Arial"/>
          <w:color w:val="000000"/>
          <w:sz w:val="22"/>
          <w:szCs w:val="22"/>
        </w:rPr>
        <w:t>scandals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</w:t>
      </w:r>
      <w:r w:rsidRPr="00651FFF">
        <w:rPr>
          <w:rFonts w:ascii="Arial" w:hAnsi="Arial" w:cs="Arial"/>
          <w:color w:val="000000"/>
          <w:sz w:val="22"/>
          <w:szCs w:val="22"/>
        </w:rPr>
        <w:t>cause</w:t>
      </w:r>
      <w:r w:rsidRPr="00651FFF">
        <w:rPr>
          <w:rFonts w:ascii="Arial" w:hAnsi="Arial" w:cs="Arial"/>
          <w:color w:val="000000"/>
          <w:sz w:val="22"/>
          <w:szCs w:val="22"/>
        </w:rPr>
        <w:t>d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a</w:t>
      </w:r>
      <w:r w:rsidRPr="00651FFF">
        <w:rPr>
          <w:rFonts w:ascii="Arial" w:hAnsi="Arial" w:cs="Arial"/>
          <w:color w:val="000000"/>
          <w:sz w:val="22"/>
          <w:szCs w:val="22"/>
        </w:rPr>
        <w:t xml:space="preserve"> large and </w:t>
      </w:r>
      <w:r w:rsidRPr="00651FFF">
        <w:rPr>
          <w:rFonts w:ascii="Arial" w:hAnsi="Arial" w:cs="Arial"/>
          <w:color w:val="000000"/>
          <w:sz w:val="22"/>
          <w:szCs w:val="22"/>
        </w:rPr>
        <w:t>long-lasting decline in charitable contributions</w:t>
      </w:r>
      <w:r w:rsidRPr="00651FFF">
        <w:rPr>
          <w:rFonts w:ascii="Arial" w:hAnsi="Arial" w:cs="Arial"/>
          <w:color w:val="000000"/>
          <w:sz w:val="22"/>
          <w:szCs w:val="22"/>
        </w:rPr>
        <w:t>.</w:t>
      </w:r>
    </w:p>
    <w:p w14:paraId="4411A9B9" w14:textId="5B982A1F" w:rsidR="005D3991" w:rsidRPr="00C42220" w:rsidRDefault="00C62855" w:rsidP="00651FFF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 w:rsidRPr="00C42220">
        <w:rPr>
          <w:rFonts w:ascii="Arial" w:hAnsi="Arial" w:cs="Arial"/>
          <w:color w:val="000000"/>
          <w:sz w:val="20"/>
          <w:szCs w:val="20"/>
        </w:rPr>
        <w:t>Bottan</w:t>
      </w:r>
      <w:proofErr w:type="spellEnd"/>
      <w:r w:rsidRPr="00C42220">
        <w:rPr>
          <w:rFonts w:ascii="Arial" w:hAnsi="Arial" w:cs="Arial"/>
          <w:color w:val="000000"/>
          <w:sz w:val="20"/>
          <w:szCs w:val="20"/>
        </w:rPr>
        <w:t>, N. and Perez-Truglia, R. (2015). Losing my Religion: The Effects of Religious Scandals on Religious Participation and Charitable Giving. </w:t>
      </w:r>
      <w:r w:rsidRPr="00C42220">
        <w:rPr>
          <w:rStyle w:val="Emphasis"/>
          <w:rFonts w:ascii="Arial" w:hAnsi="Arial" w:cs="Arial"/>
          <w:color w:val="000000"/>
          <w:sz w:val="20"/>
          <w:szCs w:val="20"/>
          <w:u w:val="single"/>
        </w:rPr>
        <w:t>Journal of Public Economics</w:t>
      </w:r>
      <w:r w:rsidRPr="00C42220">
        <w:rPr>
          <w:rFonts w:ascii="Arial" w:hAnsi="Arial" w:cs="Arial"/>
          <w:color w:val="000000"/>
          <w:sz w:val="20"/>
          <w:szCs w:val="20"/>
        </w:rPr>
        <w:t>, Vol. 129, pp. 106–119.</w:t>
      </w:r>
    </w:p>
    <w:p w14:paraId="5238BF8A" w14:textId="4838BF5A" w:rsidR="00C62855" w:rsidRPr="00C42220" w:rsidRDefault="00B3363A" w:rsidP="00651FFF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hyperlink r:id="rId60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</w:t>
        </w:r>
        <w:r w:rsidR="00A156BA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Link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61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[PD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F</w:t>
        </w:r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62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[Slides]</w:t>
        </w:r>
      </w:hyperlink>
      <w:r w:rsidR="00C62855" w:rsidRPr="00C42220">
        <w:rPr>
          <w:rFonts w:ascii="Arial" w:hAnsi="Arial" w:cs="Arial"/>
          <w:color w:val="000000"/>
          <w:sz w:val="20"/>
          <w:szCs w:val="20"/>
        </w:rPr>
        <w:t>  </w:t>
      </w:r>
      <w:hyperlink r:id="rId63" w:tgtFrame="_blank" w:history="1">
        <w:r w:rsidR="00C62855" w:rsidRPr="00C42220">
          <w:rPr>
            <w:rStyle w:val="Hyperlink"/>
            <w:rFonts w:ascii="Arial" w:hAnsi="Arial" w:cs="Arial"/>
            <w:color w:val="6688AA"/>
            <w:sz w:val="20"/>
            <w:szCs w:val="20"/>
          </w:rPr>
          <w:t>[Videos]</w:t>
        </w:r>
      </w:hyperlink>
    </w:p>
    <w:p w14:paraId="5241A636" w14:textId="57AF2D0C" w:rsidR="00B338BC" w:rsidRPr="00B338BC" w:rsidRDefault="00B338BC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32"/>
          <w:szCs w:val="32"/>
        </w:rPr>
      </w:pPr>
      <w:r w:rsidRPr="00B338BC"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68480" behindDoc="1" locked="0" layoutInCell="1" allowOverlap="1" wp14:anchorId="749B147D" wp14:editId="31F4F6CC">
            <wp:simplePos x="0" y="0"/>
            <wp:positionH relativeFrom="page">
              <wp:align>left</wp:align>
            </wp:positionH>
            <wp:positionV relativeFrom="paragraph">
              <wp:posOffset>140531</wp:posOffset>
            </wp:positionV>
            <wp:extent cx="3093720" cy="2841625"/>
            <wp:effectExtent l="0" t="0" r="0" b="0"/>
            <wp:wrapTight wrapText="bothSides">
              <wp:wrapPolygon edited="0">
                <wp:start x="0" y="0"/>
                <wp:lineTo x="0" y="21431"/>
                <wp:lineTo x="21414" y="21431"/>
                <wp:lineTo x="2141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30" cy="284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8BC">
        <w:rPr>
          <w:rFonts w:ascii="Arial" w:hAnsi="Arial" w:cs="Arial"/>
          <w:b/>
          <w:bCs/>
          <w:color w:val="000000"/>
          <w:sz w:val="32"/>
          <w:szCs w:val="32"/>
        </w:rPr>
        <w:t xml:space="preserve">Biased Perceptions of </w:t>
      </w:r>
      <w:r w:rsidR="00F07528">
        <w:rPr>
          <w:rFonts w:ascii="Arial" w:hAnsi="Arial" w:cs="Arial"/>
          <w:b/>
          <w:bCs/>
          <w:color w:val="000000"/>
          <w:sz w:val="32"/>
          <w:szCs w:val="32"/>
        </w:rPr>
        <w:t xml:space="preserve">the Relative </w:t>
      </w:r>
      <w:r w:rsidRPr="00B338BC">
        <w:rPr>
          <w:rFonts w:ascii="Arial" w:hAnsi="Arial" w:cs="Arial"/>
          <w:b/>
          <w:bCs/>
          <w:color w:val="000000"/>
          <w:sz w:val="32"/>
          <w:szCs w:val="32"/>
        </w:rPr>
        <w:t xml:space="preserve">Income </w:t>
      </w:r>
    </w:p>
    <w:p w14:paraId="116BFCEB" w14:textId="34A26D9E" w:rsidR="00B3363A" w:rsidRPr="00B3363A" w:rsidRDefault="00B3363A" w:rsidP="00B3363A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B3363A">
        <w:rPr>
          <w:rFonts w:ascii="Arial" w:hAnsi="Arial" w:cs="Arial"/>
          <w:color w:val="000000"/>
          <w:sz w:val="22"/>
          <w:szCs w:val="22"/>
        </w:rPr>
        <w:t xml:space="preserve">What determines the demand for redistribution? Reality or perceptions? </w:t>
      </w:r>
      <w:r w:rsidR="00651FFF" w:rsidRPr="00B3363A">
        <w:rPr>
          <w:rFonts w:ascii="Arial" w:hAnsi="Arial" w:cs="Arial"/>
          <w:color w:val="000000"/>
          <w:sz w:val="22"/>
          <w:szCs w:val="22"/>
        </w:rPr>
        <w:t xml:space="preserve">We show that there is a </w:t>
      </w:r>
      <w:proofErr w:type="gramStart"/>
      <w:r w:rsidR="00651FFF" w:rsidRPr="00B3363A">
        <w:rPr>
          <w:rFonts w:ascii="Arial" w:hAnsi="Arial" w:cs="Arial"/>
          <w:color w:val="000000"/>
          <w:sz w:val="22"/>
          <w:szCs w:val="22"/>
        </w:rPr>
        <w:t>middle class</w:t>
      </w:r>
      <w:proofErr w:type="gramEnd"/>
      <w:r w:rsidR="00651FFF" w:rsidRPr="00B3363A">
        <w:rPr>
          <w:rFonts w:ascii="Arial" w:hAnsi="Arial" w:cs="Arial"/>
          <w:color w:val="000000"/>
          <w:sz w:val="22"/>
          <w:szCs w:val="22"/>
        </w:rPr>
        <w:t xml:space="preserve"> bias: rich individuals under-estimate </w:t>
      </w:r>
      <w:r w:rsidRPr="00B3363A">
        <w:rPr>
          <w:rFonts w:ascii="Arial" w:hAnsi="Arial" w:cs="Arial"/>
          <w:color w:val="000000"/>
          <w:sz w:val="22"/>
          <w:szCs w:val="22"/>
        </w:rPr>
        <w:t xml:space="preserve">their own rank in the income distribution while </w:t>
      </w:r>
      <w:r w:rsidR="00651FFF" w:rsidRPr="00B3363A">
        <w:rPr>
          <w:rFonts w:ascii="Arial" w:hAnsi="Arial" w:cs="Arial"/>
          <w:color w:val="000000"/>
          <w:sz w:val="22"/>
          <w:szCs w:val="22"/>
        </w:rPr>
        <w:t xml:space="preserve">poor individuals </w:t>
      </w:r>
      <w:r w:rsidRPr="00B3363A">
        <w:rPr>
          <w:rFonts w:ascii="Arial" w:hAnsi="Arial" w:cs="Arial"/>
          <w:color w:val="000000"/>
          <w:sz w:val="22"/>
          <w:szCs w:val="22"/>
        </w:rPr>
        <w:t>over</w:t>
      </w:r>
      <w:r w:rsidR="00651FFF" w:rsidRPr="00B3363A">
        <w:rPr>
          <w:rFonts w:ascii="Arial" w:hAnsi="Arial" w:cs="Arial"/>
          <w:color w:val="000000"/>
          <w:sz w:val="22"/>
          <w:szCs w:val="22"/>
        </w:rPr>
        <w:t xml:space="preserve">-estimate </w:t>
      </w:r>
      <w:r w:rsidRPr="00B3363A">
        <w:rPr>
          <w:rFonts w:ascii="Arial" w:hAnsi="Arial" w:cs="Arial"/>
          <w:color w:val="000000"/>
          <w:sz w:val="22"/>
          <w:szCs w:val="22"/>
        </w:rPr>
        <w:t>their own rank</w:t>
      </w:r>
      <w:r w:rsidR="00651FFF" w:rsidRPr="00B3363A">
        <w:rPr>
          <w:rFonts w:ascii="Arial" w:hAnsi="Arial" w:cs="Arial"/>
          <w:color w:val="000000"/>
          <w:sz w:val="22"/>
          <w:szCs w:val="22"/>
        </w:rPr>
        <w:t>.</w:t>
      </w:r>
      <w:r w:rsidRPr="00B3363A">
        <w:rPr>
          <w:rFonts w:ascii="Arial" w:hAnsi="Arial" w:cs="Arial"/>
          <w:color w:val="000000"/>
          <w:sz w:val="22"/>
          <w:szCs w:val="22"/>
        </w:rPr>
        <w:t xml:space="preserve"> We show that those biases arise because individuals naively </w:t>
      </w:r>
      <w:r w:rsidR="00651FFF" w:rsidRPr="00B3363A">
        <w:rPr>
          <w:rFonts w:ascii="Arial" w:hAnsi="Arial" w:cs="Arial"/>
          <w:color w:val="000000"/>
          <w:sz w:val="22"/>
          <w:szCs w:val="22"/>
        </w:rPr>
        <w:t>extrapolat</w:t>
      </w:r>
      <w:r w:rsidRPr="00B3363A">
        <w:rPr>
          <w:rFonts w:ascii="Arial" w:hAnsi="Arial" w:cs="Arial"/>
          <w:color w:val="000000"/>
          <w:sz w:val="22"/>
          <w:szCs w:val="22"/>
        </w:rPr>
        <w:t xml:space="preserve">e </w:t>
      </w:r>
      <w:r w:rsidR="00651FFF" w:rsidRPr="00B3363A">
        <w:rPr>
          <w:rFonts w:ascii="Arial" w:hAnsi="Arial" w:cs="Arial"/>
          <w:color w:val="000000"/>
          <w:sz w:val="22"/>
          <w:szCs w:val="22"/>
        </w:rPr>
        <w:t>information from endogenous reference groups</w:t>
      </w:r>
      <w:r w:rsidRPr="00B3363A">
        <w:rPr>
          <w:rFonts w:ascii="Arial" w:hAnsi="Arial" w:cs="Arial"/>
          <w:color w:val="000000"/>
          <w:sz w:val="22"/>
          <w:szCs w:val="22"/>
        </w:rPr>
        <w:t>. We use an information-provision experiment to show that correcting these misperceptions has a significant effect on the demand for redistribution.</w:t>
      </w:r>
    </w:p>
    <w:p w14:paraId="15DA6FAC" w14:textId="13ADE662" w:rsidR="00B338BC" w:rsidRPr="00B3363A" w:rsidRDefault="00C62855" w:rsidP="00B3363A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B3363A">
        <w:rPr>
          <w:rFonts w:ascii="Arial" w:hAnsi="Arial" w:cs="Arial"/>
          <w:color w:val="000000"/>
          <w:sz w:val="22"/>
          <w:szCs w:val="22"/>
        </w:rPr>
        <w:t xml:space="preserve">Cruces, G., Perez-Truglia, R. and </w:t>
      </w:r>
      <w:proofErr w:type="spellStart"/>
      <w:r w:rsidRPr="00B3363A">
        <w:rPr>
          <w:rFonts w:ascii="Arial" w:hAnsi="Arial" w:cs="Arial"/>
          <w:color w:val="000000"/>
          <w:sz w:val="22"/>
          <w:szCs w:val="22"/>
        </w:rPr>
        <w:t>Tetaz</w:t>
      </w:r>
      <w:proofErr w:type="spellEnd"/>
      <w:r w:rsidRPr="00B3363A">
        <w:rPr>
          <w:rFonts w:ascii="Arial" w:hAnsi="Arial" w:cs="Arial"/>
          <w:color w:val="000000"/>
          <w:sz w:val="22"/>
          <w:szCs w:val="22"/>
        </w:rPr>
        <w:t>, Martin (2013). Biased Perceptions of Income Distribution and Preferences for Redistribution: Evidence from a Survey Experiment. </w:t>
      </w:r>
      <w:r w:rsidRPr="00B3363A">
        <w:rPr>
          <w:rStyle w:val="Emphasis"/>
          <w:rFonts w:ascii="Arial" w:hAnsi="Arial" w:cs="Arial"/>
          <w:color w:val="000000"/>
          <w:sz w:val="22"/>
          <w:szCs w:val="22"/>
          <w:u w:val="single"/>
        </w:rPr>
        <w:t>Journal of Public Economics</w:t>
      </w:r>
      <w:r w:rsidRPr="00B3363A">
        <w:rPr>
          <w:rFonts w:ascii="Arial" w:hAnsi="Arial" w:cs="Arial"/>
          <w:color w:val="000000"/>
          <w:sz w:val="22"/>
          <w:szCs w:val="22"/>
        </w:rPr>
        <w:t>, Vol. 98, pp. 100-112.</w:t>
      </w:r>
    </w:p>
    <w:p w14:paraId="6619033F" w14:textId="4502C207" w:rsidR="00C62855" w:rsidRPr="00B3363A" w:rsidRDefault="00B3363A" w:rsidP="00B3363A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  <w:sz w:val="22"/>
          <w:szCs w:val="22"/>
        </w:rPr>
      </w:pPr>
      <w:hyperlink r:id="rId65" w:tgtFrame="_blank" w:history="1">
        <w:r w:rsidR="00C62855" w:rsidRPr="00B3363A">
          <w:rPr>
            <w:rStyle w:val="Hyperlink"/>
            <w:rFonts w:ascii="Arial" w:hAnsi="Arial" w:cs="Arial"/>
            <w:color w:val="6688AA"/>
            <w:sz w:val="22"/>
            <w:szCs w:val="22"/>
          </w:rPr>
          <w:t>[</w:t>
        </w:r>
        <w:r w:rsidR="00A156BA" w:rsidRPr="00B3363A">
          <w:rPr>
            <w:rStyle w:val="Hyperlink"/>
            <w:rFonts w:ascii="Arial" w:hAnsi="Arial" w:cs="Arial"/>
            <w:color w:val="6688AA"/>
            <w:sz w:val="22"/>
            <w:szCs w:val="22"/>
          </w:rPr>
          <w:t>Link</w:t>
        </w:r>
        <w:r w:rsidR="00C62855" w:rsidRPr="00B3363A">
          <w:rPr>
            <w:rStyle w:val="Hyperlink"/>
            <w:rFonts w:ascii="Arial" w:hAnsi="Arial" w:cs="Arial"/>
            <w:color w:val="6688AA"/>
            <w:sz w:val="22"/>
            <w:szCs w:val="22"/>
          </w:rPr>
          <w:t>]</w:t>
        </w:r>
      </w:hyperlink>
      <w:r w:rsidR="00C62855" w:rsidRPr="00B3363A">
        <w:rPr>
          <w:rFonts w:ascii="Arial" w:hAnsi="Arial" w:cs="Arial"/>
          <w:color w:val="000000"/>
          <w:sz w:val="22"/>
          <w:szCs w:val="22"/>
        </w:rPr>
        <w:t>  </w:t>
      </w:r>
      <w:hyperlink r:id="rId66" w:tgtFrame="_blank" w:history="1">
        <w:r w:rsidR="00C62855" w:rsidRPr="00B3363A">
          <w:rPr>
            <w:rStyle w:val="Hyperlink"/>
            <w:rFonts w:ascii="Arial" w:hAnsi="Arial" w:cs="Arial"/>
            <w:color w:val="6688AA"/>
            <w:sz w:val="22"/>
            <w:szCs w:val="22"/>
          </w:rPr>
          <w:t>[P</w:t>
        </w:r>
        <w:r w:rsidR="00C62855" w:rsidRPr="00B3363A">
          <w:rPr>
            <w:rStyle w:val="Hyperlink"/>
            <w:rFonts w:ascii="Arial" w:hAnsi="Arial" w:cs="Arial"/>
            <w:color w:val="6688AA"/>
            <w:sz w:val="22"/>
            <w:szCs w:val="22"/>
          </w:rPr>
          <w:t>D</w:t>
        </w:r>
        <w:r w:rsidR="00C62855" w:rsidRPr="00B3363A">
          <w:rPr>
            <w:rStyle w:val="Hyperlink"/>
            <w:rFonts w:ascii="Arial" w:hAnsi="Arial" w:cs="Arial"/>
            <w:color w:val="6688AA"/>
            <w:sz w:val="22"/>
            <w:szCs w:val="22"/>
          </w:rPr>
          <w:t>F]</w:t>
        </w:r>
      </w:hyperlink>
    </w:p>
    <w:p w14:paraId="1F71489F" w14:textId="44ABFBE8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14EBC40F" w14:textId="33CD1F95" w:rsidR="00EC1600" w:rsidRDefault="00EC160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5F417071" w14:textId="6C838CAB" w:rsidR="00EC1600" w:rsidRDefault="00EC160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0DB8725D" w14:textId="77777777" w:rsidR="00EC1600" w:rsidRDefault="00EC1600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2015285C" w14:textId="66BA0858" w:rsidR="00A156BA" w:rsidRPr="00A156BA" w:rsidRDefault="00C62855" w:rsidP="00126A43">
      <w:pPr>
        <w:pStyle w:val="Heading2"/>
        <w:spacing w:before="60" w:beforeAutospacing="0" w:after="60" w:afterAutospacing="0"/>
        <w:jc w:val="both"/>
        <w:rPr>
          <w:rFonts w:ascii="Arial" w:hAnsi="Arial" w:cs="Arial"/>
          <w:color w:val="000000"/>
          <w:sz w:val="40"/>
          <w:szCs w:val="40"/>
        </w:rPr>
      </w:pPr>
      <w:r w:rsidRPr="00A156BA">
        <w:rPr>
          <w:rFonts w:ascii="Arial" w:hAnsi="Arial" w:cs="Arial"/>
          <w:color w:val="000000"/>
          <w:sz w:val="40"/>
          <w:szCs w:val="40"/>
        </w:rPr>
        <w:t>Other Publications</w:t>
      </w:r>
    </w:p>
    <w:p w14:paraId="7A676364" w14:textId="77777777" w:rsidR="00F07528" w:rsidRDefault="00F07528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72B2DB93" w14:textId="16DB696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r w:rsidRPr="002E128A">
        <w:rPr>
          <w:rFonts w:ascii="Arial" w:hAnsi="Arial" w:cs="Arial"/>
          <w:color w:val="000000"/>
        </w:rPr>
        <w:t>Montano-Campos, F. and Perez-Truglia, R. (2019). </w:t>
      </w:r>
      <w:r>
        <w:rPr>
          <w:rFonts w:ascii="Arial" w:hAnsi="Arial" w:cs="Arial"/>
          <w:b/>
          <w:bCs/>
          <w:color w:val="000000"/>
        </w:rPr>
        <w:t>Giving to Charity to Signal Smarts.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>Journal of Behavioral and Experimental Economics</w:t>
      </w:r>
      <w:r>
        <w:rPr>
          <w:rFonts w:ascii="Arial" w:hAnsi="Arial" w:cs="Arial"/>
          <w:color w:val="000000"/>
        </w:rPr>
        <w:t>, Vol. 78, pp. 193-199. </w:t>
      </w:r>
      <w:hyperlink r:id="rId67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68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42028AEA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529E9B53" w14:textId="11B607B2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proofErr w:type="spellStart"/>
      <w:r w:rsidRPr="00C62855">
        <w:rPr>
          <w:rFonts w:ascii="Arial" w:hAnsi="Arial" w:cs="Arial"/>
          <w:color w:val="000000"/>
          <w:lang w:val="es-AR"/>
        </w:rPr>
        <w:t>Bergolo</w:t>
      </w:r>
      <w:proofErr w:type="spellEnd"/>
      <w:r w:rsidRPr="00C62855">
        <w:rPr>
          <w:rFonts w:ascii="Arial" w:hAnsi="Arial" w:cs="Arial"/>
          <w:color w:val="000000"/>
          <w:lang w:val="es-AR"/>
        </w:rPr>
        <w:t xml:space="preserve">, M.; </w:t>
      </w:r>
      <w:proofErr w:type="spellStart"/>
      <w:r w:rsidRPr="00C62855">
        <w:rPr>
          <w:rFonts w:ascii="Arial" w:hAnsi="Arial" w:cs="Arial"/>
          <w:color w:val="000000"/>
          <w:lang w:val="es-AR"/>
        </w:rPr>
        <w:t>Ceni</w:t>
      </w:r>
      <w:proofErr w:type="spellEnd"/>
      <w:r w:rsidRPr="00C62855">
        <w:rPr>
          <w:rFonts w:ascii="Arial" w:hAnsi="Arial" w:cs="Arial"/>
          <w:color w:val="000000"/>
          <w:lang w:val="es-AR"/>
        </w:rPr>
        <w:t xml:space="preserve">, R.; Cruces, G.; </w:t>
      </w:r>
      <w:proofErr w:type="spellStart"/>
      <w:r w:rsidRPr="00C62855">
        <w:rPr>
          <w:rFonts w:ascii="Arial" w:hAnsi="Arial" w:cs="Arial"/>
          <w:color w:val="000000"/>
          <w:lang w:val="es-AR"/>
        </w:rPr>
        <w:t>Giaccobasso</w:t>
      </w:r>
      <w:proofErr w:type="spellEnd"/>
      <w:r w:rsidRPr="00C62855">
        <w:rPr>
          <w:rFonts w:ascii="Arial" w:hAnsi="Arial" w:cs="Arial"/>
          <w:color w:val="000000"/>
          <w:lang w:val="es-AR"/>
        </w:rPr>
        <w:t>, M.; Perez-Truglia, R. (2018). </w:t>
      </w:r>
      <w:r>
        <w:rPr>
          <w:rFonts w:ascii="Arial" w:hAnsi="Arial" w:cs="Arial"/>
          <w:b/>
          <w:bCs/>
          <w:color w:val="000000"/>
        </w:rPr>
        <w:t>Misperceptions About Tax Audits.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>American Economic Association P&amp;P,</w:t>
      </w:r>
      <w:r>
        <w:rPr>
          <w:rFonts w:ascii="Arial" w:hAnsi="Arial" w:cs="Arial"/>
          <w:color w:val="000000"/>
        </w:rPr>
        <w:t> Vol. 108, pp. 83–87. </w:t>
      </w:r>
      <w:hyperlink r:id="rId69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70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3F82B16A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29B9A1FC" w14:textId="489BBADD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Perez-Truglia, R. (2018). </w:t>
      </w:r>
      <w:r>
        <w:rPr>
          <w:rFonts w:ascii="Arial" w:hAnsi="Arial" w:cs="Arial"/>
          <w:b/>
          <w:bCs/>
          <w:color w:val="000000"/>
        </w:rPr>
        <w:t>Markets, Trust and Cultural Biases: Evidence from eBay.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>Journal of Behavioral and Experimental Economics</w:t>
      </w:r>
      <w:r>
        <w:rPr>
          <w:rFonts w:ascii="Arial" w:hAnsi="Arial" w:cs="Arial"/>
          <w:color w:val="000000"/>
        </w:rPr>
        <w:t>, Vol. 72, pp. 17–27. </w:t>
      </w:r>
      <w:hyperlink r:id="rId71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72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1FCE0340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51880A6D" w14:textId="45D08D5E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Perez-Truglia, R. (2015). </w:t>
      </w:r>
      <w:r>
        <w:rPr>
          <w:rFonts w:ascii="Arial" w:hAnsi="Arial" w:cs="Arial"/>
          <w:b/>
          <w:bCs/>
          <w:color w:val="000000"/>
        </w:rPr>
        <w:t xml:space="preserve">A </w:t>
      </w:r>
      <w:proofErr w:type="spellStart"/>
      <w:r>
        <w:rPr>
          <w:rFonts w:ascii="Arial" w:hAnsi="Arial" w:cs="Arial"/>
          <w:b/>
          <w:bCs/>
          <w:color w:val="000000"/>
        </w:rPr>
        <w:t>Samuelsonian</w:t>
      </w:r>
      <w:proofErr w:type="spellEnd"/>
      <w:r>
        <w:rPr>
          <w:rFonts w:ascii="Arial" w:hAnsi="Arial" w:cs="Arial"/>
          <w:b/>
          <w:bCs/>
          <w:color w:val="000000"/>
        </w:rPr>
        <w:t xml:space="preserve"> Validation Test for Happiness Data.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>Journal of Economic Psychology</w:t>
      </w:r>
      <w:r>
        <w:rPr>
          <w:rFonts w:ascii="Arial" w:hAnsi="Arial" w:cs="Arial"/>
          <w:color w:val="000000"/>
        </w:rPr>
        <w:t>, Vol. 49, pp. 74–83. </w:t>
      </w:r>
      <w:hyperlink r:id="rId73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74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11E10F77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6B04D52E" w14:textId="021B0BE5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Galiani</w:t>
      </w:r>
      <w:proofErr w:type="spellEnd"/>
      <w:r>
        <w:rPr>
          <w:rFonts w:ascii="Arial" w:hAnsi="Arial" w:cs="Arial"/>
          <w:color w:val="000000"/>
        </w:rPr>
        <w:t>, S. and Perez-Truglia, R. (2013). </w:t>
      </w:r>
      <w:r>
        <w:rPr>
          <w:rFonts w:ascii="Arial" w:hAnsi="Arial" w:cs="Arial"/>
          <w:b/>
          <w:bCs/>
          <w:color w:val="000000"/>
        </w:rPr>
        <w:t>School Management in Developing Countries.</w:t>
      </w:r>
      <w:r>
        <w:rPr>
          <w:rFonts w:ascii="Arial" w:hAnsi="Arial" w:cs="Arial"/>
          <w:color w:val="000000"/>
        </w:rPr>
        <w:t xml:space="preserve"> in P. </w:t>
      </w:r>
      <w:proofErr w:type="spellStart"/>
      <w:r>
        <w:rPr>
          <w:rFonts w:ascii="Arial" w:hAnsi="Arial" w:cs="Arial"/>
          <w:color w:val="000000"/>
        </w:rPr>
        <w:t>Glewwe</w:t>
      </w:r>
      <w:proofErr w:type="spellEnd"/>
      <w:r>
        <w:rPr>
          <w:rFonts w:ascii="Arial" w:hAnsi="Arial" w:cs="Arial"/>
          <w:color w:val="000000"/>
        </w:rPr>
        <w:t xml:space="preserve"> (Ed.), Education Policy in Developing Countries. </w:t>
      </w:r>
      <w:r>
        <w:rPr>
          <w:rStyle w:val="Emphasis"/>
          <w:rFonts w:ascii="Arial" w:hAnsi="Arial" w:cs="Arial"/>
          <w:color w:val="000000"/>
          <w:u w:val="single"/>
        </w:rPr>
        <w:t>Chicago: University of Chicago Press.</w:t>
      </w:r>
      <w:r>
        <w:rPr>
          <w:rFonts w:ascii="Arial" w:hAnsi="Arial" w:cs="Arial"/>
          <w:color w:val="000000"/>
        </w:rPr>
        <w:t> </w:t>
      </w:r>
      <w:hyperlink r:id="rId75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[Order Book]</w:t>
        </w:r>
      </w:hyperlink>
      <w:r>
        <w:rPr>
          <w:rFonts w:ascii="Arial" w:hAnsi="Arial" w:cs="Arial"/>
          <w:color w:val="000000"/>
        </w:rPr>
        <w:t>  </w:t>
      </w:r>
      <w:hyperlink r:id="rId76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62A4047D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337340E5" w14:textId="5B2B383A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Perez-Truglia, R. (2013). </w:t>
      </w:r>
      <w:r>
        <w:rPr>
          <w:rFonts w:ascii="Arial" w:hAnsi="Arial" w:cs="Arial"/>
          <w:b/>
          <w:bCs/>
          <w:color w:val="000000"/>
        </w:rPr>
        <w:t>A Test of the Conspicuous-Consumption Model Using Subjective Well-Being Data.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>Journal of Socio-</w:t>
      </w:r>
      <w:proofErr w:type="gramStart"/>
      <w:r>
        <w:rPr>
          <w:rStyle w:val="Emphasis"/>
          <w:rFonts w:ascii="Arial" w:hAnsi="Arial" w:cs="Arial"/>
          <w:color w:val="000000"/>
          <w:u w:val="single"/>
        </w:rPr>
        <w:t>Economics</w:t>
      </w:r>
      <w:r>
        <w:rPr>
          <w:rStyle w:val="Emphasis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Vol. 45, pp. 146–154. </w:t>
      </w:r>
      <w:hyperlink r:id="rId77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78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2FEC50F0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678D5C58" w14:textId="2A9D250B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Perez-Truglia, R. (2012). </w:t>
      </w:r>
      <w:r>
        <w:rPr>
          <w:rFonts w:ascii="Arial" w:hAnsi="Arial" w:cs="Arial"/>
          <w:b/>
          <w:bCs/>
          <w:color w:val="000000"/>
        </w:rPr>
        <w:t>On the Causes and Consequences of Hedonic Adaptation.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>Journal of Economic Psychology</w:t>
      </w:r>
      <w:r>
        <w:rPr>
          <w:rFonts w:ascii="Arial" w:hAnsi="Arial" w:cs="Arial"/>
          <w:color w:val="000000"/>
        </w:rPr>
        <w:t>, Vol. 33, pp. 1182-1192. </w:t>
      </w:r>
      <w:hyperlink r:id="rId79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80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7FEF57CB" w14:textId="77777777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</w:p>
    <w:p w14:paraId="351C7CED" w14:textId="3586F2F9" w:rsidR="00C62855" w:rsidRDefault="00C62855" w:rsidP="00126A43">
      <w:pPr>
        <w:pStyle w:val="NormalWeb"/>
        <w:spacing w:before="60" w:beforeAutospacing="0" w:after="60" w:afterAutospacing="0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Bottan</w:t>
      </w:r>
      <w:proofErr w:type="spellEnd"/>
      <w:r>
        <w:rPr>
          <w:rFonts w:ascii="Arial" w:hAnsi="Arial" w:cs="Arial"/>
          <w:color w:val="000000"/>
        </w:rPr>
        <w:t>, N. and Perez-Truglia, R. (2011). </w:t>
      </w:r>
      <w:r>
        <w:rPr>
          <w:rFonts w:ascii="Arial" w:hAnsi="Arial" w:cs="Arial"/>
          <w:b/>
          <w:bCs/>
          <w:color w:val="000000"/>
        </w:rPr>
        <w:t>Deconstructing the Hedonic Treadmill.</w:t>
      </w:r>
      <w:r>
        <w:rPr>
          <w:rFonts w:ascii="Arial" w:hAnsi="Arial" w:cs="Arial"/>
          <w:color w:val="000000"/>
        </w:rPr>
        <w:t> </w:t>
      </w:r>
      <w:r>
        <w:rPr>
          <w:rStyle w:val="Emphasis"/>
          <w:rFonts w:ascii="Arial" w:hAnsi="Arial" w:cs="Arial"/>
          <w:color w:val="000000"/>
          <w:u w:val="single"/>
        </w:rPr>
        <w:t xml:space="preserve">Journal of </w:t>
      </w:r>
      <w:proofErr w:type="gramStart"/>
      <w:r>
        <w:rPr>
          <w:rStyle w:val="Emphasis"/>
          <w:rFonts w:ascii="Arial" w:hAnsi="Arial" w:cs="Arial"/>
          <w:color w:val="000000"/>
          <w:u w:val="single"/>
        </w:rPr>
        <w:t>Socio-Economics</w:t>
      </w:r>
      <w:proofErr w:type="gramEnd"/>
      <w:r>
        <w:rPr>
          <w:rFonts w:ascii="Arial" w:hAnsi="Arial" w:cs="Arial"/>
          <w:color w:val="000000"/>
        </w:rPr>
        <w:t>, Vol. 40, pp. 224-236. </w:t>
      </w:r>
      <w:hyperlink r:id="rId81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</w:t>
        </w:r>
        <w:r w:rsidR="00A156BA">
          <w:rPr>
            <w:rStyle w:val="Hyperlink"/>
            <w:rFonts w:ascii="Arial" w:hAnsi="Arial" w:cs="Arial"/>
            <w:color w:val="6688AA"/>
          </w:rPr>
          <w:t>Link</w:t>
        </w:r>
        <w:r>
          <w:rPr>
            <w:rStyle w:val="Hyperlink"/>
            <w:rFonts w:ascii="Arial" w:hAnsi="Arial" w:cs="Arial"/>
            <w:color w:val="6688AA"/>
            <w:u w:val="none"/>
          </w:rPr>
          <w:t>]</w:t>
        </w:r>
      </w:hyperlink>
      <w:r>
        <w:rPr>
          <w:rFonts w:ascii="Arial" w:hAnsi="Arial" w:cs="Arial"/>
          <w:color w:val="000000"/>
        </w:rPr>
        <w:t>  </w:t>
      </w:r>
      <w:hyperlink r:id="rId82" w:tgtFrame="_blank" w:history="1">
        <w:r>
          <w:rPr>
            <w:rStyle w:val="Hyperlink"/>
            <w:rFonts w:ascii="Arial" w:hAnsi="Arial" w:cs="Arial"/>
            <w:color w:val="6688AA"/>
            <w:u w:val="none"/>
          </w:rPr>
          <w:t>[PDF]</w:t>
        </w:r>
      </w:hyperlink>
    </w:p>
    <w:p w14:paraId="7C292F70" w14:textId="77777777" w:rsidR="00C62855" w:rsidRPr="00C62855" w:rsidRDefault="00C62855" w:rsidP="00126A43">
      <w:pPr>
        <w:spacing w:before="60" w:after="60"/>
        <w:jc w:val="both"/>
        <w:rPr>
          <w:rFonts w:ascii="Arial" w:hAnsi="Arial" w:cs="Arial"/>
          <w:color w:val="000000"/>
        </w:rPr>
      </w:pPr>
    </w:p>
    <w:p w14:paraId="4FD95286" w14:textId="77777777" w:rsidR="00FA7786" w:rsidRDefault="00FA7786" w:rsidP="00126A43">
      <w:pPr>
        <w:spacing w:before="60" w:after="60"/>
        <w:jc w:val="both"/>
        <w:rPr>
          <w:rFonts w:ascii="Arial" w:hAnsi="Arial" w:cs="Arial"/>
          <w:color w:val="000000"/>
        </w:rPr>
      </w:pPr>
    </w:p>
    <w:p w14:paraId="265A2141" w14:textId="77777777" w:rsidR="00912005" w:rsidRDefault="00912005" w:rsidP="00126A43">
      <w:pPr>
        <w:spacing w:before="60" w:after="60"/>
        <w:jc w:val="both"/>
      </w:pPr>
    </w:p>
    <w:sectPr w:rsidR="00912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05"/>
    <w:rsid w:val="00086263"/>
    <w:rsid w:val="00126A43"/>
    <w:rsid w:val="002E128A"/>
    <w:rsid w:val="003B126D"/>
    <w:rsid w:val="00452F30"/>
    <w:rsid w:val="005D3991"/>
    <w:rsid w:val="00651FFF"/>
    <w:rsid w:val="0069782F"/>
    <w:rsid w:val="00710F28"/>
    <w:rsid w:val="00904697"/>
    <w:rsid w:val="00912005"/>
    <w:rsid w:val="00936ABF"/>
    <w:rsid w:val="00A156BA"/>
    <w:rsid w:val="00B3363A"/>
    <w:rsid w:val="00B338BC"/>
    <w:rsid w:val="00B949AB"/>
    <w:rsid w:val="00BA694D"/>
    <w:rsid w:val="00C42220"/>
    <w:rsid w:val="00C62855"/>
    <w:rsid w:val="00E547FF"/>
    <w:rsid w:val="00EA11C2"/>
    <w:rsid w:val="00EC1600"/>
    <w:rsid w:val="00F07528"/>
    <w:rsid w:val="00F349B0"/>
    <w:rsid w:val="00FA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237AF"/>
  <w15:chartTrackingRefBased/>
  <w15:docId w15:val="{CD04F503-22FC-4B6F-899F-77557436C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28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1200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120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6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6285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126A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cf.berkeley.edu/~pereztruglia/assets/my_taxes_are_too_darn_high.pdf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ocf.berkeley.edu/~pereztruglia/assets/the_effects_of_income_transparency.pdf" TargetMode="External"/><Relationship Id="rId39" Type="http://schemas.openxmlformats.org/officeDocument/2006/relationships/hyperlink" Target="https://www.ocf.berkeley.edu/~pereztruglia/assets/Slides_Political_Conformity.pdf" TargetMode="External"/><Relationship Id="rId21" Type="http://schemas.openxmlformats.org/officeDocument/2006/relationships/hyperlink" Target="https://www.ocf.berkeley.edu/~pereztruglia/assets/macro_credit_card.pdf" TargetMode="External"/><Relationship Id="rId34" Type="http://schemas.openxmlformats.org/officeDocument/2006/relationships/hyperlink" Target="https://www.ocf.berkeley.edu/~pereztruglia/assets/shaming_tax_delinquents.pdf" TargetMode="External"/><Relationship Id="rId42" Type="http://schemas.openxmlformats.org/officeDocument/2006/relationships/hyperlink" Target="https://www.ocf.berkeley.edu/~pereztruglia/assets/sympathy_for_the_diligent.pdf" TargetMode="External"/><Relationship Id="rId47" Type="http://schemas.openxmlformats.org/officeDocument/2006/relationships/image" Target="media/image18.jpeg"/><Relationship Id="rId50" Type="http://schemas.openxmlformats.org/officeDocument/2006/relationships/hyperlink" Target="https://www.ocf.berkeley.edu/~pereztruglia/assets/Slides_Inflation_Expectations.pdf" TargetMode="External"/><Relationship Id="rId55" Type="http://schemas.openxmlformats.org/officeDocument/2006/relationships/hyperlink" Target="https://www.aeaweb.org/atypon.php?return_to=/doi/pdfplus/10.1257/aer.20141409&amp;etoc=1" TargetMode="External"/><Relationship Id="rId63" Type="http://schemas.openxmlformats.org/officeDocument/2006/relationships/hyperlink" Target="https://www.ocf.berkeley.edu/~pereztruglia/scandals.html" TargetMode="External"/><Relationship Id="rId68" Type="http://schemas.openxmlformats.org/officeDocument/2006/relationships/hyperlink" Target="https://www.ocf.berkeley.edu/~pereztruglia/assets/giving_to_charity.pdf" TargetMode="External"/><Relationship Id="rId76" Type="http://schemas.openxmlformats.org/officeDocument/2006/relationships/hyperlink" Target="https://www.ocf.berkeley.edu/~pereztruglia/assets/school_management.pdf" TargetMode="External"/><Relationship Id="rId84" Type="http://schemas.openxmlformats.org/officeDocument/2006/relationships/theme" Target="theme/theme1.xml"/><Relationship Id="rId7" Type="http://schemas.openxmlformats.org/officeDocument/2006/relationships/hyperlink" Target="https://www.ocf.berkeley.edu/~pereztruglia/assets/the_old_boys_club.pdf" TargetMode="External"/><Relationship Id="rId71" Type="http://schemas.openxmlformats.org/officeDocument/2006/relationships/hyperlink" Target="https://doi.org/10.1016/j.socec.2017.11.00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hyperlink" Target="https://www.ocf.berkeley.edu/~pereztruglia/assets/chosing_your_pond.pdf" TargetMode="External"/><Relationship Id="rId11" Type="http://schemas.openxmlformats.org/officeDocument/2006/relationships/hyperlink" Target="https://www.ocf.berkeley.edu/~pereztruglia/assets/betting_on_the_house.pd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hyperlink" Target="https://doi.org/10.1162/REST_a_00683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www.ocf.berkeley.edu/~pereztruglia/assets/partisan_interactions.pdf" TargetMode="External"/><Relationship Id="rId53" Type="http://schemas.openxmlformats.org/officeDocument/2006/relationships/hyperlink" Target="https://www.brookings.edu/wp-content/uploads/2016/03/cavallotextspring16bpea.pdf" TargetMode="External"/><Relationship Id="rId58" Type="http://schemas.openxmlformats.org/officeDocument/2006/relationships/hyperlink" Target="http://www.nber.org/papers/w16645" TargetMode="External"/><Relationship Id="rId66" Type="http://schemas.openxmlformats.org/officeDocument/2006/relationships/hyperlink" Target="https://www.ocf.berkeley.edu/~pereztruglia/assets/biased_perceptions.pdf" TargetMode="External"/><Relationship Id="rId74" Type="http://schemas.openxmlformats.org/officeDocument/2006/relationships/hyperlink" Target="https://www.ocf.berkeley.edu/~pereztruglia/assets/samuelsonian_validation.pdf" TargetMode="External"/><Relationship Id="rId79" Type="http://schemas.openxmlformats.org/officeDocument/2006/relationships/hyperlink" Target="http://dx.doi.org/10.1016/j.joep.2012.08.004" TargetMode="External"/><Relationship Id="rId5" Type="http://schemas.openxmlformats.org/officeDocument/2006/relationships/hyperlink" Target="https://www.ocf.berkeley.edu/~pereztruglia/assets/how_much_does_your_boss_make.pdf" TargetMode="External"/><Relationship Id="rId61" Type="http://schemas.openxmlformats.org/officeDocument/2006/relationships/hyperlink" Target="https://www.ocf.berkeley.edu/~pereztruglia/assets/losing_my_religion.pdf" TargetMode="External"/><Relationship Id="rId82" Type="http://schemas.openxmlformats.org/officeDocument/2006/relationships/hyperlink" Target="https://www.ocf.berkeley.edu/~pereztruglia/assets/deconstructing_the_hedonic_treadmill.pdf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www.ocf.berkeley.edu/~pereztruglia/assets/tax_evader.pdf" TargetMode="External"/><Relationship Id="rId31" Type="http://schemas.openxmlformats.org/officeDocument/2006/relationships/hyperlink" Target="https://www.ocf.berkeley.edu/~pereztruglia/assets/expectations_with_endogenous.pdf" TargetMode="External"/><Relationship Id="rId44" Type="http://schemas.openxmlformats.org/officeDocument/2006/relationships/hyperlink" Target="http://www.journals.uchicago.edu/doi/full/10.1086/692711" TargetMode="External"/><Relationship Id="rId52" Type="http://schemas.openxmlformats.org/officeDocument/2006/relationships/image" Target="media/image19.jpeg"/><Relationship Id="rId60" Type="http://schemas.openxmlformats.org/officeDocument/2006/relationships/hyperlink" Target="http://dx.doi.org/10.1016/j.jpubeco.2015.07.008" TargetMode="External"/><Relationship Id="rId65" Type="http://schemas.openxmlformats.org/officeDocument/2006/relationships/hyperlink" Target="http://dx.doi.org/10.1016/j.jpubeco.2012.10.009" TargetMode="External"/><Relationship Id="rId73" Type="http://schemas.openxmlformats.org/officeDocument/2006/relationships/hyperlink" Target="http://dx.doi.org/10.1016/j.joep.2015.05.002" TargetMode="External"/><Relationship Id="rId78" Type="http://schemas.openxmlformats.org/officeDocument/2006/relationships/hyperlink" Target="https://www.ocf.berkeley.edu/~pereztruglia/assets/test_of_conspicuous_consumption.pdf" TargetMode="External"/><Relationship Id="rId81" Type="http://schemas.openxmlformats.org/officeDocument/2006/relationships/hyperlink" Target="https://www.sciencedirect.com/science/article/pii/S1053535711000084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ocf.berkeley.edu/~pereztruglia/assets/the_salary_taboo.pdf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www.ocf.berkeley.edu/~pereztruglia/assets/Slides_Norway.pdf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www.ocf.berkeley.edu/~pereztruglia/assets/Slides_Shaming_Tax_Delinquents.pdf" TargetMode="External"/><Relationship Id="rId43" Type="http://schemas.openxmlformats.org/officeDocument/2006/relationships/image" Target="media/image17.jpeg"/><Relationship Id="rId48" Type="http://schemas.openxmlformats.org/officeDocument/2006/relationships/hyperlink" Target="http://pubs.aeaweb.org/doi/pdfplus/10.1257/mac.20150147" TargetMode="External"/><Relationship Id="rId56" Type="http://schemas.openxmlformats.org/officeDocument/2006/relationships/hyperlink" Target="https://www.ocf.berkeley.edu/~pereztruglia/assets/conveniently_upset.pdf" TargetMode="External"/><Relationship Id="rId64" Type="http://schemas.openxmlformats.org/officeDocument/2006/relationships/image" Target="media/image22.emf"/><Relationship Id="rId69" Type="http://schemas.openxmlformats.org/officeDocument/2006/relationships/hyperlink" Target="https://pubs.aeaweb.org/doi/pdf/10.1257/pandp.20181039" TargetMode="External"/><Relationship Id="rId77" Type="http://schemas.openxmlformats.org/officeDocument/2006/relationships/hyperlink" Target="http://www.sciencedirect.com/science/article/pii/S1053535713000905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ocf.berkeley.edu/~pereztruglia/assets/inflation_questionnaire.pdf" TargetMode="External"/><Relationship Id="rId72" Type="http://schemas.openxmlformats.org/officeDocument/2006/relationships/hyperlink" Target="https://www.ocf.berkeley.edu/~pereztruglia/assets/markets_trust_and_cultural_biases.pdf" TargetMode="External"/><Relationship Id="rId80" Type="http://schemas.openxmlformats.org/officeDocument/2006/relationships/hyperlink" Target="https://www.ocf.berkeley.edu/~pereztruglia/assets/hedonic_adaptation.pdf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www.ocf.berkeley.edu/~pereztruglia/assets/your_place_in_the_world.pdf" TargetMode="External"/><Relationship Id="rId25" Type="http://schemas.openxmlformats.org/officeDocument/2006/relationships/hyperlink" Target="https://www.aeaweb.org/articles?id=10.1257/aer.20160256" TargetMode="External"/><Relationship Id="rId33" Type="http://schemas.openxmlformats.org/officeDocument/2006/relationships/hyperlink" Target="https://doi.org/10.1016/j.jpubeco.2018.09.008" TargetMode="External"/><Relationship Id="rId38" Type="http://schemas.openxmlformats.org/officeDocument/2006/relationships/hyperlink" Target="https://www.ocf.berkeley.edu/~pereztruglia/assets/political_conformity.pdf" TargetMode="External"/><Relationship Id="rId46" Type="http://schemas.openxmlformats.org/officeDocument/2006/relationships/hyperlink" Target="https://www.ocf.berkeley.edu/~pereztruglia/assets/Slides_Partisan_Interactions.pdf" TargetMode="External"/><Relationship Id="rId59" Type="http://schemas.openxmlformats.org/officeDocument/2006/relationships/image" Target="media/image21.jpeg"/><Relationship Id="rId67" Type="http://schemas.openxmlformats.org/officeDocument/2006/relationships/hyperlink" Target="https://doi.org/10.1016/j.socec.2018.08.004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www.sciencedirect.com/science/article/pii/S0167268118301744" TargetMode="External"/><Relationship Id="rId54" Type="http://schemas.openxmlformats.org/officeDocument/2006/relationships/image" Target="media/image20.jpeg"/><Relationship Id="rId62" Type="http://schemas.openxmlformats.org/officeDocument/2006/relationships/hyperlink" Target="https://www.ocf.berkeley.edu/~pereztruglia/assets/Slides_Losing_My_Religion.pdf" TargetMode="External"/><Relationship Id="rId70" Type="http://schemas.openxmlformats.org/officeDocument/2006/relationships/hyperlink" Target="https://www.ocf.berkeley.edu/~pereztruglia/assets/misperceptions_about_tax_audits.pdf" TargetMode="External"/><Relationship Id="rId75" Type="http://schemas.openxmlformats.org/officeDocument/2006/relationships/hyperlink" Target="http://press.uchicago.edu/ucp/books/book/chicago/E/bo16835736.html" TargetMode="External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hyperlink" Target="https://www.ocf.berkeley.edu/~pereztruglia/assets/tax_audits_as_scarecrows.pdf" TargetMode="External"/><Relationship Id="rId23" Type="http://schemas.openxmlformats.org/officeDocument/2006/relationships/hyperlink" Target="https://www.ocf.berkeley.edu/~pereztruglia/assets/political_and_charitable_giving.pdf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5.jpeg"/><Relationship Id="rId49" Type="http://schemas.openxmlformats.org/officeDocument/2006/relationships/hyperlink" Target="https://www.ocf.berkeley.edu/~pereztruglia/assets/inflation_expectations.pdf" TargetMode="External"/><Relationship Id="rId57" Type="http://schemas.openxmlformats.org/officeDocument/2006/relationships/hyperlink" Target="https://www.ocf.berkeley.edu/~pereztruglia/assets/conv_upset_questionnair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2839</Words>
  <Characters>16188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8</cp:revision>
  <dcterms:created xsi:type="dcterms:W3CDTF">2021-01-05T21:36:00Z</dcterms:created>
  <dcterms:modified xsi:type="dcterms:W3CDTF">2021-01-07T04:47:00Z</dcterms:modified>
</cp:coreProperties>
</file>