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Universidad de Alicante</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Politécnica Superior</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______________________________________________________________________</w:t>
      </w:r>
    </w:p>
    <w:p w:rsidR="00000000" w:rsidDel="00000000" w:rsidP="00000000" w:rsidRDefault="00000000" w:rsidRPr="00000000" w14:paraId="00000008">
      <w:pPr>
        <w:spacing w:after="0" w:line="276"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Práctica 10: Informe de revisión de la accesibilidad web</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______________________________________________________________________</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Iván Galiano Soro y Paula Artés Rodríguez</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Curso: 2025-2026</w:t>
      </w:r>
    </w:p>
    <w:p w:rsidR="00000000" w:rsidDel="00000000" w:rsidP="00000000" w:rsidRDefault="00000000" w:rsidRPr="00000000" w14:paraId="0000000E">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6 herramientas elegidas para analizar algunas página de la web son:</w:t>
      </w:r>
    </w:p>
    <w:p w:rsidR="00000000" w:rsidDel="00000000" w:rsidP="00000000" w:rsidRDefault="00000000" w:rsidRPr="00000000" w14:paraId="00000011">
      <w:pPr>
        <w:widowControl w:val="0"/>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 — https://wave.webaim.org/</w:t>
      </w:r>
    </w:p>
    <w:p w:rsidR="00000000" w:rsidDel="00000000" w:rsidP="00000000" w:rsidRDefault="00000000" w:rsidRPr="00000000" w14:paraId="00000012">
      <w:pPr>
        <w:widowControl w:val="0"/>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 Insights (de Microsoft) — https://accessibilityinsights.io/?utm_source=chatgpt.com</w:t>
      </w:r>
    </w:p>
    <w:p w:rsidR="00000000" w:rsidDel="00000000" w:rsidP="00000000" w:rsidRDefault="00000000" w:rsidRPr="00000000" w14:paraId="00000013">
      <w:pPr>
        <w:widowControl w:val="0"/>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ANDI — https://www.ssa.gov/accessibility/andi/help/install.html</w:t>
      </w:r>
    </w:p>
    <w:p w:rsidR="00000000" w:rsidDel="00000000" w:rsidP="00000000" w:rsidRDefault="00000000" w:rsidRPr="00000000" w14:paraId="00000014">
      <w:pPr>
        <w:widowControl w:val="0"/>
        <w:numPr>
          <w:ilvl w:val="0"/>
          <w:numId w:val="5"/>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Siteimprove Accessibility Checker — https://chrome.google.com/webstore/detail/siteimprove-accessibility/</w:t>
      </w:r>
    </w:p>
    <w:p w:rsidR="00000000" w:rsidDel="00000000" w:rsidP="00000000" w:rsidRDefault="00000000" w:rsidRPr="00000000" w14:paraId="00000015">
      <w:pPr>
        <w:widowControl w:val="0"/>
        <w:numPr>
          <w:ilvl w:val="0"/>
          <w:numId w:val="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SortSite — https://www.powermapper.com/products/sortsite/</w:t>
      </w:r>
    </w:p>
    <w:p w:rsidR="00000000" w:rsidDel="00000000" w:rsidP="00000000" w:rsidRDefault="00000000" w:rsidRPr="00000000" w14:paraId="00000016">
      <w:pPr>
        <w:keepNext w:val="0"/>
        <w:keepLines w:val="0"/>
        <w:widowControl w:val="0"/>
        <w:numPr>
          <w:ilvl w:val="0"/>
          <w:numId w:val="5"/>
        </w:numPr>
        <w:spacing w:after="12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 (Test de Accesibilidad Web) – </w:t>
      </w:r>
      <w:hyperlink r:id="rId7">
        <w:r w:rsidDel="00000000" w:rsidR="00000000" w:rsidRPr="00000000">
          <w:rPr>
            <w:rFonts w:ascii="Times New Roman" w:cs="Times New Roman" w:eastAsia="Times New Roman" w:hAnsi="Times New Roman"/>
            <w:b w:val="1"/>
            <w:bCs w:val="1"/>
            <w:color w:val="1155cc"/>
            <w:u w:val="single"/>
            <w:rtl w:val="0"/>
          </w:rPr>
          <w:t xml:space="preserve">https://www.tawdis.net/</w:t>
        </w:r>
      </w:hyperlink>
      <w:r w:rsidDel="00000000" w:rsidR="00000000" w:rsidRPr="00000000">
        <w:rPr>
          <w:rtl w:val="0"/>
        </w:rPr>
      </w:r>
    </w:p>
    <w:p w:rsidR="00000000" w:rsidDel="00000000" w:rsidP="00000000" w:rsidRDefault="00000000" w:rsidRPr="00000000" w14:paraId="00000017">
      <w:pPr>
        <w:widowControl w:val="0"/>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dos herramientas elegidas para analizar todas las páginas son:</w:t>
      </w:r>
    </w:p>
    <w:p w:rsidR="00000000" w:rsidDel="00000000" w:rsidP="00000000" w:rsidRDefault="00000000" w:rsidRPr="00000000" w14:paraId="00000019">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numPr>
          <w:ilvl w:val="0"/>
          <w:numId w:val="2"/>
        </w:numPr>
        <w:spacing w:after="0" w:line="276"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1B">
      <w:pPr>
        <w:widowControl w:val="0"/>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widowControl w:val="0"/>
        <w:numPr>
          <w:ilvl w:val="0"/>
          <w:numId w:val="3"/>
        </w:numPr>
        <w:spacing w:after="0" w:before="0" w:line="276" w:lineRule="auto"/>
        <w:ind w:hanging="360"/>
        <w:rPr>
          <w:rFonts w:ascii="Times New Roman" w:cs="Times New Roman" w:eastAsia="Times New Roman" w:hAnsi="Times New Roman"/>
          <w:b w:val="1"/>
          <w:bCs w:val="1"/>
          <w:color w:val="000000"/>
          <w:sz w:val="28"/>
          <w:szCs w:val="28"/>
        </w:rPr>
      </w:pPr>
      <w:bookmarkStart w:colFirst="0" w:colLast="0" w:name="_heading=h.kmt4oae0jce5" w:id="0"/>
      <w:bookmarkEnd w:id="0"/>
      <w:r w:rsidDel="00000000" w:rsidR="00000000" w:rsidRPr="00000000">
        <w:rPr>
          <w:rFonts w:ascii="Times New Roman" w:cs="Times New Roman" w:eastAsia="Times New Roman" w:hAnsi="Times New Roman"/>
          <w:b w:val="1"/>
          <w:bCs w:val="1"/>
          <w:color w:val="000000"/>
          <w:sz w:val="28"/>
          <w:szCs w:val="28"/>
          <w:rtl w:val="0"/>
        </w:rPr>
        <w:t xml:space="preserve">WAVE</w:t>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WAVE (Web Accessibility Evaluation Tool) es una herramienta gratuita de evaluación automática de accesibilidad desarrollada por el WebAIM (Web Accessibility in Mind). Su función es analizar una página web e identificar problemas relacionados con las WCAG 2.x, especialmente los niveles A y AA.</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diferencia de otras herramientas que solo generan listas, WAVE superpone iconos y anotaciones directamente sobre la página analizada, lo que permite ver cada error en su contexto visual real.</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errores:</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1858328" cy="2858188"/>
            <wp:effectExtent b="0" l="0" r="0" t="0"/>
            <wp:docPr id="15996444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58328" cy="28581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errores tratan de la falta de contraste del texto de los links. Por ello se tiene que corregir el archivo Default.css y cambiar el color de los links.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corregir los errores:</w:t>
      </w:r>
    </w:p>
    <w:p w:rsidR="00000000" w:rsidDel="00000000" w:rsidP="00000000" w:rsidRDefault="00000000" w:rsidRPr="00000000" w14:paraId="00000027">
      <w:pPr>
        <w:jc w:val="center"/>
        <w:rPr/>
      </w:pPr>
      <w:r w:rsidDel="00000000" w:rsidR="00000000" w:rsidRPr="00000000">
        <w:rPr/>
        <w:drawing>
          <wp:inline distB="114300" distT="114300" distL="114300" distR="114300">
            <wp:extent cx="3158826" cy="2532282"/>
            <wp:effectExtent b="0" l="0" r="0" t="0"/>
            <wp:docPr id="159964442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158826" cy="253228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widowControl w:val="0"/>
        <w:numPr>
          <w:ilvl w:val="0"/>
          <w:numId w:val="3"/>
        </w:numPr>
        <w:spacing w:after="0" w:before="0" w:line="276" w:lineRule="auto"/>
        <w:ind w:left="0" w:hanging="360"/>
        <w:rPr>
          <w:rFonts w:ascii="Times New Roman" w:cs="Times New Roman" w:eastAsia="Times New Roman" w:hAnsi="Times New Roman"/>
          <w:b w:val="1"/>
          <w:bCs w:val="1"/>
          <w:color w:val="000000"/>
          <w:sz w:val="28"/>
          <w:szCs w:val="28"/>
        </w:rPr>
      </w:pPr>
      <w:bookmarkStart w:colFirst="0" w:colLast="0" w:name="_heading=h.s6q20fwlas3x" w:id="1"/>
      <w:bookmarkEnd w:id="1"/>
      <w:r w:rsidDel="00000000" w:rsidR="00000000" w:rsidRPr="00000000">
        <w:rPr>
          <w:rFonts w:ascii="Times New Roman" w:cs="Times New Roman" w:eastAsia="Times New Roman" w:hAnsi="Times New Roman"/>
          <w:b w:val="1"/>
          <w:bCs w:val="1"/>
          <w:color w:val="000000"/>
          <w:sz w:val="28"/>
          <w:szCs w:val="28"/>
          <w:rtl w:val="0"/>
        </w:rPr>
        <w:t xml:space="preserve">Accessibility Insights</w:t>
      </w:r>
    </w:p>
    <w:p w:rsidR="00000000" w:rsidDel="00000000" w:rsidP="00000000" w:rsidRDefault="00000000" w:rsidRPr="00000000" w14:paraId="0000002A">
      <w:pPr>
        <w:spacing w:after="0" w:before="0" w:line="276" w:lineRule="auto"/>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herramienta muy completa y gratuita para comprobar la accesibilidad de páginas web y aplicaciones web.</w:t>
      </w:r>
      <w:hyperlink r:id="rId10">
        <w:r w:rsidDel="00000000" w:rsidR="00000000" w:rsidRPr="00000000">
          <w:rPr>
            <w:rFonts w:ascii="Times New Roman" w:cs="Times New Roman" w:eastAsia="Times New Roman" w:hAnsi="Times New Roman"/>
            <w:color w:val="1155cc"/>
            <w:u w:val="single"/>
            <w:rtl w:val="0"/>
          </w:rPr>
          <w:t xml:space="preserve"> </w:t>
        </w:r>
      </w:hyperlink>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 como una extensión para Chrome y Edge y también tiene versión para aplicaciones Windows.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Tiene dos modos principales:</w:t>
      </w:r>
    </w:p>
    <w:p w:rsidR="00000000" w:rsidDel="00000000" w:rsidP="00000000" w:rsidRDefault="00000000" w:rsidRPr="00000000" w14:paraId="0000002E">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FastPass: una prueba rápida para encontrar los errores más comunes y de alto impacto.</w:t>
      </w:r>
    </w:p>
    <w:p w:rsidR="00000000" w:rsidDel="00000000" w:rsidP="00000000" w:rsidRDefault="00000000" w:rsidRPr="00000000" w14:paraId="0000002F">
      <w:pPr>
        <w:numPr>
          <w:ilvl w:val="0"/>
          <w:numId w:val="4"/>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 para hacer una evaluación más profunda siguiendo las directrices WCAG 2.1 AA, con test automáticos y guiados manualmente, te ayuda a revisar paso a paso distintos criterios.</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Ofrece visualizaciones para entender mejor los problemas (por ejemplo, qué elementos no tienen nombre accesible, contraste, errores de teclado, etc.).</w:t>
      </w:r>
      <w:hyperlink r:id="rId11">
        <w:r w:rsidDel="00000000" w:rsidR="00000000" w:rsidRPr="00000000">
          <w:rPr>
            <w:rFonts w:ascii="Times New Roman" w:cs="Times New Roman" w:eastAsia="Times New Roman" w:hAnsi="Times New Roman"/>
            <w:color w:val="1155cc"/>
            <w:u w:val="single"/>
            <w:rtl w:val="0"/>
          </w:rPr>
          <w:t xml:space="preserve"> </w:t>
        </w:r>
      </w:hyperlink>
      <w:r w:rsidDel="00000000" w:rsidR="00000000" w:rsidRPr="00000000">
        <w:rPr>
          <w:rtl w:val="0"/>
        </w:rPr>
      </w:r>
    </w:p>
    <w:p w:rsidR="00000000" w:rsidDel="00000000" w:rsidP="00000000" w:rsidRDefault="00000000" w:rsidRPr="00000000" w14:paraId="00000031">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de código abierto, lo que da transparencia y permite que la comunidad contribuya.</w:t>
      </w:r>
    </w:p>
    <w:p w:rsidR="00000000" w:rsidDel="00000000" w:rsidP="00000000" w:rsidRDefault="00000000" w:rsidRPr="00000000" w14:paraId="00000032">
      <w:pPr>
        <w:spacing w:after="0" w:before="0" w:line="276" w:lineRule="auto"/>
        <w:rPr/>
      </w:pPr>
      <w:r w:rsidDel="00000000" w:rsidR="00000000" w:rsidRPr="00000000">
        <w:rPr>
          <w:rtl w:val="0"/>
        </w:rPr>
      </w:r>
    </w:p>
    <w:p w:rsidR="00000000" w:rsidDel="00000000" w:rsidP="00000000" w:rsidRDefault="00000000" w:rsidRPr="00000000" w14:paraId="00000033">
      <w:pPr>
        <w:spacing w:after="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errores:</w:t>
      </w:r>
      <w:r w:rsidDel="00000000" w:rsidR="00000000" w:rsidRPr="00000000">
        <w:rPr>
          <w:rtl w:val="0"/>
        </w:rPr>
      </w:r>
    </w:p>
    <w:p w:rsidR="00000000" w:rsidDel="00000000" w:rsidP="00000000" w:rsidRDefault="00000000" w:rsidRPr="00000000" w14:paraId="00000034">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3492500"/>
            <wp:effectExtent b="0" l="0" r="0" t="0"/>
            <wp:docPr id="1599644423"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39973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error trata de dar suficiente </w:t>
      </w:r>
      <w:r w:rsidDel="00000000" w:rsidR="00000000" w:rsidRPr="00000000">
        <w:rPr>
          <w:rFonts w:ascii="Times New Roman" w:cs="Times New Roman" w:eastAsia="Times New Roman" w:hAnsi="Times New Roman"/>
          <w:b w:val="1"/>
          <w:bCs w:val="1"/>
          <w:rtl w:val="0"/>
        </w:rPr>
        <w:t xml:space="preserve">contraste</w:t>
      </w:r>
      <w:r w:rsidDel="00000000" w:rsidR="00000000" w:rsidRPr="00000000">
        <w:rPr>
          <w:rFonts w:ascii="Times New Roman" w:cs="Times New Roman" w:eastAsia="Times New Roman" w:hAnsi="Times New Roman"/>
          <w:rtl w:val="0"/>
        </w:rPr>
        <w:t xml:space="preserve"> entre enlace y texto. Simplemente habría que cambiar el archivo EstructuraPrincipal.css, manteniendo</w:t>
      </w:r>
      <w:r w:rsidDel="00000000" w:rsidR="00000000" w:rsidRPr="00000000">
        <w:rPr>
          <w:rFonts w:ascii="Times New Roman" w:cs="Times New Roman" w:eastAsia="Times New Roman" w:hAnsi="Times New Roman"/>
          <w:rtl w:val="0"/>
        </w:rPr>
        <w:t xml:space="preserve"> el color, pero dejando el subrayado por defecto.</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Después de las correcciones: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676400"/>
            <wp:effectExtent b="0" l="0" r="0" t="0"/>
            <wp:docPr id="159964443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widowControl w:val="0"/>
        <w:numPr>
          <w:ilvl w:val="0"/>
          <w:numId w:val="3"/>
        </w:numPr>
        <w:spacing w:after="0" w:before="0" w:line="276" w:lineRule="auto"/>
        <w:ind w:left="0" w:hanging="360"/>
        <w:rPr>
          <w:rFonts w:ascii="Times New Roman" w:cs="Times New Roman" w:eastAsia="Times New Roman" w:hAnsi="Times New Roman"/>
          <w:b w:val="1"/>
          <w:bCs w:val="1"/>
          <w:color w:val="000000"/>
          <w:sz w:val="28"/>
          <w:szCs w:val="28"/>
        </w:rPr>
      </w:pPr>
      <w:bookmarkStart w:colFirst="0" w:colLast="0" w:name="_heading=h.wzkkzrmxo0z3" w:id="2"/>
      <w:bookmarkEnd w:id="2"/>
      <w:r w:rsidDel="00000000" w:rsidR="00000000" w:rsidRPr="00000000">
        <w:rPr>
          <w:rFonts w:ascii="Times New Roman" w:cs="Times New Roman" w:eastAsia="Times New Roman" w:hAnsi="Times New Roman"/>
          <w:b w:val="1"/>
          <w:bCs w:val="1"/>
          <w:color w:val="000000"/>
          <w:sz w:val="28"/>
          <w:szCs w:val="28"/>
          <w:rtl w:val="0"/>
        </w:rPr>
        <w:t xml:space="preserve">ANDI </w:t>
      </w:r>
    </w:p>
    <w:p w:rsidR="00000000" w:rsidDel="00000000" w:rsidP="00000000" w:rsidRDefault="00000000" w:rsidRPr="00000000" w14:paraId="0000003C">
      <w:pPr>
        <w:spacing w:after="0" w:before="0" w:line="276" w:lineRule="auto"/>
        <w:rPr/>
      </w:pPr>
      <w:r w:rsidDel="00000000" w:rsidR="00000000" w:rsidRPr="00000000">
        <w:rPr>
          <w:rtl w:val="0"/>
        </w:rPr>
      </w:r>
    </w:p>
    <w:p w:rsidR="00000000" w:rsidDel="00000000" w:rsidP="00000000" w:rsidRDefault="00000000" w:rsidRPr="00000000" w14:paraId="0000003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herramienta gratuita desarrollada por la Administración del Seguro Social de Estados Unidos. Funciona como un bookmarklet, por lo que no requiere instalación tradicional y puede ejecutarse sobre cualquier página con un clic. </w:t>
      </w:r>
    </w:p>
    <w:p w:rsidR="00000000" w:rsidDel="00000000" w:rsidP="00000000" w:rsidRDefault="00000000" w:rsidRPr="00000000" w14:paraId="0000003E">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interesante de ANDI es que permite ver exactamente qué nombre es accesible y qué descripción reciben los elementos desde la perspectiva de un lector de pantalla. </w:t>
      </w:r>
    </w:p>
    <w:p w:rsidR="00000000" w:rsidDel="00000000" w:rsidP="00000000" w:rsidRDefault="00000000" w:rsidRPr="00000000" w14:paraId="0000003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la convierte en una herramienta muy didáctica, ideal para comprender cómo interpretan los elementos interactivos las tecnologías de asistencia. Además, señala posibles problemas y sugiere mejoras, aunque su alcance es más pedagógico que de auditoría profunda.</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206500"/>
            <wp:effectExtent b="0" l="0" r="0" t="0"/>
            <wp:docPr id="159964443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3997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página de Bradicardia no se encontró ningún error.</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widowControl w:val="0"/>
        <w:numPr>
          <w:ilvl w:val="0"/>
          <w:numId w:val="3"/>
        </w:numPr>
        <w:spacing w:after="0" w:before="0" w:line="276" w:lineRule="auto"/>
        <w:ind w:left="0" w:hanging="360"/>
        <w:rPr>
          <w:rFonts w:ascii="Times New Roman" w:cs="Times New Roman" w:eastAsia="Times New Roman" w:hAnsi="Times New Roman"/>
          <w:b w:val="1"/>
          <w:bCs w:val="1"/>
          <w:color w:val="000000"/>
          <w:sz w:val="28"/>
          <w:szCs w:val="28"/>
        </w:rPr>
      </w:pPr>
      <w:bookmarkStart w:colFirst="0" w:colLast="0" w:name="_heading=h.wbl0kr6utjqp" w:id="3"/>
      <w:bookmarkEnd w:id="3"/>
      <w:r w:rsidDel="00000000" w:rsidR="00000000" w:rsidRPr="00000000">
        <w:rPr>
          <w:rFonts w:ascii="Times New Roman" w:cs="Times New Roman" w:eastAsia="Times New Roman" w:hAnsi="Times New Roman"/>
          <w:b w:val="1"/>
          <w:bCs w:val="1"/>
          <w:color w:val="000000"/>
          <w:sz w:val="28"/>
          <w:szCs w:val="28"/>
          <w:rtl w:val="0"/>
        </w:rPr>
        <w:t xml:space="preserve">Siteimprove Accessibility Checker</w:t>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extensión de navegador que ejecuta análisis automáticos directamente sobre la página que se esté visualizando. </w:t>
      </w:r>
    </w:p>
    <w:p w:rsidR="00000000" w:rsidDel="00000000" w:rsidP="00000000" w:rsidRDefault="00000000" w:rsidRPr="00000000" w14:paraId="00000048">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principal ventaja es la claridad con la que presenta los resultados, explicando tanto los problemas como su relación con las pautas WCAG. </w:t>
      </w:r>
    </w:p>
    <w:p w:rsidR="00000000" w:rsidDel="00000000" w:rsidP="00000000" w:rsidRDefault="00000000" w:rsidRPr="00000000" w14:paraId="0000004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incluye una herramienta de simulación visual que permite ver cómo perciben la página personas con distintos tipos de deficiencias visuales. Aunque no reemplaza una auditoría completa, es muy útil para revisiones inmediatas, especialmente durante la fase de diseño o maquetación.</w:t>
      </w:r>
    </w:p>
    <w:p w:rsidR="00000000" w:rsidDel="00000000" w:rsidP="00000000" w:rsidRDefault="00000000" w:rsidRPr="00000000" w14:paraId="0000004A">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errores:</w:t>
      </w:r>
    </w:p>
    <w:p w:rsidR="00000000" w:rsidDel="00000000" w:rsidP="00000000" w:rsidRDefault="00000000" w:rsidRPr="00000000" w14:paraId="0000004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2003" cy="2162372"/>
            <wp:effectExtent b="0" l="0" r="0" t="0"/>
            <wp:docPr id="1599644424"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592003" cy="216237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corregir dicho error es necesario cambiar en la página Buscador.html el heading h2 por el heading h1.</w:t>
      </w:r>
    </w:p>
    <w:p w:rsidR="00000000" w:rsidDel="00000000" w:rsidP="00000000" w:rsidRDefault="00000000" w:rsidRPr="00000000" w14:paraId="00000050">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cambiado ya no salen errores:</w:t>
      </w:r>
    </w:p>
    <w:p w:rsidR="00000000" w:rsidDel="00000000" w:rsidP="00000000" w:rsidRDefault="00000000" w:rsidRPr="00000000" w14:paraId="00000052">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095500"/>
            <wp:effectExtent b="0" l="0" r="0" t="0"/>
            <wp:docPr id="159964442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3997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2"/>
        <w:widowControl w:val="0"/>
        <w:numPr>
          <w:ilvl w:val="0"/>
          <w:numId w:val="3"/>
        </w:numPr>
        <w:spacing w:after="0" w:before="0" w:line="276" w:lineRule="auto"/>
        <w:ind w:left="0" w:hanging="360"/>
        <w:rPr>
          <w:rFonts w:ascii="Times New Roman" w:cs="Times New Roman" w:eastAsia="Times New Roman" w:hAnsi="Times New Roman"/>
          <w:b w:val="1"/>
          <w:bCs w:val="1"/>
          <w:color w:val="000000"/>
          <w:sz w:val="28"/>
          <w:szCs w:val="28"/>
        </w:rPr>
      </w:pPr>
      <w:bookmarkStart w:colFirst="0" w:colLast="0" w:name="_heading=h.gfwqshqi0xu5" w:id="4"/>
      <w:bookmarkEnd w:id="4"/>
      <w:r w:rsidDel="00000000" w:rsidR="00000000" w:rsidRPr="00000000">
        <w:rPr>
          <w:rFonts w:ascii="Times New Roman" w:cs="Times New Roman" w:eastAsia="Times New Roman" w:hAnsi="Times New Roman"/>
          <w:b w:val="1"/>
          <w:bCs w:val="1"/>
          <w:color w:val="000000"/>
          <w:sz w:val="28"/>
          <w:szCs w:val="28"/>
          <w:rtl w:val="0"/>
        </w:rPr>
        <w:t xml:space="preserve">SortSite </w:t>
      </w:r>
    </w:p>
    <w:p w:rsidR="00000000" w:rsidDel="00000000" w:rsidP="00000000" w:rsidRDefault="00000000" w:rsidRPr="00000000" w14:paraId="00000058">
      <w:pPr>
        <w:spacing w:after="0" w:before="0" w:line="276" w:lineRule="auto"/>
        <w:rPr/>
      </w:pPr>
      <w:r w:rsidDel="00000000" w:rsidR="00000000" w:rsidRPr="00000000">
        <w:rPr>
          <w:rtl w:val="0"/>
        </w:rPr>
      </w:r>
    </w:p>
    <w:p w:rsidR="00000000" w:rsidDel="00000000" w:rsidP="00000000" w:rsidRDefault="00000000" w:rsidRPr="00000000" w14:paraId="00000059">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herramienta pensada para evaluaciones más amplias: no solo revisa accesibilidad, sino también calidad global del sitio web, como enlaces rotos, cumplimiento de estándares, SEO y usabilidad. </w:t>
      </w:r>
    </w:p>
    <w:p w:rsidR="00000000" w:rsidDel="00000000" w:rsidP="00000000" w:rsidRDefault="00000000" w:rsidRPr="00000000" w14:paraId="0000005A">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 un rastreo completo del sitio, lo que resulta especialmente útil en proyectos grandes o en revisiones de portales con muchas páginas. </w:t>
      </w:r>
    </w:p>
    <w:p w:rsidR="00000000" w:rsidDel="00000000" w:rsidP="00000000" w:rsidRDefault="00000000" w:rsidRPr="00000000" w14:paraId="0000005B">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 informes son detallados e incluyen cientos de puntos de comprobación, por lo que suele usarse en procesos de auditoría más formales o por equipos que necesitan un estado general de la “salud” del sitio.</w:t>
      </w:r>
    </w:p>
    <w:p w:rsidR="00000000" w:rsidDel="00000000" w:rsidP="00000000" w:rsidRDefault="00000000" w:rsidRPr="00000000" w14:paraId="0000005C">
      <w:pPr>
        <w:spacing w:after="0" w:before="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encontrados:</w:t>
      </w:r>
    </w:p>
    <w:p w:rsidR="00000000" w:rsidDel="00000000" w:rsidP="00000000" w:rsidRDefault="00000000" w:rsidRPr="00000000" w14:paraId="0000005E">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5723" cy="3726656"/>
            <wp:effectExtent b="0" l="0" r="0" t="0"/>
            <wp:docPr id="1599644421"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3875723" cy="372665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0503" cy="1247987"/>
            <wp:effectExtent b="0" l="0" r="0" t="0"/>
            <wp:docPr id="159964442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020503" cy="1247987"/>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20603" cy="1394319"/>
            <wp:effectExtent b="0" l="0" r="0" t="0"/>
            <wp:docPr id="159964442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820603" cy="139431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68535" cy="1156696"/>
            <wp:effectExtent b="0" l="0" r="0" t="0"/>
            <wp:docPr id="1599644432"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968535" cy="1156696"/>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errores tratan de añadir un heading h1, corregir el contraste en los cuadros de instrucciones y  nota y en las leyendas.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ello se deben cambiar los archivos Formularios.css y ClasesUtiles.css y cambiar los colores.</w:t>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corregido todo lo comentado:</w:t>
      </w:r>
    </w:p>
    <w:p w:rsidR="00000000" w:rsidDel="00000000" w:rsidP="00000000" w:rsidRDefault="00000000" w:rsidRPr="00000000" w14:paraId="000000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324100"/>
            <wp:effectExtent b="0" l="0" r="0" t="0"/>
            <wp:docPr id="1599644417"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widowControl w:val="0"/>
        <w:numPr>
          <w:ilvl w:val="0"/>
          <w:numId w:val="3"/>
        </w:numPr>
        <w:spacing w:after="0" w:before="0" w:line="276" w:lineRule="auto"/>
        <w:ind w:left="0" w:hanging="360"/>
        <w:rPr>
          <w:rFonts w:ascii="Times New Roman" w:cs="Times New Roman" w:eastAsia="Times New Roman" w:hAnsi="Times New Roman"/>
          <w:b w:val="1"/>
          <w:bCs w:val="1"/>
          <w:color w:val="000000"/>
          <w:sz w:val="28"/>
          <w:szCs w:val="28"/>
        </w:rPr>
      </w:pPr>
      <w:bookmarkStart w:colFirst="0" w:colLast="0" w:name="_heading=h.cf9st7k7enul" w:id="5"/>
      <w:bookmarkEnd w:id="5"/>
      <w:r w:rsidDel="00000000" w:rsidR="00000000" w:rsidRPr="00000000">
        <w:rPr>
          <w:rFonts w:ascii="Times New Roman" w:cs="Times New Roman" w:eastAsia="Times New Roman" w:hAnsi="Times New Roman"/>
          <w:b w:val="1"/>
          <w:bCs w:val="1"/>
          <w:color w:val="000000"/>
          <w:sz w:val="28"/>
          <w:szCs w:val="28"/>
          <w:rtl w:val="0"/>
        </w:rPr>
        <w:t xml:space="preserve">TAW</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 es una herramienta española que analiza automáticamente el nivel de accesibilidad de una página web según las WCAG 2.1. Puedes ingresar una URL y el sistema genera un informe con:</w:t>
      </w:r>
    </w:p>
    <w:p w:rsidR="00000000" w:rsidDel="00000000" w:rsidP="00000000" w:rsidRDefault="00000000" w:rsidRPr="00000000" w14:paraId="0000006C">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por nivel (A, AA, AAA)</w:t>
        <w:br w:type="textWrapping"/>
      </w:r>
    </w:p>
    <w:p w:rsidR="00000000" w:rsidDel="00000000" w:rsidP="00000000" w:rsidRDefault="00000000" w:rsidRPr="00000000" w14:paraId="0000006D">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avisos y recomendaciones</w:t>
        <w:br w:type="textWrapping"/>
      </w:r>
    </w:p>
    <w:p w:rsidR="00000000" w:rsidDel="00000000" w:rsidP="00000000" w:rsidRDefault="00000000" w:rsidRPr="00000000" w14:paraId="0000006E">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visualización de fallos directamente sobre la página</w:t>
        <w:br w:type="textWrapping"/>
      </w:r>
    </w:p>
    <w:p w:rsidR="00000000" w:rsidDel="00000000" w:rsidP="00000000" w:rsidRDefault="00000000" w:rsidRPr="00000000" w14:paraId="0000006F">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HTML, ARIA, estructura, formularios, navegación y semántica</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una alternativa muy parecida a AccessMonitor en enfoque, pero con informes más detallados.</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de errores: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-872009</wp:posOffset>
            </wp:positionH>
            <wp:positionV relativeFrom="paragraph">
              <wp:posOffset>387765</wp:posOffset>
            </wp:positionV>
            <wp:extent cx="7143750" cy="1236708"/>
            <wp:effectExtent b="0" l="0" r="0" t="0"/>
            <wp:wrapSquare wrapText="bothSides" distB="114300" distT="114300" distL="114300" distR="114300"/>
            <wp:docPr id="1599644416" name="image6.png"/>
            <a:graphic>
              <a:graphicData uri="http://schemas.openxmlformats.org/drawingml/2006/picture">
                <pic:pic>
                  <pic:nvPicPr>
                    <pic:cNvPr id="0" name="image6.png"/>
                    <pic:cNvPicPr preferRelativeResize="0"/>
                  </pic:nvPicPr>
                  <pic:blipFill>
                    <a:blip r:embed="rId22"/>
                    <a:srcRect b="0" l="0" r="0" t="9834"/>
                    <a:stretch>
                      <a:fillRect/>
                    </a:stretch>
                  </pic:blipFill>
                  <pic:spPr>
                    <a:xfrm>
                      <a:off x="0" y="0"/>
                      <a:ext cx="7143750" cy="1236708"/>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399730" cy="381000"/>
            <wp:effectExtent b="0" l="0" r="0" t="0"/>
            <wp:docPr id="159964443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39973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error indica que faltan headers h1, y por lo tanto es necesario restaurar la estructura jerárquica.</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no tener que cambiar todos los headers ya escritos la solución ha sido añadir un header h1 llamado Enfermedad Celíaca.</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corregido esto ya no aparece ningún error:</w:t>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323850</wp:posOffset>
            </wp:positionV>
            <wp:extent cx="6680580" cy="1585743"/>
            <wp:effectExtent b="0" l="0" r="0" t="0"/>
            <wp:wrapSquare wrapText="bothSides" distB="114300" distT="114300" distL="114300" distR="114300"/>
            <wp:docPr id="15996444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6680580" cy="1585743"/>
                    </a:xfrm>
                    <a:prstGeom prst="rect"/>
                    <a:ln/>
                  </pic:spPr>
                </pic:pic>
              </a:graphicData>
            </a:graphic>
          </wp:anchor>
        </w:drawing>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sz w:val="32"/>
          <w:szCs w:val="32"/>
        </w:rPr>
      </w:pPr>
      <w:r w:rsidDel="00000000" w:rsidR="00000000" w:rsidRPr="00000000">
        <w:rPr>
          <w:rtl w:val="0"/>
        </w:rPr>
      </w:r>
    </w:p>
    <w:sectPr>
      <w:headerReference r:id="rId25" w:type="default"/>
      <w:headerReference r:id="rId26" w:type="first"/>
      <w:footerReference r:id="rId27" w:type="default"/>
      <w:footerReference r:id="rId28" w:type="first"/>
      <w:pgSz w:h="16838" w:w="11906" w:orient="portrait"/>
      <w:pgMar w:bottom="1418" w:top="1701" w:left="1701" w:right="1701" w:header="397"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ptos" w:cs="Aptos" w:eastAsia="Aptos" w:hAnsi="Aptos"/>
        <w:b w:val="0"/>
        <w:bCs w:val="0"/>
        <w:i w:val="0"/>
        <w:iCs w:val="0"/>
        <w:smallCaps w:val="1"/>
        <w:strike w:val="0"/>
        <w:color w:val="156082"/>
        <w:sz w:val="24"/>
        <w:szCs w:val="24"/>
        <w:u w:val="none"/>
        <w:shd w:fill="auto" w:val="clear"/>
        <w:vertAlign w:val="baseline"/>
      </w:rPr>
    </w:pPr>
    <w:r w:rsidDel="00000000" w:rsidR="00000000" w:rsidRPr="00000000">
      <w:rPr>
        <w:rFonts w:ascii="Aptos" w:cs="Aptos" w:eastAsia="Aptos" w:hAnsi="Aptos"/>
        <w:b w:val="0"/>
        <w:bCs w:val="0"/>
        <w:i w:val="0"/>
        <w:iCs w:val="0"/>
        <w:smallCaps w:val="1"/>
        <w:strike w:val="0"/>
        <w:color w:val="156082"/>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-3673474</wp:posOffset>
          </wp:positionV>
          <wp:extent cx="7555234" cy="4285615"/>
          <wp:effectExtent b="0" l="0" r="0" t="0"/>
          <wp:wrapNone/>
          <wp:docPr descr="Dibujo de un puente&#10;&#10;El contenido generado por IA puede ser incorrecto." id="1599644427" name="image8.png"/>
          <a:graphic>
            <a:graphicData uri="http://schemas.openxmlformats.org/drawingml/2006/picture">
              <pic:pic>
                <pic:nvPicPr>
                  <pic:cNvPr descr="Dibujo de un puente&#10;&#10;El contenido generado por IA puede ser incorrecto." id="0" name="image8.png"/>
                  <pic:cNvPicPr preferRelativeResize="0"/>
                </pic:nvPicPr>
                <pic:blipFill>
                  <a:blip r:embed="rId1"/>
                  <a:srcRect b="0" l="0" r="0" t="0"/>
                  <a:stretch>
                    <a:fillRect/>
                  </a:stretch>
                </pic:blipFill>
                <pic:spPr>
                  <a:xfrm>
                    <a:off x="0" y="0"/>
                    <a:ext cx="7555234" cy="428561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360" w:lineRule="auto"/>
      <w:ind w:left="0" w:right="0" w:firstLine="0"/>
      <w:jc w:val="righ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Grado en ingeniería biomédica</w:t>
    </w:r>
    <w:r w:rsidDel="00000000" w:rsidR="00000000" w:rsidRPr="00000000">
      <w:drawing>
        <wp:anchor allowOverlap="1" behindDoc="1" distB="0" distT="0" distL="0" distR="0" hidden="0" layoutInCell="1" locked="0" relativeHeight="0" simplePos="0">
          <wp:simplePos x="0" y="0"/>
          <wp:positionH relativeFrom="column">
            <wp:posOffset>-80009</wp:posOffset>
          </wp:positionH>
          <wp:positionV relativeFrom="paragraph">
            <wp:posOffset>5080</wp:posOffset>
          </wp:positionV>
          <wp:extent cx="1847850" cy="610807"/>
          <wp:effectExtent b="0" l="0" r="0" t="0"/>
          <wp:wrapNone/>
          <wp:docPr descr="Texto&#10;&#10;El contenido generado por IA puede ser incorrecto." id="1599644422" name="image13.png"/>
          <a:graphic>
            <a:graphicData uri="http://schemas.openxmlformats.org/drawingml/2006/picture">
              <pic:pic>
                <pic:nvPicPr>
                  <pic:cNvPr descr="Texto&#10;&#10;El contenido generado por IA puede ser incorrecto." id="0" name="image13.png"/>
                  <pic:cNvPicPr preferRelativeResize="0"/>
                </pic:nvPicPr>
                <pic:blipFill>
                  <a:blip r:embed="rId1"/>
                  <a:srcRect b="0" l="0" r="0" t="0"/>
                  <a:stretch>
                    <a:fillRect/>
                  </a:stretch>
                </pic:blipFill>
                <pic:spPr>
                  <a:xfrm>
                    <a:off x="0" y="0"/>
                    <a:ext cx="1847850" cy="610807"/>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e2841"/>
        <w:sz w:val="24"/>
        <w:szCs w:val="24"/>
        <w:u w:val="none"/>
        <w:shd w:fill="auto" w:val="clear"/>
        <w:vertAlign w:val="baseline"/>
        <w:rtl w:val="0"/>
      </w:rPr>
      <w:t xml:space="preserve">Iván Galiano Soro y Paula Artés Rodríg</w:t>
    </w:r>
    <w:r w:rsidDel="00000000" w:rsidR="00000000" w:rsidRPr="00000000">
      <w:rPr>
        <w:rFonts w:ascii="Times New Roman" w:cs="Times New Roman" w:eastAsia="Times New Roman" w:hAnsi="Times New Roman"/>
        <w:color w:val="0e2841"/>
        <w:rtl w:val="0"/>
      </w:rPr>
      <w:t xml:space="preserve">uez</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24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e2841"/>
        <w:rtl w:val="0"/>
      </w:rPr>
      <w:t xml:space="preserve">Usabilidad y Accesibilidad</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-63499</wp:posOffset>
          </wp:positionH>
          <wp:positionV relativeFrom="paragraph">
            <wp:posOffset>-76621</wp:posOffset>
          </wp:positionV>
          <wp:extent cx="2181860" cy="720725"/>
          <wp:effectExtent b="0" l="0" r="0" t="0"/>
          <wp:wrapNone/>
          <wp:docPr descr="Texto&#10;&#10;El contenido generado por IA puede ser incorrecto." id="1599644418" name="image13.png"/>
          <a:graphic>
            <a:graphicData uri="http://schemas.openxmlformats.org/drawingml/2006/picture">
              <pic:pic>
                <pic:nvPicPr>
                  <pic:cNvPr descr="Texto&#10;&#10;El contenido generado por IA puede ser incorrecto." id="0" name="image13.png"/>
                  <pic:cNvPicPr preferRelativeResize="0"/>
                </pic:nvPicPr>
                <pic:blipFill>
                  <a:blip r:embed="rId1"/>
                  <a:srcRect b="0" l="0" r="0" t="0"/>
                  <a:stretch>
                    <a:fillRect/>
                  </a:stretch>
                </pic:blipFill>
                <pic:spPr>
                  <a:xfrm>
                    <a:off x="0" y="0"/>
                    <a:ext cx="2181860" cy="7207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286285"/>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86285"/>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86285"/>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86285"/>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286285"/>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86285"/>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86285"/>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86285"/>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86285"/>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86285"/>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86285"/>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86285"/>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86285"/>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86285"/>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86285"/>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86285"/>
    <w:rPr>
      <w:i w:val="1"/>
      <w:iCs w:val="1"/>
      <w:color w:val="404040" w:themeColor="text1" w:themeTint="0000BF"/>
    </w:rPr>
  </w:style>
  <w:style w:type="paragraph" w:styleId="Prrafodelista">
    <w:name w:val="List Paragraph"/>
    <w:basedOn w:val="Normal"/>
    <w:uiPriority w:val="34"/>
    <w:qFormat w:val="1"/>
    <w:rsid w:val="00286285"/>
    <w:pPr>
      <w:ind w:left="720"/>
      <w:contextualSpacing w:val="1"/>
    </w:pPr>
  </w:style>
  <w:style w:type="character" w:styleId="nfasisintenso">
    <w:name w:val="Intense Emphasis"/>
    <w:basedOn w:val="Fuentedeprrafopredeter"/>
    <w:uiPriority w:val="21"/>
    <w:qFormat w:val="1"/>
    <w:rsid w:val="00286285"/>
    <w:rPr>
      <w:i w:val="1"/>
      <w:iCs w:val="1"/>
      <w:color w:val="0f4761" w:themeColor="accent1" w:themeShade="0000BF"/>
    </w:rPr>
  </w:style>
  <w:style w:type="paragraph" w:styleId="Citadestacada">
    <w:name w:val="Intense Quote"/>
    <w:basedOn w:val="Normal"/>
    <w:next w:val="Normal"/>
    <w:link w:val="CitadestacadaCar"/>
    <w:uiPriority w:val="30"/>
    <w:qFormat w:val="1"/>
    <w:rsid w:val="0028628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86285"/>
    <w:rPr>
      <w:i w:val="1"/>
      <w:iCs w:val="1"/>
      <w:color w:val="0f4761" w:themeColor="accent1" w:themeShade="0000BF"/>
    </w:rPr>
  </w:style>
  <w:style w:type="character" w:styleId="Referenciaintensa">
    <w:name w:val="Intense Reference"/>
    <w:basedOn w:val="Fuentedeprrafopredeter"/>
    <w:uiPriority w:val="32"/>
    <w:qFormat w:val="1"/>
    <w:rsid w:val="00286285"/>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EA023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A023D"/>
  </w:style>
  <w:style w:type="paragraph" w:styleId="Piedepgina">
    <w:name w:val="footer"/>
    <w:basedOn w:val="Normal"/>
    <w:link w:val="PiedepginaCar"/>
    <w:uiPriority w:val="99"/>
    <w:unhideWhenUsed w:val="1"/>
    <w:rsid w:val="00EA023D"/>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A023D"/>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6.png"/><Relationship Id="rId21" Type="http://schemas.openxmlformats.org/officeDocument/2006/relationships/image" Target="media/image4.png"/><Relationship Id="rId24" Type="http://schemas.openxmlformats.org/officeDocument/2006/relationships/image" Target="media/image11.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eader" Target="header2.xml"/><Relationship Id="rId25" Type="http://schemas.openxmlformats.org/officeDocument/2006/relationships/header" Target="header1.xml"/><Relationship Id="rId28" Type="http://schemas.openxmlformats.org/officeDocument/2006/relationships/footer" Target="foot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awdis.net/" TargetMode="External"/><Relationship Id="rId8" Type="http://schemas.openxmlformats.org/officeDocument/2006/relationships/image" Target="media/image2.png"/><Relationship Id="rId11" Type="http://schemas.openxmlformats.org/officeDocument/2006/relationships/hyperlink" Target="https://accessibilityinsights.io/?utm_source=chatgpt.com" TargetMode="External"/><Relationship Id="rId10" Type="http://schemas.openxmlformats.org/officeDocument/2006/relationships/hyperlink" Target="https://accessibilityinsights.io/?utm_source=chatgpt.com" TargetMode="External"/><Relationship Id="rId13" Type="http://schemas.openxmlformats.org/officeDocument/2006/relationships/image" Target="media/image1.png"/><Relationship Id="rId12"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7.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8qKpnp3NzvlA17UHyUXC0ZQ/8Q==">CgMxLjAyDmgua210NG9hZTBqY2U1Mg5oLnM2cTIwZndsYXMzeDIOaC53emtrenJteG8wejMyDmgud2JsMGtyNnV0anFwMg5oLmdmd3FzaHFpMHh1NTIOaC5jZjlzdDdrN2VudWw4AHIhMXNZaXB4QllGUHVENExHNXM0U0Y3LXBYTDZDN3FvWE1x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2025-09-17T20:03:00Z</dcterms:created>
  <dc:creator>Iván Galiano Soro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0x010100E6C2DDF750116E43B8432EF8655923E3</vt:lpwstr>
  </property>
</Properties>
</file>