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numPr>
          <w:ilvl w:val="0"/>
          <w:numId w:val="2"/>
        </w:numPr>
        <w:bidi w:val="0"/>
        <w:spacing w:before="240" w:after="120"/>
        <w:jc w:val="left"/>
        <w:rPr>
          <w:rFonts w:ascii="Calibri" w:hAnsi="Calibri"/>
        </w:rPr>
      </w:pPr>
      <w:r>
        <w:rPr>
          <w:rFonts w:ascii="Calibri" w:hAnsi="Calibri"/>
        </w:rPr>
        <w:t>SKOR2 report</w:t>
      </w:r>
    </w:p>
    <w:p>
      <w:pPr>
        <w:pStyle w:val="Normal"/>
        <w:bidi w:val="0"/>
        <w:jc w:val="left"/>
        <w:rPr>
          <w:rFonts w:ascii="Calibri" w:hAnsi="Calibri"/>
        </w:rPr>
      </w:pPr>
      <w:r>
        <w:rPr>
          <w:rFonts w:ascii="Calibri" w:hAnsi="Calibri"/>
        </w:rPr>
        <w:t xml:space="preserve">Jurja Bratko and Ivana Mihalek,   Aug </w:t>
      </w:r>
      <w:r>
        <w:rPr>
          <w:rFonts w:ascii="Calibri" w:hAnsi="Calibri"/>
        </w:rPr>
        <w:t>27</w:t>
      </w:r>
      <w:r>
        <w:rPr>
          <w:rFonts w:ascii="Calibri" w:hAnsi="Calibri"/>
        </w:rPr>
        <w:t>, 2020</w:t>
      </w:r>
    </w:p>
    <w:p>
      <w:pPr>
        <w:pStyle w:val="Normal"/>
        <w:bidi w:val="0"/>
        <w:jc w:val="left"/>
        <w:rPr>
          <w:rFonts w:ascii="Calibri" w:hAnsi="Calibri"/>
        </w:rPr>
      </w:pPr>
      <w:r>
        <w:rPr>
          <w:rFonts w:ascii="Calibri" w:hAnsi="Calibri"/>
        </w:rPr>
      </w:r>
    </w:p>
    <w:p>
      <w:pPr>
        <w:pStyle w:val="Normal"/>
        <w:bidi w:val="0"/>
        <w:jc w:val="left"/>
        <w:rPr>
          <w:rFonts w:ascii="Calibri" w:hAnsi="Calibri"/>
          <w:sz w:val="22"/>
          <w:szCs w:val="22"/>
        </w:rPr>
      </w:pPr>
      <w:r>
        <w:rPr>
          <w:rFonts w:ascii="Calibri" w:hAnsi="Calibri"/>
          <w:sz w:val="22"/>
          <w:szCs w:val="22"/>
        </w:rPr>
        <w:t xml:space="preserve">SKOR2 gene (in the older literature sometimes also referred as CORL2 or Fussel-18), </w:t>
      </w:r>
      <w:r>
        <w:rPr>
          <w:rFonts w:ascii="Calibri" w:hAnsi="Calibri"/>
          <w:sz w:val="22"/>
          <w:szCs w:val="22"/>
        </w:rPr>
        <w:t xml:space="preserve">encoded on the chromosome 18, </w:t>
      </w:r>
      <w:r>
        <w:rPr>
          <w:rFonts w:ascii="Calibri" w:hAnsi="Calibri"/>
          <w:sz w:val="22"/>
          <w:szCs w:val="22"/>
        </w:rPr>
        <w:t xml:space="preserve">has been shown to express during both embryogenesis and adult life in the </w:t>
      </w:r>
      <w:r>
        <w:rPr>
          <w:rFonts w:cs="Times New Roman" w:ascii="Calibri" w:hAnsi="Calibri"/>
          <w:sz w:val="22"/>
          <w:szCs w:val="22"/>
          <w:lang w:val="en-GB"/>
        </w:rPr>
        <w:t xml:space="preserve">cerebellum, the spinal cord, dorsal root ganglia and at very low levels in the testes [1]. More narrowly,  the research in mice  has shown that SKOR2 expresses in Purkinje cells where it physically interacts with </w:t>
      </w:r>
      <w:r>
        <w:rPr>
          <w:rFonts w:eastAsia="Noto Serif CJK SC" w:cs="Times New Roman" w:ascii="Calibri" w:hAnsi="Calibri"/>
          <w:color w:val="auto"/>
          <w:kern w:val="2"/>
          <w:sz w:val="22"/>
          <w:szCs w:val="22"/>
          <w:lang w:val="en-GB" w:eastAsia="zh-CN" w:bidi="hi-IN"/>
        </w:rPr>
        <w:t>SMAD</w:t>
      </w:r>
      <w:r>
        <w:rPr>
          <w:rFonts w:cs="Times New Roman" w:ascii="Calibri" w:hAnsi="Calibri"/>
          <w:sz w:val="22"/>
          <w:szCs w:val="22"/>
          <w:lang w:val="en-GB"/>
        </w:rPr>
        <w:t xml:space="preserve"> proteins to act as a transcriptional up-regulator of SHH (sonic hedgehog gene). SHH signalling between Purkinje and granule cells is essential for the correct development of  cerebellum [2],  the central  </w:t>
      </w:r>
      <w:r>
        <w:rPr>
          <w:rFonts w:ascii="Calibri" w:hAnsi="Calibri"/>
          <w:sz w:val="22"/>
          <w:szCs w:val="22"/>
        </w:rPr>
        <w:t xml:space="preserve">motor coordination unit in the hindbrain of all vertebrates. It has been known since the early days of  neurophysiology research [3] that lesions in cerebellum lead to disorders in movement, equilibrium. posture and motor learning. Consistently,  a recent publication [4] implicated a homozygous null variant of SKOR2 in </w:t>
      </w:r>
      <w:r>
        <w:rPr>
          <w:rFonts w:cs="Times New Roman" w:ascii="Times New Roman" w:hAnsi="Times New Roman"/>
          <w:sz w:val="22"/>
          <w:szCs w:val="22"/>
          <w:lang w:val="en-GB"/>
        </w:rPr>
        <w:t xml:space="preserve"> cerebellar ataxia with cerebellar underdevelopment.</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sz w:val="22"/>
          <w:szCs w:val="22"/>
        </w:rPr>
        <w:t>SKOR2 has only five notable paralogs – homologous relatives in human genome – SKOR1, SKI, SKIL and DACH1 and DACH2, though none of them is too closely related to SKOR2, and the homology is deduced through the similarity in several domains they share. All  SKOR2 paralogs  share something termed Dachshund domain, after the domain first described in the eponymous protein. In addition to Dachshund domain, SKOR and SKI families share the SMAD-interacting domain (Fig 1). The sequence similarity [5,6] in these regions across distant paralogs, as well as strong conservation across SKOR2 in all vertebrates,  bespeaks the ordered protein regions, which indeed have been confirmed by crystallography [7,8].  The intervening peptide sequences probably function as disordered linkers [9], providing the re-organizational flexibility for the complexes that SKOR2 engages in,  and tolerating more variation in the amino acid content and the peptide length.</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Among the patients in our series, the Patient 1 is the easiest to explain: the frameshift mutation in both alleles leads to the loss of functional transcript through the nonsense mediated decay mechanism [10], and the protein product is never present in the cells. This cuts off the signaling pathway(s) needed for the proper development of  cerebellum, and leads to the observed phenotype.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Similarly, in  the Patients 3 and 4,  the protein product is lost, but through a different mechanism.  There, both alleles carry a substitution in the first position in one of the donor splice regions,  the guanine crucial for the two-step biochemistry of the  splicing process [11,12,13].  Thus the  process never results in a translatable mature mRNA – with an exon skipped or  included,  the product most likely  results (again)  in an early stop codon. The systems-level impact is the same as in the case of the Patient 1: no protein product from either copy of the SKOR2 gene.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The Patient 2 is the most interesting case, though from what we know about the gene, further genotyping might  be needed to explain the phenotype: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Only one mutation is reported in Patient 2, though from the genotypes of the healthy people collected in gnomAD v2.1.1 database [14], we know that  people with loss of one copy of the gene (through frameshift or missense mutation) can reach adulthood without any neurological symptoms. 15 such cases have been reported in gnomAD, indicating strongly that SKOR2 exerts its effect in a  recessive way.</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Furthermore, the one reported  variant is an in-frame deletion in the coding sequence of the gene, resulting in deletion of 4 amino acids in what appears to be a disordered linker between functional, structurally ordered, domains in the SKOR2 protein (Fig 1). This region is not strongly conserved, not even among mammals (Fig 2),  suggesting that it is not critical for the protein function. The protein thus may express, fold,  and even function to a certain degree. Of course,  ultimately such claim would need to be validated experimentally.</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Coupled  with the fact that no molecular lesion has been reported in the other gene we would like to draw attention to the possibility that the Patient2 has been misdiagnosed. </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sz w:val="22"/>
          <w:szCs w:val="22"/>
        </w:rPr>
        <w:t>We would like to note here that the SKOR2 gene and its products are still a relative unknowns.  Perhaps a damaged but expressed mutant as we see in the Patient 2 engages in nonproductive (homo)dimerization, or otherwise competes non-productively for the same resources as its healthy counterpart from the other copy of the chromosome, and thus exerts its pathological effect. We might have to revisit that possibility in the future after a better molecular characterization of SKOR2 becomes available.</w:t>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w:t>
      </w:r>
    </w:p>
    <w:p>
      <w:pPr>
        <w:pStyle w:val="Normal"/>
        <w:bidi w:val="0"/>
        <w:jc w:val="left"/>
        <w:rPr>
          <w:rFonts w:ascii="Calibri" w:hAnsi="Calibri"/>
          <w:sz w:val="22"/>
          <w:szCs w:val="22"/>
        </w:rPr>
      </w:pPr>
      <w:r>
        <w:rPr>
          <w:rFonts w:ascii="Calibri" w:hAnsi="Calibri"/>
          <w:sz w:val="22"/>
          <w:szCs w:val="22"/>
        </w:rPr>
      </w:r>
    </w:p>
    <w:p>
      <w:pPr>
        <w:pStyle w:val="Normal"/>
        <w:bidi w:val="0"/>
        <w:jc w:val="left"/>
        <w:rPr>
          <w:rFonts w:ascii="Calibri" w:hAnsi="Calibri"/>
          <w:sz w:val="22"/>
          <w:szCs w:val="22"/>
        </w:rPr>
      </w:pPr>
      <w:r>
        <w:rPr>
          <w:rFonts w:ascii="Calibri" w:hAnsi="Calibri"/>
          <w:sz w:val="22"/>
          <w:szCs w:val="22"/>
        </w:rPr>
      </w:r>
    </w:p>
    <w:p>
      <w:pPr>
        <w:pStyle w:val="Normal"/>
        <w:bidi w:val="0"/>
        <w:jc w:val="left"/>
        <w:rPr/>
      </w:pPr>
      <w:r>
        <w:rPr>
          <w:rFonts w:ascii="Calibri" w:hAnsi="Calibri"/>
          <w:sz w:val="22"/>
          <w:szCs w:val="22"/>
        </w:rPr>
        <w:t xml:space="preserve">[1] </w:t>
      </w:r>
      <w:r>
        <w:rPr>
          <w:rFonts w:cs="Times New Roman" w:ascii="Times New Roman" w:hAnsi="Times New Roman"/>
          <w:sz w:val="24"/>
          <w:szCs w:val="24"/>
          <w:lang w:val="de-DE"/>
        </w:rPr>
        <w:t xml:space="preserve">Arndt S, Poser I, Schubert T, Moser M, Bosserhoff AK. </w:t>
      </w:r>
      <w:r>
        <w:rPr>
          <w:rFonts w:cs="Times New Roman" w:ascii="Times New Roman" w:hAnsi="Times New Roman"/>
          <w:sz w:val="24"/>
          <w:szCs w:val="24"/>
          <w:lang w:val="en-GB"/>
        </w:rPr>
        <w:t>Cloning and functional characterization of a new Ski homolog, Fussel-18, specifically expressed in neuronal tissues. Laboratory Investigation. 2005; 85:1330–1341.</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 xml:space="preserve">[2] </w:t>
      </w:r>
      <w:hyperlink r:id="rId2">
        <w:r>
          <w:rPr>
            <w:rFonts w:cs="Times New Roman" w:ascii="Times New Roman" w:hAnsi="Times New Roman"/>
            <w:sz w:val="24"/>
            <w:szCs w:val="24"/>
            <w:lang w:val="en-GB" w:eastAsia="hr-HR"/>
          </w:rPr>
          <w:t>Wang</w:t>
        </w:r>
      </w:hyperlink>
      <w:r>
        <w:rPr>
          <w:rFonts w:cs="Times New Roman" w:ascii="Times New Roman" w:hAnsi="Times New Roman"/>
          <w:sz w:val="24"/>
          <w:szCs w:val="24"/>
          <w:lang w:val="en-GB" w:eastAsia="hr-HR"/>
        </w:rPr>
        <w:t xml:space="preserve"> B, </w:t>
      </w:r>
      <w:hyperlink r:id="rId3">
        <w:r>
          <w:rPr>
            <w:rFonts w:cs="Times New Roman" w:ascii="Times New Roman" w:hAnsi="Times New Roman"/>
            <w:sz w:val="24"/>
            <w:szCs w:val="24"/>
            <w:lang w:val="en-GB" w:eastAsia="hr-HR"/>
          </w:rPr>
          <w:t>Harrison</w:t>
        </w:r>
      </w:hyperlink>
      <w:r>
        <w:rPr>
          <w:rFonts w:cs="Times New Roman" w:ascii="Times New Roman" w:hAnsi="Times New Roman"/>
          <w:sz w:val="24"/>
          <w:szCs w:val="24"/>
          <w:lang w:val="en-GB" w:eastAsia="hr-HR"/>
        </w:rPr>
        <w:t xml:space="preserve"> W, </w:t>
      </w:r>
      <w:hyperlink r:id="rId4">
        <w:r>
          <w:rPr>
            <w:rFonts w:cs="Times New Roman" w:ascii="Times New Roman" w:hAnsi="Times New Roman"/>
            <w:sz w:val="24"/>
            <w:szCs w:val="24"/>
            <w:lang w:val="en-GB" w:eastAsia="hr-HR"/>
          </w:rPr>
          <w:t>Overbeek</w:t>
        </w:r>
      </w:hyperlink>
      <w:r>
        <w:rPr>
          <w:rFonts w:cs="Times New Roman" w:ascii="Times New Roman" w:hAnsi="Times New Roman"/>
          <w:sz w:val="24"/>
          <w:szCs w:val="24"/>
          <w:lang w:val="en-GB" w:eastAsia="hr-HR"/>
        </w:rPr>
        <w:t xml:space="preserve"> PA,</w:t>
      </w:r>
      <w:hyperlink r:id="rId5">
        <w:r>
          <w:rPr>
            <w:rFonts w:cs="Times New Roman" w:ascii="Times New Roman" w:hAnsi="Times New Roman"/>
            <w:sz w:val="24"/>
            <w:szCs w:val="24"/>
            <w:lang w:val="en-GB" w:eastAsia="hr-HR"/>
          </w:rPr>
          <w:t xml:space="preserve"> Zheng</w:t>
        </w:r>
      </w:hyperlink>
      <w:r>
        <w:rPr>
          <w:rFonts w:cs="Times New Roman" w:ascii="Times New Roman" w:hAnsi="Times New Roman"/>
          <w:sz w:val="24"/>
          <w:szCs w:val="24"/>
          <w:lang w:val="en-GB" w:eastAsia="hr-HR"/>
        </w:rPr>
        <w:t xml:space="preserve"> H. </w:t>
      </w:r>
      <w:r>
        <w:rPr>
          <w:rFonts w:cs="Times New Roman" w:ascii="Times New Roman" w:hAnsi="Times New Roman"/>
          <w:bCs/>
          <w:kern w:val="2"/>
          <w:sz w:val="24"/>
          <w:szCs w:val="24"/>
          <w:lang w:val="en-GB" w:eastAsia="hr-HR"/>
        </w:rPr>
        <w:t xml:space="preserve">Transposon mutagenesis with coat color genotyping identifies an essential role for Skor2 in sonic hedgehog signaling and cerebellum development. </w:t>
      </w:r>
      <w:hyperlink r:id="rId6">
        <w:r>
          <w:rPr>
            <w:rFonts w:cs="Times New Roman" w:ascii="Times New Roman" w:hAnsi="Times New Roman"/>
            <w:sz w:val="24"/>
            <w:szCs w:val="24"/>
            <w:lang w:val="en-GB" w:eastAsia="hr-HR"/>
          </w:rPr>
          <w:t>Development</w:t>
        </w:r>
      </w:hyperlink>
      <w:r>
        <w:rPr>
          <w:rFonts w:cs="Times New Roman" w:ascii="Times New Roman" w:hAnsi="Times New Roman"/>
          <w:sz w:val="24"/>
          <w:szCs w:val="24"/>
          <w:lang w:val="en-GB" w:eastAsia="hr-HR"/>
        </w:rPr>
        <w:t xml:space="preserve">. 2011 Oct; 138(20):4487–4497. </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bCs/>
          <w:kern w:val="2"/>
          <w:sz w:val="24"/>
          <w:szCs w:val="24"/>
          <w:lang w:val="en-GB" w:eastAsia="hr-HR"/>
        </w:rPr>
        <w:t xml:space="preserve">[3] </w:t>
      </w:r>
      <w:r>
        <w:rPr/>
        <w:t xml:space="preserve">Fine, Edward J., Catalina C. Ionita, and Linda Lohr. "The history of the development of the cerebellar examination." </w:t>
      </w:r>
      <w:r>
        <w:rPr>
          <w:i/>
        </w:rPr>
        <w:t>Seminars in neurology</w:t>
      </w:r>
      <w:r>
        <w:rPr/>
        <w:t>. Vol. 22. No. 04. Copyright© 2002 by Thieme Medical Publishers, Inc., 333 Seventh Avenue, New York, NY 10001, USA. Tel.:+ 1 (212) 584-4662, 2002</w:t>
      </w:r>
    </w:p>
    <w:p>
      <w:pPr>
        <w:pStyle w:val="Normal"/>
        <w:bidi w:val="0"/>
        <w:jc w:val="left"/>
        <w:rPr/>
      </w:pPr>
      <w:r>
        <w:rPr/>
      </w:r>
    </w:p>
    <w:p>
      <w:pPr>
        <w:pStyle w:val="Normal"/>
        <w:bidi w:val="0"/>
        <w:jc w:val="left"/>
        <w:rPr/>
      </w:pPr>
      <w:r>
        <w:rPr/>
        <w:t xml:space="preserve">[4] </w:t>
      </w:r>
      <w:r>
        <w:rPr>
          <w:rFonts w:cs="Times New Roman" w:ascii="Times New Roman" w:hAnsi="Times New Roman"/>
          <w:sz w:val="24"/>
          <w:szCs w:val="24"/>
          <w:lang w:val="en-GB"/>
        </w:rPr>
        <w:t xml:space="preserve">Valence S, Cochet E, Burglen L. Exome sequencing in congenital ataxia identifies two new candidate genes and highlights a pathophysiological link between some congenital ataxias and early infantile epileptic encephalopathies. </w:t>
      </w:r>
      <w:hyperlink r:id="rId7">
        <w:r>
          <w:rPr>
            <w:rStyle w:val="InternetLink"/>
            <w:rFonts w:cs="Times New Roman" w:ascii="Times New Roman" w:hAnsi="Times New Roman"/>
            <w:iCs/>
            <w:color w:val="auto"/>
            <w:sz w:val="24"/>
            <w:szCs w:val="24"/>
            <w:u w:val="none"/>
            <w:lang w:val="en-GB"/>
          </w:rPr>
          <w:t>Genetics in Medicine</w:t>
        </w:r>
      </w:hyperlink>
      <w:r>
        <w:rPr>
          <w:rFonts w:cs="Times New Roman" w:ascii="Times New Roman" w:hAnsi="Times New Roman"/>
          <w:sz w:val="24"/>
          <w:szCs w:val="24"/>
          <w:lang w:val="en-GB"/>
        </w:rPr>
        <w:t>. 2019; 21:553–563</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t xml:space="preserve">[5] Mihalek, I., I. Reš, and O. Lichtarge. "A family of evolution–entropy hybrid methods for ranking protein residues by importance." </w:t>
      </w:r>
      <w:r>
        <w:rPr>
          <w:i/>
        </w:rPr>
        <w:t>Journal of molecular biology</w:t>
      </w:r>
      <w:r>
        <w:rPr/>
        <w:t xml:space="preserve"> 336.5 (2004): 1265-1282.</w:t>
      </w:r>
    </w:p>
    <w:p>
      <w:pPr>
        <w:pStyle w:val="Normal"/>
        <w:bidi w:val="0"/>
        <w:jc w:val="left"/>
        <w:rPr/>
      </w:pPr>
      <w:r>
        <w:rPr/>
      </w:r>
    </w:p>
    <w:p>
      <w:pPr>
        <w:pStyle w:val="Normal"/>
        <w:bidi w:val="0"/>
        <w:jc w:val="left"/>
        <w:rPr/>
      </w:pPr>
      <w:r>
        <w:rPr/>
        <w:t xml:space="preserve">[6] Zhang, Zong Hong, Aik Aun Khoo, and Ivana Mihalek. "Cube-an online tool for comparison and contrasting of protein sequences." </w:t>
      </w:r>
      <w:r>
        <w:rPr>
          <w:i/>
        </w:rPr>
        <w:t>PloS one</w:t>
      </w:r>
      <w:r>
        <w:rPr/>
        <w:t xml:space="preserve"> 8.11 (2013): e79480.</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 xml:space="preserve">[7] Wilson, Jeffrey J., et al. "Crystal structure of the dachshund homology domain of human SKI." </w:t>
      </w:r>
      <w:r>
        <w:rPr>
          <w:rFonts w:cs="Times New Roman" w:ascii="Times New Roman" w:hAnsi="Times New Roman"/>
          <w:i/>
          <w:sz w:val="24"/>
          <w:szCs w:val="24"/>
          <w:lang w:val="en-GB"/>
        </w:rPr>
        <w:t>Structure</w:t>
      </w:r>
      <w:r>
        <w:rPr>
          <w:rFonts w:cs="Times New Roman" w:ascii="Times New Roman" w:hAnsi="Times New Roman"/>
          <w:sz w:val="24"/>
          <w:szCs w:val="24"/>
          <w:lang w:val="en-GB"/>
        </w:rPr>
        <w:t xml:space="preserve"> 12.5 (2004): 785-792.</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 xml:space="preserve">[8] Wu, Jia-Wei, et al. "Structural mechanism of Smad4 recognition by the nuclear oncoprotein Ski: insights on Ski-mediated repression of TGF-β signaling." </w:t>
      </w:r>
      <w:r>
        <w:rPr>
          <w:rFonts w:cs="Times New Roman" w:ascii="Times New Roman" w:hAnsi="Times New Roman"/>
          <w:i/>
          <w:sz w:val="24"/>
          <w:szCs w:val="24"/>
          <w:lang w:val="en-GB"/>
        </w:rPr>
        <w:t>Cell</w:t>
      </w:r>
      <w:r>
        <w:rPr>
          <w:rFonts w:cs="Times New Roman" w:ascii="Times New Roman" w:hAnsi="Times New Roman"/>
          <w:sz w:val="24"/>
          <w:szCs w:val="24"/>
          <w:lang w:val="en-GB"/>
        </w:rPr>
        <w:t xml:space="preserve"> 111.3 (2002): 357-367.</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[9] .</w:t>
      </w:r>
      <w:r>
        <w:rPr/>
        <w:t xml:space="preserve">Dunker, A. Keith, et al. "Function and structure of inherently disordered proteins." </w:t>
      </w:r>
      <w:r>
        <w:rPr>
          <w:i/>
        </w:rPr>
        <w:t>Current opinion in structural biology</w:t>
      </w:r>
      <w:r>
        <w:rPr/>
        <w:t xml:space="preserve"> 18.6 (2008): 756-764.</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 xml:space="preserve">[10] </w:t>
      </w:r>
      <w:r>
        <w:rPr/>
        <w:t xml:space="preserve">Chang, Yao-Fu, J. Saadi Imam, and Miles F. Wilkinson. "The nonsense-mediated decay RNA surveillance pathway." </w:t>
      </w:r>
      <w:r>
        <w:rPr>
          <w:i/>
        </w:rPr>
        <w:t>Annu. Rev. Biochem.</w:t>
      </w:r>
      <w:r>
        <w:rPr/>
        <w:t xml:space="preserve"> 76 (2007): 51-74.</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 xml:space="preserve">[11] Clancy, Suzanne. "RNA splicing: introns, exons and spliceosome." </w:t>
      </w:r>
      <w:r>
        <w:rPr>
          <w:rFonts w:cs="Times New Roman" w:ascii="Times New Roman" w:hAnsi="Times New Roman"/>
          <w:i/>
          <w:sz w:val="24"/>
          <w:szCs w:val="24"/>
          <w:lang w:val="en-GB"/>
        </w:rPr>
        <w:t>Nature Education</w:t>
      </w:r>
      <w:r>
        <w:rPr>
          <w:rFonts w:cs="Times New Roman" w:ascii="Times New Roman" w:hAnsi="Times New Roman"/>
          <w:sz w:val="24"/>
          <w:szCs w:val="24"/>
          <w:lang w:val="en-GB"/>
        </w:rPr>
        <w:t xml:space="preserve"> 1.1 (2008): 31.</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 xml:space="preserve">[12]  </w:t>
      </w:r>
      <w:r>
        <w:rPr>
          <w:rFonts w:ascii="Times New Roman" w:hAnsi="Times New Roman"/>
          <w:sz w:val="21"/>
        </w:rPr>
        <w:t>Moore MJ, Query CC, Sharp PA. 1993. Splicing of precursors to mRNA by the spliceosome. In RNAWorld(ed. R.F. Gesteland, J.F. Atkins), pp.303 – 357. Cold Spring Harbor Laboratory Press, Cold Spring Harbor,New York</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 xml:space="preserve">[13] Sperling, Joseph, Maia Azubel, and Ruth Sperling. "Structure and function of the Pre-mRNA splicing machine." </w:t>
      </w:r>
      <w:r>
        <w:rPr>
          <w:rFonts w:cs="Times New Roman" w:ascii="Times New Roman" w:hAnsi="Times New Roman"/>
          <w:i/>
          <w:sz w:val="24"/>
          <w:szCs w:val="24"/>
          <w:lang w:val="en-GB"/>
        </w:rPr>
        <w:t>Structure</w:t>
      </w:r>
      <w:r>
        <w:rPr>
          <w:rFonts w:cs="Times New Roman" w:ascii="Times New Roman" w:hAnsi="Times New Roman"/>
          <w:sz w:val="24"/>
          <w:szCs w:val="24"/>
          <w:lang w:val="en-GB"/>
        </w:rPr>
        <w:t xml:space="preserve"> 16.11 (2008): 1605-1615.</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t xml:space="preserve">[14] Karczewski, Konrad J., et al. "The mutational constraint spectrum quantified from variation in 141,456 humans." </w:t>
      </w:r>
      <w:r>
        <w:rPr>
          <w:rFonts w:cs="Times New Roman" w:ascii="Times New Roman" w:hAnsi="Times New Roman"/>
          <w:i/>
          <w:sz w:val="24"/>
          <w:szCs w:val="24"/>
          <w:lang w:val="en-GB"/>
        </w:rPr>
        <w:t>Nature</w:t>
      </w:r>
      <w:r>
        <w:rPr>
          <w:rFonts w:cs="Times New Roman" w:ascii="Times New Roman" w:hAnsi="Times New Roman"/>
          <w:sz w:val="24"/>
          <w:szCs w:val="24"/>
          <w:lang w:val="en-GB"/>
        </w:rPr>
        <w:t xml:space="preserve"> 581.7809 (2020): 434-443.</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pPr>
      <w:r>
        <w:rPr>
          <w:rFonts w:cs="Times New Roman" w:ascii="Times New Roman" w:hAnsi="Times New Roman"/>
          <w:sz w:val="24"/>
          <w:szCs w:val="24"/>
          <w:lang w:val="en-GB"/>
        </w:rPr>
        <w:t>Figure 1: Domains and conservation on the SKOR2 sequence. More conserved regions are indicated by darker shades.  They most likely correspond to structurally ordered regions. For two of those regions the ordered protein structure has been confirmed crystallographically [5,6]. Conversely, non-conserved regions commonly correspond to disordered regions on peptide  sequence that better tolerate mutation. The deletion from Patient 2 belongs to one such region.</w:t>
      </w:r>
    </w:p>
    <w:p>
      <w:pPr>
        <w:pStyle w:val="Normal"/>
        <w:bidi w:val="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bidi w:val="0"/>
        <w:jc w:val="left"/>
        <w:rPr>
          <w:rFonts w:ascii="Times New Roman" w:hAnsi="Times New Roman" w:cs="Times New Roman"/>
          <w:sz w:val="24"/>
          <w:szCs w:val="24"/>
          <w:lang w:val="en-GB"/>
        </w:rPr>
      </w:pPr>
      <w:r>
        <w:rPr/>
        <w:t>Figure 2:  The alignment of SKOR2 orthologues in the vicinity of the position deleted in Patient 2. Notable is the variability in the composition and the length.</w:t>
      </w:r>
    </w:p>
    <w:sectPr>
      <w:type w:val="nextPage"/>
      <w:pgSz w:w="12240" w:h="15840"/>
      <w:pgMar w:left="1134" w:right="1134" w:header="0" w:top="1134"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Calibri">
    <w:charset w:val="01"/>
    <w:family w:val="roman"/>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0"/>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TextBody"/>
    <w:qFormat/>
    <w:pPr>
      <w:numPr>
        <w:ilvl w:val="0"/>
        <w:numId w:val="1"/>
      </w:numPr>
      <w:spacing w:before="240" w:after="120"/>
      <w:outlineLvl w:val="0"/>
    </w:pPr>
    <w:rPr>
      <w:b/>
      <w:bCs/>
      <w:sz w:val="36"/>
      <w:szCs w:val="36"/>
    </w:rPr>
  </w:style>
  <w:style w:type="character" w:styleId="InternetLink">
    <w:name w:val="Hyperlink"/>
    <w:rPr>
      <w:color w:val="000080"/>
      <w:u w:val="single"/>
      <w:lang w:val="zxx" w:eastAsia="zxx" w:bidi="zxx"/>
    </w:rPr>
  </w:style>
  <w:style w:type="character" w:styleId="DefaultParagraphFont">
    <w:name w:val="Default Paragraph Font"/>
    <w:qFormat/>
    <w:rPr/>
  </w:style>
  <w:style w:type="character" w:styleId="VisitedInternetLink">
    <w:name w:val="FollowedHyperlink"/>
    <w:basedOn w:val="DefaultParagraphFont"/>
    <w:rPr>
      <w:color w:val="954F72" w:themeColor="followedHyperlink"/>
      <w:u w:val="single"/>
    </w:rPr>
  </w:style>
  <w:style w:type="paragraph" w:styleId="Heading">
    <w:name w:val="Heading"/>
    <w:basedOn w:val="Normal"/>
    <w:next w:val="TextBody"/>
    <w:qFormat/>
    <w:pPr>
      <w:keepNext w:val="true"/>
      <w:spacing w:before="240" w:after="120"/>
    </w:pPr>
    <w:rPr>
      <w:rFonts w:ascii="Liberation Sans" w:hAnsi="Liberation Sans" w:eastAsia="Noto Sans CJK SC" w:cs="Noto Sans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next w:val="TextBody"/>
    <w:qFormat/>
    <w:pPr>
      <w:jc w:val="center"/>
    </w:pPr>
    <w:rPr>
      <w:b/>
      <w:bCs/>
      <w:sz w:val="56"/>
      <w:szCs w:val="56"/>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ncbi.nlm.nih.gov/pubmed/?term=Wang B%5BAuthor%5D&amp;cauthor=true&amp;cauthor_uid=21937600" TargetMode="External"/><Relationship Id="rId3" Type="http://schemas.openxmlformats.org/officeDocument/2006/relationships/hyperlink" Target="https://www.ncbi.nlm.nih.gov/pubmed/?term=Harrison W%5BAuthor%5D&amp;cauthor=true&amp;cauthor_uid=21937600" TargetMode="External"/><Relationship Id="rId4" Type="http://schemas.openxmlformats.org/officeDocument/2006/relationships/hyperlink" Target="https://www.ncbi.nlm.nih.gov/pubmed/?term=Overbeek PA%5BAuthor%5D&amp;cauthor=true&amp;cauthor_uid=21937600" TargetMode="External"/><Relationship Id="rId5" Type="http://schemas.openxmlformats.org/officeDocument/2006/relationships/hyperlink" Target="https://www.ncbi.nlm.nih.gov/pubmed/?term=Zheng H%5BAuthor%5D&amp;cauthor=true&amp;cauthor_uid=21937600" TargetMode="External"/><Relationship Id="rId6" Type="http://schemas.openxmlformats.org/officeDocument/2006/relationships/hyperlink" Target="https://www.ncbi.nlm.nih.gov/pmc/articles/PMC3177318/" TargetMode="External"/><Relationship Id="rId7" Type="http://schemas.openxmlformats.org/officeDocument/2006/relationships/hyperlink" Target="https://www.nature.com/gim" TargetMode="Externa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50</TotalTime>
  <Application>LibreOffice/6.4.2.2$Linux_X86_64 LibreOffice_project/40$Build-2</Application>
  <Pages>3</Pages>
  <Words>1215</Words>
  <Characters>6795</Characters>
  <CharactersWithSpaces>8024</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2020-07-31T11:59:48Z</dcterms:created>
  <dc:creator/>
  <dc:description/>
  <dc:language>en-US</dc:language>
  <cp:lastModifiedBy/>
  <dcterms:modified xsi:type="dcterms:W3CDTF">2020-08-27T11:10:26Z</dcterms:modified>
  <cp:revision>14</cp:revision>
  <dc:subject/>
  <dc:title/>
</cp:coreProperties>
</file>