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797F6F" w14:textId="77777777" w:rsidR="00494139" w:rsidRDefault="00252F79">
      <w:pPr>
        <w:pStyle w:val="Heading1"/>
        <w:numPr>
          <w:ilvl w:val="0"/>
          <w:numId w:val="2"/>
        </w:numPr>
        <w:rPr>
          <w:rFonts w:ascii="Calibri" w:hAnsi="Calibri"/>
        </w:rPr>
      </w:pPr>
      <w:r>
        <w:rPr>
          <w:rFonts w:ascii="Calibri" w:hAnsi="Calibri"/>
        </w:rPr>
        <w:t>SKOR2 report</w:t>
      </w:r>
    </w:p>
    <w:p w14:paraId="7D1A8D41" w14:textId="77777777" w:rsidR="00494139" w:rsidRDefault="00252F79">
      <w:pPr>
        <w:rPr>
          <w:rFonts w:ascii="Calibri" w:hAnsi="Calibri"/>
        </w:rPr>
      </w:pPr>
      <w:proofErr w:type="spellStart"/>
      <w:r>
        <w:rPr>
          <w:rFonts w:ascii="Calibri" w:hAnsi="Calibri"/>
        </w:rPr>
        <w:t>Jurja</w:t>
      </w:r>
      <w:proofErr w:type="spellEnd"/>
      <w:r>
        <w:rPr>
          <w:rFonts w:ascii="Calibri" w:hAnsi="Calibri"/>
        </w:rPr>
        <w:t xml:space="preserve"> </w:t>
      </w:r>
      <w:proofErr w:type="spellStart"/>
      <w:r>
        <w:rPr>
          <w:rFonts w:ascii="Calibri" w:hAnsi="Calibri"/>
        </w:rPr>
        <w:t>Bratko</w:t>
      </w:r>
      <w:proofErr w:type="spellEnd"/>
      <w:r>
        <w:rPr>
          <w:rFonts w:ascii="Calibri" w:hAnsi="Calibri"/>
        </w:rPr>
        <w:t xml:space="preserve"> and Ivana </w:t>
      </w:r>
      <w:proofErr w:type="spellStart"/>
      <w:proofErr w:type="gramStart"/>
      <w:r>
        <w:rPr>
          <w:rFonts w:ascii="Calibri" w:hAnsi="Calibri"/>
        </w:rPr>
        <w:t>Mihalek</w:t>
      </w:r>
      <w:proofErr w:type="spellEnd"/>
      <w:r>
        <w:rPr>
          <w:rFonts w:ascii="Calibri" w:hAnsi="Calibri"/>
        </w:rPr>
        <w:t xml:space="preserve">,   </w:t>
      </w:r>
      <w:proofErr w:type="gramEnd"/>
      <w:r>
        <w:rPr>
          <w:rFonts w:ascii="Calibri" w:hAnsi="Calibri"/>
        </w:rPr>
        <w:t>July 31, 2020</w:t>
      </w:r>
    </w:p>
    <w:p w14:paraId="7EA9DED6" w14:textId="77777777" w:rsidR="00494139" w:rsidRDefault="00494139">
      <w:pPr>
        <w:rPr>
          <w:rFonts w:ascii="Calibri" w:hAnsi="Calibri"/>
        </w:rPr>
      </w:pPr>
    </w:p>
    <w:p w14:paraId="55D6AB0E" w14:textId="3748EC70" w:rsidR="00494139" w:rsidRDefault="00252F79">
      <w:pPr>
        <w:rPr>
          <w:rFonts w:ascii="Calibri" w:hAnsi="Calibri"/>
          <w:sz w:val="22"/>
          <w:szCs w:val="22"/>
        </w:rPr>
      </w:pPr>
      <w:r>
        <w:rPr>
          <w:rFonts w:ascii="Calibri" w:hAnsi="Calibri"/>
          <w:sz w:val="22"/>
          <w:szCs w:val="22"/>
        </w:rPr>
        <w:t xml:space="preserve">SKOR2 gene (in the older literature sometimes also referred as CORL2 or Fussel-18) has been shown to express during both embryogenesis and adult life in the </w:t>
      </w:r>
      <w:r>
        <w:rPr>
          <w:rFonts w:ascii="Calibri" w:hAnsi="Calibri" w:cs="Times New Roman"/>
          <w:sz w:val="22"/>
          <w:szCs w:val="22"/>
          <w:lang w:val="en-GB"/>
        </w:rPr>
        <w:t>cerebellum, the spinal cord, dorsal root ganglia and at very low levels in the testes [1]. More nar</w:t>
      </w:r>
      <w:r>
        <w:rPr>
          <w:rFonts w:ascii="Calibri" w:hAnsi="Calibri" w:cs="Times New Roman"/>
          <w:sz w:val="22"/>
          <w:szCs w:val="22"/>
          <w:lang w:val="en-GB"/>
        </w:rPr>
        <w:t xml:space="preserve">rowly, </w:t>
      </w:r>
      <w:r>
        <w:rPr>
          <w:rFonts w:ascii="Calibri" w:hAnsi="Calibri" w:cs="Times New Roman"/>
          <w:sz w:val="22"/>
          <w:szCs w:val="22"/>
          <w:lang w:val="en-GB"/>
        </w:rPr>
        <w:t xml:space="preserve">the research in mice </w:t>
      </w:r>
      <w:r>
        <w:rPr>
          <w:rFonts w:ascii="Calibri" w:hAnsi="Calibri" w:cs="Times New Roman"/>
          <w:sz w:val="22"/>
          <w:szCs w:val="22"/>
          <w:lang w:val="en-GB"/>
        </w:rPr>
        <w:t xml:space="preserve">has shown that SKOR2 expresses in Purkinje cells where it physically interacts with </w:t>
      </w:r>
      <w:r>
        <w:rPr>
          <w:rFonts w:ascii="Calibri" w:hAnsi="Calibri" w:cs="Times New Roman"/>
          <w:sz w:val="22"/>
          <w:szCs w:val="22"/>
          <w:lang w:val="en-GB"/>
        </w:rPr>
        <w:t>SMAD</w:t>
      </w:r>
      <w:r>
        <w:rPr>
          <w:rFonts w:ascii="Calibri" w:hAnsi="Calibri" w:cs="Times New Roman"/>
          <w:sz w:val="22"/>
          <w:szCs w:val="22"/>
          <w:lang w:val="en-GB"/>
        </w:rPr>
        <w:t xml:space="preserve"> proteins to act as a transcriptional up-regulator of SHH (sonic hedgehog gene). SHH signalling between Purkinje and granule cells is esse</w:t>
      </w:r>
      <w:r>
        <w:rPr>
          <w:rFonts w:ascii="Calibri" w:hAnsi="Calibri" w:cs="Times New Roman"/>
          <w:sz w:val="22"/>
          <w:szCs w:val="22"/>
          <w:lang w:val="en-GB"/>
        </w:rPr>
        <w:t xml:space="preserve">ntial for the correct development of </w:t>
      </w:r>
      <w:r>
        <w:rPr>
          <w:rFonts w:ascii="Calibri" w:hAnsi="Calibri" w:cs="Times New Roman"/>
          <w:sz w:val="22"/>
          <w:szCs w:val="22"/>
          <w:lang w:val="en-GB"/>
        </w:rPr>
        <w:t xml:space="preserve">cerebellum [2], </w:t>
      </w:r>
      <w:r>
        <w:rPr>
          <w:rFonts w:ascii="Calibri" w:hAnsi="Calibri" w:cs="Times New Roman"/>
          <w:sz w:val="22"/>
          <w:szCs w:val="22"/>
          <w:lang w:val="en-GB"/>
        </w:rPr>
        <w:t xml:space="preserve">the central </w:t>
      </w:r>
      <w:r>
        <w:rPr>
          <w:rFonts w:ascii="Calibri" w:hAnsi="Calibri"/>
          <w:sz w:val="22"/>
          <w:szCs w:val="22"/>
        </w:rPr>
        <w:t>motor coordination unit in the hindbrain of all vertebrates. It has been known since the early days of</w:t>
      </w:r>
      <w:r>
        <w:rPr>
          <w:rFonts w:ascii="Calibri" w:hAnsi="Calibri"/>
          <w:sz w:val="22"/>
          <w:szCs w:val="22"/>
        </w:rPr>
        <w:t xml:space="preserve"> neurophysiology research [3] that lesions in cerebellum lead to disorders in movemen</w:t>
      </w:r>
      <w:r>
        <w:rPr>
          <w:rFonts w:ascii="Calibri" w:hAnsi="Calibri"/>
          <w:sz w:val="22"/>
          <w:szCs w:val="22"/>
        </w:rPr>
        <w:t xml:space="preserve">t, equilibrium. posture and motor learning. Consistently, </w:t>
      </w:r>
      <w:r>
        <w:rPr>
          <w:rFonts w:ascii="Calibri" w:hAnsi="Calibri"/>
          <w:sz w:val="22"/>
          <w:szCs w:val="22"/>
        </w:rPr>
        <w:t xml:space="preserve">a recent publication [4] implicated a homozygous null variant of SKOR2 in </w:t>
      </w:r>
      <w:r>
        <w:rPr>
          <w:rFonts w:ascii="Times New Roman" w:hAnsi="Times New Roman" w:cs="Times New Roman"/>
          <w:sz w:val="22"/>
          <w:szCs w:val="22"/>
          <w:lang w:val="en-GB"/>
        </w:rPr>
        <w:t>cerebellar ataxia with cerebellar underdevelopment.</w:t>
      </w:r>
    </w:p>
    <w:p w14:paraId="276D26E8" w14:textId="77777777" w:rsidR="00494139" w:rsidRDefault="00494139">
      <w:pPr>
        <w:rPr>
          <w:rFonts w:ascii="Calibri" w:hAnsi="Calibri"/>
          <w:sz w:val="22"/>
          <w:szCs w:val="22"/>
        </w:rPr>
      </w:pPr>
    </w:p>
    <w:p w14:paraId="217A5E8F" w14:textId="2BAE6223" w:rsidR="00494139" w:rsidRDefault="00252F79">
      <w:pPr>
        <w:rPr>
          <w:rFonts w:ascii="Calibri" w:hAnsi="Calibri"/>
          <w:sz w:val="22"/>
          <w:szCs w:val="22"/>
        </w:rPr>
      </w:pPr>
      <w:r>
        <w:rPr>
          <w:rFonts w:ascii="Calibri" w:hAnsi="Calibri"/>
          <w:sz w:val="22"/>
          <w:szCs w:val="22"/>
        </w:rPr>
        <w:t xml:space="preserve">SKOR2 has only five notable paralogs – homologous relatives in human </w:t>
      </w:r>
      <w:r>
        <w:rPr>
          <w:rFonts w:ascii="Calibri" w:hAnsi="Calibri"/>
          <w:sz w:val="22"/>
          <w:szCs w:val="22"/>
        </w:rPr>
        <w:t xml:space="preserve">genome – SKOR1, SKI, SKIL and DACH1 and DACH2, though none of them is too closely related to SKOR2, and the homology is deduced through the similarity in several domains they share. All </w:t>
      </w:r>
      <w:r>
        <w:rPr>
          <w:rFonts w:ascii="Calibri" w:hAnsi="Calibri"/>
          <w:sz w:val="22"/>
          <w:szCs w:val="22"/>
        </w:rPr>
        <w:t xml:space="preserve">SKOR2 paralogs </w:t>
      </w:r>
      <w:r>
        <w:rPr>
          <w:rFonts w:ascii="Calibri" w:hAnsi="Calibri"/>
          <w:sz w:val="22"/>
          <w:szCs w:val="22"/>
        </w:rPr>
        <w:t>share something termed Dachshund domain, after the do</w:t>
      </w:r>
      <w:r>
        <w:rPr>
          <w:rFonts w:ascii="Calibri" w:hAnsi="Calibri"/>
          <w:sz w:val="22"/>
          <w:szCs w:val="22"/>
        </w:rPr>
        <w:t>main first described in the eponymous protein. In addition to Dachshund domain, SKOR and SKI families share the SMAD-interacting domain (Fig 1). The sequence similarity in these regions across distant paralogs, as well as strong conservation across SKOR2 i</w:t>
      </w:r>
      <w:r>
        <w:rPr>
          <w:rFonts w:ascii="Calibri" w:hAnsi="Calibri"/>
          <w:sz w:val="22"/>
          <w:szCs w:val="22"/>
        </w:rPr>
        <w:t xml:space="preserve">n all vertebrates, </w:t>
      </w:r>
      <w:r>
        <w:rPr>
          <w:rFonts w:ascii="Calibri" w:hAnsi="Calibri"/>
          <w:sz w:val="22"/>
          <w:szCs w:val="22"/>
        </w:rPr>
        <w:t>bespeaks the ordered protein regions, which indeed have been confirmed by crystallography [5,6].  The intervening peptide sequences probably function as disordered linkers, providing the re-organizational flexibility for the complexes t</w:t>
      </w:r>
      <w:r>
        <w:rPr>
          <w:rFonts w:ascii="Calibri" w:hAnsi="Calibri"/>
          <w:sz w:val="22"/>
          <w:szCs w:val="22"/>
        </w:rPr>
        <w:t xml:space="preserve">hat SKOR2 engages in, </w:t>
      </w:r>
      <w:r>
        <w:rPr>
          <w:rFonts w:ascii="Calibri" w:hAnsi="Calibri"/>
          <w:sz w:val="22"/>
          <w:szCs w:val="22"/>
        </w:rPr>
        <w:t>and tolerating more variation in the amino acid content and the peptide length.</w:t>
      </w:r>
    </w:p>
    <w:p w14:paraId="6E8A6A57" w14:textId="77777777" w:rsidR="00494139" w:rsidRDefault="00494139">
      <w:pPr>
        <w:rPr>
          <w:rFonts w:ascii="Calibri" w:hAnsi="Calibri"/>
          <w:sz w:val="22"/>
          <w:szCs w:val="22"/>
        </w:rPr>
      </w:pPr>
    </w:p>
    <w:p w14:paraId="4F1E7601" w14:textId="218A6021" w:rsidR="00494139" w:rsidRDefault="00252F79">
      <w:r w:rsidRPr="00252F79">
        <w:rPr>
          <w:rFonts w:ascii="Calibri" w:hAnsi="Calibri"/>
          <w:sz w:val="22"/>
          <w:szCs w:val="22"/>
          <w:highlight w:val="cyan"/>
        </w:rPr>
        <w:t>Among the patients in our series,</w:t>
      </w:r>
      <w:r w:rsidRPr="00252F79">
        <w:rPr>
          <w:rFonts w:ascii="Calibri" w:hAnsi="Calibri"/>
          <w:sz w:val="22"/>
          <w:szCs w:val="22"/>
          <w:highlight w:val="cyan"/>
        </w:rPr>
        <w:t xml:space="preserve"> Patient 1 is the easiest to explain: the frameshift mutation in both alleles leads to the loss of functional trans</w:t>
      </w:r>
      <w:r w:rsidRPr="00252F79">
        <w:rPr>
          <w:rFonts w:ascii="Calibri" w:hAnsi="Calibri"/>
          <w:sz w:val="22"/>
          <w:szCs w:val="22"/>
          <w:highlight w:val="cyan"/>
        </w:rPr>
        <w:t xml:space="preserve">cript through the nonsense mediated decay mechanism, and the protein product is never present in the cells. This cuts off the signaling pathway(s) needed for the proper development of </w:t>
      </w:r>
      <w:proofErr w:type="gramStart"/>
      <w:r w:rsidRPr="00252F79">
        <w:rPr>
          <w:rFonts w:ascii="Calibri" w:hAnsi="Calibri"/>
          <w:sz w:val="22"/>
          <w:szCs w:val="22"/>
          <w:highlight w:val="cyan"/>
        </w:rPr>
        <w:t>cerebellum, and</w:t>
      </w:r>
      <w:proofErr w:type="gramEnd"/>
      <w:r w:rsidRPr="00252F79">
        <w:rPr>
          <w:rFonts w:ascii="Calibri" w:hAnsi="Calibri"/>
          <w:sz w:val="22"/>
          <w:szCs w:val="22"/>
          <w:highlight w:val="cyan"/>
        </w:rPr>
        <w:t xml:space="preserve"> leads to the observed phenotype.</w:t>
      </w:r>
    </w:p>
    <w:p w14:paraId="5EA1DB81" w14:textId="77777777" w:rsidR="00494139" w:rsidRDefault="00494139">
      <w:pPr>
        <w:rPr>
          <w:rFonts w:ascii="Calibri" w:hAnsi="Calibri"/>
          <w:sz w:val="22"/>
          <w:szCs w:val="22"/>
        </w:rPr>
      </w:pPr>
    </w:p>
    <w:p w14:paraId="026EC739" w14:textId="202D4482" w:rsidR="00494139" w:rsidRDefault="00252F79">
      <w:r w:rsidRPr="00252F79">
        <w:rPr>
          <w:rFonts w:ascii="Calibri" w:hAnsi="Calibri"/>
          <w:sz w:val="22"/>
          <w:szCs w:val="22"/>
          <w:highlight w:val="yellow"/>
        </w:rPr>
        <w:t xml:space="preserve">Similarly, in </w:t>
      </w:r>
      <w:r w:rsidRPr="00252F79">
        <w:rPr>
          <w:rFonts w:ascii="Calibri" w:hAnsi="Calibri"/>
          <w:sz w:val="22"/>
          <w:szCs w:val="22"/>
          <w:highlight w:val="yellow"/>
        </w:rPr>
        <w:t>Pa</w:t>
      </w:r>
      <w:r w:rsidRPr="00252F79">
        <w:rPr>
          <w:rFonts w:ascii="Calibri" w:hAnsi="Calibri"/>
          <w:sz w:val="22"/>
          <w:szCs w:val="22"/>
          <w:highlight w:val="yellow"/>
        </w:rPr>
        <w:t xml:space="preserve">tients 3 and 4, </w:t>
      </w:r>
      <w:r w:rsidRPr="00252F79">
        <w:rPr>
          <w:rFonts w:ascii="Calibri" w:hAnsi="Calibri"/>
          <w:sz w:val="22"/>
          <w:szCs w:val="22"/>
          <w:highlight w:val="yellow"/>
        </w:rPr>
        <w:t xml:space="preserve">the protein product is lost, but through a different mechanism.  There, both alleles carry a substitution in the first position in one of the donor splice regions, </w:t>
      </w:r>
      <w:r w:rsidRPr="00252F79">
        <w:rPr>
          <w:rFonts w:ascii="Calibri" w:hAnsi="Calibri"/>
          <w:sz w:val="22"/>
          <w:szCs w:val="22"/>
          <w:highlight w:val="yellow"/>
        </w:rPr>
        <w:t xml:space="preserve">and the splicing process never results in a translatable mature mRNA. The </w:t>
      </w:r>
      <w:r w:rsidRPr="00252F79">
        <w:rPr>
          <w:rFonts w:ascii="Calibri" w:hAnsi="Calibri"/>
          <w:sz w:val="22"/>
          <w:szCs w:val="22"/>
          <w:highlight w:val="yellow"/>
        </w:rPr>
        <w:t xml:space="preserve">systems-level impact is the same as in the case of </w:t>
      </w:r>
      <w:r w:rsidRPr="00252F79">
        <w:rPr>
          <w:rFonts w:ascii="Calibri" w:hAnsi="Calibri"/>
          <w:sz w:val="22"/>
          <w:szCs w:val="22"/>
          <w:highlight w:val="yellow"/>
        </w:rPr>
        <w:t>Patient 1: no protein product from either copy of the SKOR2 gene.</w:t>
      </w:r>
    </w:p>
    <w:p w14:paraId="6EDD83A3" w14:textId="77777777" w:rsidR="00494139" w:rsidRDefault="00494139">
      <w:pPr>
        <w:rPr>
          <w:rFonts w:ascii="Calibri" w:hAnsi="Calibri"/>
          <w:sz w:val="22"/>
          <w:szCs w:val="22"/>
        </w:rPr>
      </w:pPr>
    </w:p>
    <w:p w14:paraId="430FEB52" w14:textId="03A9F776" w:rsidR="00494139" w:rsidRPr="00252F79" w:rsidRDefault="00252F79">
      <w:pPr>
        <w:rPr>
          <w:highlight w:val="green"/>
        </w:rPr>
      </w:pPr>
      <w:r w:rsidRPr="00252F79">
        <w:rPr>
          <w:rFonts w:ascii="Calibri" w:hAnsi="Calibri"/>
          <w:sz w:val="22"/>
          <w:szCs w:val="22"/>
          <w:highlight w:val="green"/>
        </w:rPr>
        <w:t xml:space="preserve">Patient 2 is the most interesting case, though from what we know about the gene, further genotyping might </w:t>
      </w:r>
      <w:r w:rsidRPr="00252F79">
        <w:rPr>
          <w:rFonts w:ascii="Calibri" w:hAnsi="Calibri"/>
          <w:sz w:val="22"/>
          <w:szCs w:val="22"/>
          <w:highlight w:val="green"/>
        </w:rPr>
        <w:t>be needed to explain th</w:t>
      </w:r>
      <w:r w:rsidRPr="00252F79">
        <w:rPr>
          <w:rFonts w:ascii="Calibri" w:hAnsi="Calibri"/>
          <w:sz w:val="22"/>
          <w:szCs w:val="22"/>
          <w:highlight w:val="green"/>
        </w:rPr>
        <w:t>e phenotype:</w:t>
      </w:r>
    </w:p>
    <w:p w14:paraId="54C370F2" w14:textId="77777777" w:rsidR="00494139" w:rsidRPr="00252F79" w:rsidRDefault="00494139">
      <w:pPr>
        <w:rPr>
          <w:rFonts w:ascii="Calibri" w:hAnsi="Calibri"/>
          <w:sz w:val="22"/>
          <w:szCs w:val="22"/>
          <w:highlight w:val="green"/>
        </w:rPr>
      </w:pPr>
    </w:p>
    <w:p w14:paraId="68D0CAAE" w14:textId="1D1303EB" w:rsidR="00494139" w:rsidRPr="00252F79" w:rsidRDefault="00252F79">
      <w:pPr>
        <w:rPr>
          <w:highlight w:val="green"/>
        </w:rPr>
      </w:pPr>
      <w:r w:rsidRPr="00252F79">
        <w:rPr>
          <w:rFonts w:ascii="Calibri" w:hAnsi="Calibri"/>
          <w:sz w:val="22"/>
          <w:szCs w:val="22"/>
          <w:highlight w:val="green"/>
        </w:rPr>
        <w:t xml:space="preserve">Only one mutation is reported in Patient 2, though from the genotypes of the healthy people collected in </w:t>
      </w:r>
      <w:proofErr w:type="spellStart"/>
      <w:r w:rsidRPr="00252F79">
        <w:rPr>
          <w:rFonts w:ascii="Calibri" w:hAnsi="Calibri"/>
          <w:sz w:val="22"/>
          <w:szCs w:val="22"/>
          <w:highlight w:val="green"/>
        </w:rPr>
        <w:t>gnomAD</w:t>
      </w:r>
      <w:proofErr w:type="spellEnd"/>
      <w:r w:rsidRPr="00252F79">
        <w:rPr>
          <w:rFonts w:ascii="Calibri" w:hAnsi="Calibri"/>
          <w:sz w:val="22"/>
          <w:szCs w:val="22"/>
          <w:highlight w:val="green"/>
        </w:rPr>
        <w:t xml:space="preserve"> v2.1.1 database [7], we know that </w:t>
      </w:r>
      <w:r w:rsidRPr="00252F79">
        <w:rPr>
          <w:rFonts w:ascii="Calibri" w:hAnsi="Calibri"/>
          <w:sz w:val="22"/>
          <w:szCs w:val="22"/>
          <w:highlight w:val="green"/>
        </w:rPr>
        <w:t>people with loss of one copy of the gene (through frameshift or missense mutation) can reach ad</w:t>
      </w:r>
      <w:r w:rsidRPr="00252F79">
        <w:rPr>
          <w:rFonts w:ascii="Calibri" w:hAnsi="Calibri"/>
          <w:sz w:val="22"/>
          <w:szCs w:val="22"/>
          <w:highlight w:val="green"/>
        </w:rPr>
        <w:t xml:space="preserve">ulthood without any neurological symptoms. 15 such cases have been reported in </w:t>
      </w:r>
      <w:proofErr w:type="spellStart"/>
      <w:r w:rsidRPr="00252F79">
        <w:rPr>
          <w:rFonts w:ascii="Calibri" w:hAnsi="Calibri"/>
          <w:sz w:val="22"/>
          <w:szCs w:val="22"/>
          <w:highlight w:val="green"/>
        </w:rPr>
        <w:t>gnomAD</w:t>
      </w:r>
      <w:proofErr w:type="spellEnd"/>
      <w:r w:rsidRPr="00252F79">
        <w:rPr>
          <w:rFonts w:ascii="Calibri" w:hAnsi="Calibri"/>
          <w:sz w:val="22"/>
          <w:szCs w:val="22"/>
          <w:highlight w:val="green"/>
        </w:rPr>
        <w:t xml:space="preserve">, indicating strongly that SKOR2 exerts its effect in a </w:t>
      </w:r>
      <w:r w:rsidRPr="00252F79">
        <w:rPr>
          <w:rFonts w:ascii="Calibri" w:hAnsi="Calibri"/>
          <w:sz w:val="22"/>
          <w:szCs w:val="22"/>
          <w:highlight w:val="green"/>
        </w:rPr>
        <w:t>recessive way.</w:t>
      </w:r>
    </w:p>
    <w:p w14:paraId="2CFC5C17" w14:textId="77777777" w:rsidR="00494139" w:rsidRPr="00252F79" w:rsidRDefault="00494139">
      <w:pPr>
        <w:rPr>
          <w:rFonts w:ascii="Calibri" w:hAnsi="Calibri"/>
          <w:sz w:val="22"/>
          <w:szCs w:val="22"/>
          <w:highlight w:val="green"/>
        </w:rPr>
      </w:pPr>
    </w:p>
    <w:p w14:paraId="6865A0E4" w14:textId="7494569B" w:rsidR="00494139" w:rsidRDefault="00252F79">
      <w:r w:rsidRPr="00252F79">
        <w:rPr>
          <w:rFonts w:ascii="Calibri" w:hAnsi="Calibri"/>
          <w:sz w:val="22"/>
          <w:szCs w:val="22"/>
          <w:highlight w:val="green"/>
        </w:rPr>
        <w:t xml:space="preserve">Furthermore, the one reported </w:t>
      </w:r>
      <w:r w:rsidRPr="00252F79">
        <w:rPr>
          <w:rFonts w:ascii="Calibri" w:hAnsi="Calibri"/>
          <w:sz w:val="22"/>
          <w:szCs w:val="22"/>
          <w:highlight w:val="green"/>
        </w:rPr>
        <w:t>variant is an in-frame deletion in the coding sequence of the gene,</w:t>
      </w:r>
      <w:r w:rsidRPr="00252F79">
        <w:rPr>
          <w:rFonts w:ascii="Calibri" w:hAnsi="Calibri"/>
          <w:sz w:val="22"/>
          <w:szCs w:val="22"/>
          <w:highlight w:val="green"/>
        </w:rPr>
        <w:t xml:space="preserve"> resulting in deletion of 4 amino acids in what appears to be a disordered linker between functional, structurally ordered, domains in the SKOR2 protein. This region is not strongly conserved, not even among mammals, </w:t>
      </w:r>
      <w:r w:rsidRPr="00252F79">
        <w:rPr>
          <w:rFonts w:ascii="Calibri" w:hAnsi="Calibri"/>
          <w:sz w:val="22"/>
          <w:szCs w:val="22"/>
          <w:highlight w:val="green"/>
        </w:rPr>
        <w:t>suggesting that it is not critical for</w:t>
      </w:r>
      <w:r w:rsidRPr="00252F79">
        <w:rPr>
          <w:rFonts w:ascii="Calibri" w:hAnsi="Calibri"/>
          <w:sz w:val="22"/>
          <w:szCs w:val="22"/>
          <w:highlight w:val="green"/>
        </w:rPr>
        <w:t xml:space="preserve"> the protein function. The protein thus may express, fold, </w:t>
      </w:r>
      <w:r w:rsidRPr="00252F79">
        <w:rPr>
          <w:rFonts w:ascii="Calibri" w:hAnsi="Calibri"/>
          <w:sz w:val="22"/>
          <w:szCs w:val="22"/>
          <w:highlight w:val="green"/>
        </w:rPr>
        <w:t xml:space="preserve">and even function to a certain degree. Of course, </w:t>
      </w:r>
      <w:r w:rsidRPr="00252F79">
        <w:rPr>
          <w:rFonts w:ascii="Calibri" w:hAnsi="Calibri"/>
          <w:sz w:val="22"/>
          <w:szCs w:val="22"/>
          <w:highlight w:val="green"/>
        </w:rPr>
        <w:t>ultimately such claim would need to be validated experimentally.</w:t>
      </w:r>
    </w:p>
    <w:p w14:paraId="1DDA300F" w14:textId="77777777" w:rsidR="00494139" w:rsidRDefault="00494139">
      <w:pPr>
        <w:rPr>
          <w:rFonts w:ascii="Calibri" w:hAnsi="Calibri"/>
          <w:sz w:val="22"/>
          <w:szCs w:val="22"/>
        </w:rPr>
      </w:pPr>
    </w:p>
    <w:p w14:paraId="56727222" w14:textId="7C400633" w:rsidR="00494139" w:rsidRDefault="00252F79">
      <w:r w:rsidRPr="00252F79">
        <w:rPr>
          <w:rFonts w:ascii="Calibri" w:hAnsi="Calibri"/>
          <w:sz w:val="22"/>
          <w:szCs w:val="22"/>
          <w:highlight w:val="green"/>
        </w:rPr>
        <w:lastRenderedPageBreak/>
        <w:t xml:space="preserve">Coupled </w:t>
      </w:r>
      <w:r w:rsidRPr="00252F79">
        <w:rPr>
          <w:rFonts w:ascii="Calibri" w:hAnsi="Calibri"/>
          <w:sz w:val="22"/>
          <w:szCs w:val="22"/>
          <w:highlight w:val="green"/>
        </w:rPr>
        <w:t xml:space="preserve">with the fact that no molecular lesion has been reported in the other </w:t>
      </w:r>
      <w:r w:rsidRPr="00252F79">
        <w:rPr>
          <w:rFonts w:ascii="Calibri" w:hAnsi="Calibri"/>
          <w:sz w:val="22"/>
          <w:szCs w:val="22"/>
          <w:highlight w:val="green"/>
        </w:rPr>
        <w:t xml:space="preserve">gene we would like to draw attention to the possibility that the Patient </w:t>
      </w:r>
      <w:r w:rsidRPr="00252F79">
        <w:rPr>
          <w:rFonts w:ascii="Calibri" w:hAnsi="Calibri"/>
          <w:sz w:val="22"/>
          <w:szCs w:val="22"/>
          <w:highlight w:val="green"/>
        </w:rPr>
        <w:t>2 has been misdiagnosed.</w:t>
      </w:r>
      <w:r>
        <w:rPr>
          <w:rFonts w:ascii="Calibri" w:hAnsi="Calibri"/>
          <w:sz w:val="22"/>
          <w:szCs w:val="22"/>
        </w:rPr>
        <w:t xml:space="preserve"> </w:t>
      </w:r>
    </w:p>
    <w:p w14:paraId="7F917583" w14:textId="77777777" w:rsidR="00494139" w:rsidRDefault="00494139">
      <w:pPr>
        <w:rPr>
          <w:rFonts w:ascii="Calibri" w:hAnsi="Calibri"/>
          <w:sz w:val="22"/>
          <w:szCs w:val="22"/>
        </w:rPr>
      </w:pPr>
    </w:p>
    <w:p w14:paraId="0A5629C4" w14:textId="77777777" w:rsidR="00494139" w:rsidRDefault="00494139">
      <w:pPr>
        <w:rPr>
          <w:rFonts w:ascii="Calibri" w:hAnsi="Calibri"/>
          <w:sz w:val="22"/>
          <w:szCs w:val="22"/>
        </w:rPr>
      </w:pPr>
    </w:p>
    <w:p w14:paraId="268CEB64" w14:textId="77777777" w:rsidR="00494139" w:rsidRDefault="00252F79">
      <w:r>
        <w:rPr>
          <w:rFonts w:ascii="Calibri" w:hAnsi="Calibri"/>
          <w:sz w:val="22"/>
          <w:szCs w:val="22"/>
        </w:rPr>
        <w:t>===========================================================================================</w:t>
      </w:r>
    </w:p>
    <w:p w14:paraId="072F3519" w14:textId="77777777" w:rsidR="00494139" w:rsidRDefault="00494139">
      <w:pPr>
        <w:rPr>
          <w:rFonts w:ascii="Calibri" w:hAnsi="Calibri"/>
          <w:sz w:val="22"/>
          <w:szCs w:val="22"/>
        </w:rPr>
      </w:pPr>
    </w:p>
    <w:p w14:paraId="3914A46C" w14:textId="77777777" w:rsidR="00494139" w:rsidRDefault="00494139">
      <w:pPr>
        <w:rPr>
          <w:rFonts w:ascii="Calibri" w:hAnsi="Calibri"/>
          <w:sz w:val="22"/>
          <w:szCs w:val="22"/>
        </w:rPr>
      </w:pPr>
    </w:p>
    <w:p w14:paraId="67F4A0BE" w14:textId="77777777" w:rsidR="00494139" w:rsidRDefault="00252F79">
      <w:r>
        <w:rPr>
          <w:rFonts w:ascii="Calibri" w:hAnsi="Calibri"/>
          <w:sz w:val="22"/>
          <w:szCs w:val="22"/>
        </w:rPr>
        <w:t xml:space="preserve">[1] </w:t>
      </w:r>
      <w:r>
        <w:rPr>
          <w:rFonts w:ascii="Times New Roman" w:hAnsi="Times New Roman" w:cs="Times New Roman"/>
          <w:lang w:val="de-DE"/>
        </w:rPr>
        <w:t xml:space="preserve">Arndt S, Poser I, Schubert T, Moser M, </w:t>
      </w:r>
      <w:proofErr w:type="spellStart"/>
      <w:r>
        <w:rPr>
          <w:rFonts w:ascii="Times New Roman" w:hAnsi="Times New Roman" w:cs="Times New Roman"/>
          <w:lang w:val="de-DE"/>
        </w:rPr>
        <w:t>Bosserhoff</w:t>
      </w:r>
      <w:proofErr w:type="spellEnd"/>
      <w:r>
        <w:rPr>
          <w:rFonts w:ascii="Times New Roman" w:hAnsi="Times New Roman" w:cs="Times New Roman"/>
          <w:lang w:val="de-DE"/>
        </w:rPr>
        <w:t xml:space="preserve"> AK. </w:t>
      </w:r>
      <w:r>
        <w:rPr>
          <w:rFonts w:ascii="Times New Roman" w:hAnsi="Times New Roman" w:cs="Times New Roman"/>
          <w:lang w:val="en-GB"/>
        </w:rPr>
        <w:t>Clon</w:t>
      </w:r>
      <w:r>
        <w:rPr>
          <w:rFonts w:ascii="Times New Roman" w:hAnsi="Times New Roman" w:cs="Times New Roman"/>
          <w:lang w:val="en-GB"/>
        </w:rPr>
        <w:t>ing and functional characterization of a new Ski homolog, Fussel-18, specifically expressed in neuronal tissues. Laboratory Investigation. 2005; 85:1330–1341.</w:t>
      </w:r>
    </w:p>
    <w:p w14:paraId="2EC78D3D" w14:textId="77777777" w:rsidR="00494139" w:rsidRDefault="00494139">
      <w:pPr>
        <w:rPr>
          <w:rFonts w:ascii="Times New Roman" w:hAnsi="Times New Roman" w:cs="Times New Roman"/>
          <w:lang w:val="en-GB"/>
        </w:rPr>
      </w:pPr>
    </w:p>
    <w:p w14:paraId="38822C6F" w14:textId="77777777" w:rsidR="00494139" w:rsidRDefault="00252F79">
      <w:r>
        <w:rPr>
          <w:rFonts w:ascii="Times New Roman" w:hAnsi="Times New Roman" w:cs="Times New Roman"/>
          <w:lang w:val="en-GB"/>
        </w:rPr>
        <w:t xml:space="preserve">[2] </w:t>
      </w:r>
      <w:hyperlink r:id="rId5">
        <w:r>
          <w:rPr>
            <w:rFonts w:ascii="Times New Roman" w:hAnsi="Times New Roman" w:cs="Times New Roman"/>
            <w:lang w:val="en-GB" w:eastAsia="hr-HR"/>
          </w:rPr>
          <w:t>Wang</w:t>
        </w:r>
      </w:hyperlink>
      <w:r>
        <w:rPr>
          <w:rFonts w:ascii="Times New Roman" w:hAnsi="Times New Roman" w:cs="Times New Roman"/>
          <w:lang w:val="en-GB" w:eastAsia="hr-HR"/>
        </w:rPr>
        <w:t xml:space="preserve"> B, </w:t>
      </w:r>
      <w:hyperlink r:id="rId6">
        <w:r>
          <w:rPr>
            <w:rFonts w:ascii="Times New Roman" w:hAnsi="Times New Roman" w:cs="Times New Roman"/>
            <w:lang w:val="en-GB" w:eastAsia="hr-HR"/>
          </w:rPr>
          <w:t>Harrison</w:t>
        </w:r>
      </w:hyperlink>
      <w:r>
        <w:rPr>
          <w:rFonts w:ascii="Times New Roman" w:hAnsi="Times New Roman" w:cs="Times New Roman"/>
          <w:lang w:val="en-GB" w:eastAsia="hr-HR"/>
        </w:rPr>
        <w:t xml:space="preserve"> W, </w:t>
      </w:r>
      <w:hyperlink r:id="rId7">
        <w:proofErr w:type="spellStart"/>
        <w:r>
          <w:rPr>
            <w:rFonts w:ascii="Times New Roman" w:hAnsi="Times New Roman" w:cs="Times New Roman"/>
            <w:lang w:val="en-GB" w:eastAsia="hr-HR"/>
          </w:rPr>
          <w:t>Overbeek</w:t>
        </w:r>
        <w:proofErr w:type="spellEnd"/>
      </w:hyperlink>
      <w:r>
        <w:rPr>
          <w:rFonts w:ascii="Times New Roman" w:hAnsi="Times New Roman" w:cs="Times New Roman"/>
          <w:lang w:val="en-GB" w:eastAsia="hr-HR"/>
        </w:rPr>
        <w:t xml:space="preserve"> </w:t>
      </w:r>
      <w:r>
        <w:rPr>
          <w:rFonts w:ascii="Times New Roman" w:hAnsi="Times New Roman" w:cs="Times New Roman"/>
          <w:lang w:val="en-GB" w:eastAsia="hr-HR"/>
        </w:rPr>
        <w:t>PA,</w:t>
      </w:r>
      <w:hyperlink r:id="rId8">
        <w:r>
          <w:rPr>
            <w:rFonts w:ascii="Times New Roman" w:hAnsi="Times New Roman" w:cs="Times New Roman"/>
            <w:lang w:val="en-GB" w:eastAsia="hr-HR"/>
          </w:rPr>
          <w:t xml:space="preserve"> Zheng</w:t>
        </w:r>
      </w:hyperlink>
      <w:r>
        <w:rPr>
          <w:rFonts w:ascii="Times New Roman" w:hAnsi="Times New Roman" w:cs="Times New Roman"/>
          <w:lang w:val="en-GB" w:eastAsia="hr-HR"/>
        </w:rPr>
        <w:t xml:space="preserve"> H. </w:t>
      </w:r>
      <w:r>
        <w:rPr>
          <w:rFonts w:ascii="Times New Roman" w:hAnsi="Times New Roman" w:cs="Times New Roman"/>
          <w:bCs/>
          <w:lang w:val="en-GB" w:eastAsia="hr-HR"/>
        </w:rPr>
        <w:t xml:space="preserve">Transposon mutagenesis with coat </w:t>
      </w:r>
      <w:proofErr w:type="spellStart"/>
      <w:r>
        <w:rPr>
          <w:rFonts w:ascii="Times New Roman" w:hAnsi="Times New Roman" w:cs="Times New Roman"/>
          <w:bCs/>
          <w:lang w:val="en-GB" w:eastAsia="hr-HR"/>
        </w:rPr>
        <w:t>color</w:t>
      </w:r>
      <w:proofErr w:type="spellEnd"/>
      <w:r>
        <w:rPr>
          <w:rFonts w:ascii="Times New Roman" w:hAnsi="Times New Roman" w:cs="Times New Roman"/>
          <w:bCs/>
          <w:lang w:val="en-GB" w:eastAsia="hr-HR"/>
        </w:rPr>
        <w:t xml:space="preserve"> genotyping identifies an essential role for Skor2 in sonic hedgehog </w:t>
      </w:r>
      <w:proofErr w:type="spellStart"/>
      <w:r>
        <w:rPr>
          <w:rFonts w:ascii="Times New Roman" w:hAnsi="Times New Roman" w:cs="Times New Roman"/>
          <w:bCs/>
          <w:lang w:val="en-GB" w:eastAsia="hr-HR"/>
        </w:rPr>
        <w:t>signaling</w:t>
      </w:r>
      <w:proofErr w:type="spellEnd"/>
      <w:r>
        <w:rPr>
          <w:rFonts w:ascii="Times New Roman" w:hAnsi="Times New Roman" w:cs="Times New Roman"/>
          <w:bCs/>
          <w:lang w:val="en-GB" w:eastAsia="hr-HR"/>
        </w:rPr>
        <w:t xml:space="preserve"> and cerebel</w:t>
      </w:r>
      <w:r>
        <w:rPr>
          <w:rFonts w:ascii="Times New Roman" w:hAnsi="Times New Roman" w:cs="Times New Roman"/>
          <w:bCs/>
          <w:lang w:val="en-GB" w:eastAsia="hr-HR"/>
        </w:rPr>
        <w:t xml:space="preserve">lum development. </w:t>
      </w:r>
      <w:hyperlink r:id="rId9">
        <w:r>
          <w:rPr>
            <w:rFonts w:ascii="Times New Roman" w:hAnsi="Times New Roman" w:cs="Times New Roman"/>
            <w:lang w:val="en-GB" w:eastAsia="hr-HR"/>
          </w:rPr>
          <w:t>Development</w:t>
        </w:r>
      </w:hyperlink>
      <w:r>
        <w:rPr>
          <w:rFonts w:ascii="Times New Roman" w:hAnsi="Times New Roman" w:cs="Times New Roman"/>
          <w:lang w:val="en-GB" w:eastAsia="hr-HR"/>
        </w:rPr>
        <w:t xml:space="preserve">. 2011 Oct; 138(20):4487–4497. </w:t>
      </w:r>
    </w:p>
    <w:p w14:paraId="74EF7EE7" w14:textId="77777777" w:rsidR="00494139" w:rsidRDefault="00494139">
      <w:pPr>
        <w:rPr>
          <w:rFonts w:ascii="Times New Roman" w:hAnsi="Times New Roman" w:cs="Times New Roman"/>
          <w:lang w:val="en-GB"/>
        </w:rPr>
      </w:pPr>
    </w:p>
    <w:p w14:paraId="22E4694B" w14:textId="77777777" w:rsidR="00494139" w:rsidRDefault="00252F79">
      <w:r>
        <w:rPr>
          <w:rFonts w:ascii="Times New Roman" w:hAnsi="Times New Roman" w:cs="Times New Roman"/>
          <w:bCs/>
          <w:lang w:val="en-GB" w:eastAsia="hr-HR"/>
        </w:rPr>
        <w:t xml:space="preserve">[3] </w:t>
      </w:r>
      <w:r>
        <w:t xml:space="preserve">Fine, Edward J., Catalina C. </w:t>
      </w:r>
      <w:proofErr w:type="spellStart"/>
      <w:r>
        <w:t>Ionita</w:t>
      </w:r>
      <w:proofErr w:type="spellEnd"/>
      <w:r>
        <w:t xml:space="preserve">, and Linda </w:t>
      </w:r>
      <w:proofErr w:type="spellStart"/>
      <w:r>
        <w:t>Lohr</w:t>
      </w:r>
      <w:proofErr w:type="spellEnd"/>
      <w:r>
        <w:t xml:space="preserve">. "The history of the development of the cerebellar examination." </w:t>
      </w:r>
      <w:r>
        <w:rPr>
          <w:i/>
        </w:rPr>
        <w:t>S</w:t>
      </w:r>
      <w:r>
        <w:rPr>
          <w:i/>
        </w:rPr>
        <w:t>eminars in neurology</w:t>
      </w:r>
      <w:r>
        <w:t xml:space="preserve">. Vol. 22. No. 04. Copyright© 2002 by </w:t>
      </w:r>
      <w:proofErr w:type="spellStart"/>
      <w:r>
        <w:t>Thieme</w:t>
      </w:r>
      <w:proofErr w:type="spellEnd"/>
      <w:r>
        <w:t xml:space="preserve"> Medical Publishers, Inc., 333 Seventh Avenue, New York, NY 10001, USA. </w:t>
      </w:r>
      <w:proofErr w:type="gramStart"/>
      <w:r>
        <w:t>Tel.:+</w:t>
      </w:r>
      <w:proofErr w:type="gramEnd"/>
      <w:r>
        <w:t xml:space="preserve"> 1 (212) 584-4662, 2002</w:t>
      </w:r>
    </w:p>
    <w:p w14:paraId="2FA82203" w14:textId="77777777" w:rsidR="00494139" w:rsidRDefault="00494139"/>
    <w:p w14:paraId="602D96AB" w14:textId="77777777" w:rsidR="00494139" w:rsidRDefault="00252F79">
      <w:r>
        <w:t xml:space="preserve">[4] </w:t>
      </w:r>
      <w:r>
        <w:rPr>
          <w:rFonts w:ascii="Times New Roman" w:hAnsi="Times New Roman" w:cs="Times New Roman"/>
          <w:lang w:val="en-GB"/>
        </w:rPr>
        <w:t xml:space="preserve">Valence S, Cochet E, </w:t>
      </w:r>
      <w:proofErr w:type="spellStart"/>
      <w:r>
        <w:rPr>
          <w:rFonts w:ascii="Times New Roman" w:hAnsi="Times New Roman" w:cs="Times New Roman"/>
          <w:lang w:val="en-GB"/>
        </w:rPr>
        <w:t>Burglen</w:t>
      </w:r>
      <w:proofErr w:type="spellEnd"/>
      <w:r>
        <w:rPr>
          <w:rFonts w:ascii="Times New Roman" w:hAnsi="Times New Roman" w:cs="Times New Roman"/>
          <w:lang w:val="en-GB"/>
        </w:rPr>
        <w:t xml:space="preserve"> L. Exome sequencing in congenital ataxia identifies two new candidate genes and highlights a pathophysiological link between some congenital ataxias and early infantile epileptic encephalopathies. </w:t>
      </w:r>
      <w:hyperlink r:id="rId10">
        <w:r>
          <w:rPr>
            <w:rStyle w:val="Hyperlink"/>
            <w:rFonts w:ascii="Times New Roman" w:hAnsi="Times New Roman" w:cs="Times New Roman"/>
            <w:iCs/>
            <w:color w:val="auto"/>
            <w:u w:val="none"/>
            <w:lang w:val="en-GB"/>
          </w:rPr>
          <w:t>Genetics in Medicine</w:t>
        </w:r>
      </w:hyperlink>
      <w:r>
        <w:rPr>
          <w:rFonts w:ascii="Times New Roman" w:hAnsi="Times New Roman" w:cs="Times New Roman"/>
          <w:lang w:val="en-GB"/>
        </w:rPr>
        <w:t>. 2019; 21:553–563</w:t>
      </w:r>
    </w:p>
    <w:p w14:paraId="4FFA0632" w14:textId="77777777" w:rsidR="00494139" w:rsidRDefault="00494139">
      <w:pPr>
        <w:rPr>
          <w:rFonts w:ascii="Times New Roman" w:hAnsi="Times New Roman" w:cs="Times New Roman"/>
          <w:lang w:val="en-GB"/>
        </w:rPr>
      </w:pPr>
    </w:p>
    <w:p w14:paraId="45CC9178" w14:textId="77777777" w:rsidR="00494139" w:rsidRDefault="00252F79">
      <w:r>
        <w:rPr>
          <w:rFonts w:ascii="Times New Roman" w:hAnsi="Times New Roman" w:cs="Times New Roman"/>
          <w:lang w:val="en-GB"/>
        </w:rPr>
        <w:t xml:space="preserve">[5] Wilson, Jeffrey J., et al. "Crystal structure of the dachshund homology domain of human SKI." </w:t>
      </w:r>
      <w:r>
        <w:rPr>
          <w:rFonts w:ascii="Times New Roman" w:hAnsi="Times New Roman" w:cs="Times New Roman"/>
          <w:i/>
          <w:lang w:val="en-GB"/>
        </w:rPr>
        <w:t>Structure</w:t>
      </w:r>
      <w:r>
        <w:rPr>
          <w:rFonts w:ascii="Times New Roman" w:hAnsi="Times New Roman" w:cs="Times New Roman"/>
          <w:lang w:val="en-GB"/>
        </w:rPr>
        <w:t xml:space="preserve"> 12.5 (2004): 785-792.</w:t>
      </w:r>
    </w:p>
    <w:p w14:paraId="53F5723F" w14:textId="77777777" w:rsidR="00494139" w:rsidRDefault="00494139">
      <w:pPr>
        <w:rPr>
          <w:rFonts w:ascii="Times New Roman" w:hAnsi="Times New Roman" w:cs="Times New Roman"/>
          <w:lang w:val="en-GB"/>
        </w:rPr>
      </w:pPr>
    </w:p>
    <w:p w14:paraId="0A2CC9EF" w14:textId="77777777" w:rsidR="00494139" w:rsidRDefault="00252F79">
      <w:r>
        <w:rPr>
          <w:rFonts w:ascii="Times New Roman" w:hAnsi="Times New Roman" w:cs="Times New Roman"/>
          <w:lang w:val="en-GB"/>
        </w:rPr>
        <w:t>[6] Wu, Jia-Wei, et al. "Structural mechanism of Smad4 recognition by</w:t>
      </w:r>
      <w:r>
        <w:rPr>
          <w:rFonts w:ascii="Times New Roman" w:hAnsi="Times New Roman" w:cs="Times New Roman"/>
          <w:lang w:val="en-GB"/>
        </w:rPr>
        <w:t xml:space="preserve"> the nuclear oncoprotein Ski: insights on Ski-mediated repression of TGF-β </w:t>
      </w:r>
      <w:proofErr w:type="spellStart"/>
      <w:r>
        <w:rPr>
          <w:rFonts w:ascii="Times New Roman" w:hAnsi="Times New Roman" w:cs="Times New Roman"/>
          <w:lang w:val="en-GB"/>
        </w:rPr>
        <w:t>signaling</w:t>
      </w:r>
      <w:proofErr w:type="spellEnd"/>
      <w:r>
        <w:rPr>
          <w:rFonts w:ascii="Times New Roman" w:hAnsi="Times New Roman" w:cs="Times New Roman"/>
          <w:lang w:val="en-GB"/>
        </w:rPr>
        <w:t xml:space="preserve">." </w:t>
      </w:r>
      <w:r>
        <w:rPr>
          <w:rFonts w:ascii="Times New Roman" w:hAnsi="Times New Roman" w:cs="Times New Roman"/>
          <w:i/>
          <w:lang w:val="en-GB"/>
        </w:rPr>
        <w:t>Cell</w:t>
      </w:r>
      <w:r>
        <w:rPr>
          <w:rFonts w:ascii="Times New Roman" w:hAnsi="Times New Roman" w:cs="Times New Roman"/>
          <w:lang w:val="en-GB"/>
        </w:rPr>
        <w:t xml:space="preserve"> 111.3 (2002): 357-367.</w:t>
      </w:r>
    </w:p>
    <w:p w14:paraId="734B90A4" w14:textId="77777777" w:rsidR="00494139" w:rsidRDefault="00494139">
      <w:pPr>
        <w:rPr>
          <w:rFonts w:ascii="Times New Roman" w:hAnsi="Times New Roman" w:cs="Times New Roman"/>
          <w:lang w:val="en-GB"/>
        </w:rPr>
      </w:pPr>
    </w:p>
    <w:p w14:paraId="34F8D3F9" w14:textId="77777777" w:rsidR="00494139" w:rsidRDefault="00252F79">
      <w:pPr>
        <w:rPr>
          <w:rFonts w:ascii="Times New Roman" w:hAnsi="Times New Roman" w:cs="Times New Roman"/>
          <w:lang w:val="en-GB"/>
        </w:rPr>
      </w:pPr>
      <w:r>
        <w:rPr>
          <w:rFonts w:ascii="Times New Roman" w:hAnsi="Times New Roman" w:cs="Times New Roman"/>
          <w:lang w:val="en-GB"/>
        </w:rPr>
        <w:t>[</w:t>
      </w:r>
      <w:proofErr w:type="gramStart"/>
      <w:r>
        <w:rPr>
          <w:rFonts w:ascii="Times New Roman" w:hAnsi="Times New Roman" w:cs="Times New Roman"/>
          <w:lang w:val="en-GB"/>
        </w:rPr>
        <w:t>7]</w:t>
      </w:r>
      <w:proofErr w:type="spellStart"/>
      <w:r>
        <w:rPr>
          <w:rFonts w:ascii="Times New Roman" w:hAnsi="Times New Roman" w:cs="Times New Roman"/>
          <w:lang w:val="en-GB"/>
        </w:rPr>
        <w:t>Karczewski</w:t>
      </w:r>
      <w:proofErr w:type="spellEnd"/>
      <w:proofErr w:type="gramEnd"/>
      <w:r>
        <w:rPr>
          <w:rFonts w:ascii="Times New Roman" w:hAnsi="Times New Roman" w:cs="Times New Roman"/>
          <w:lang w:val="en-GB"/>
        </w:rPr>
        <w:t xml:space="preserve">, Konrad J., et al. "The mutational constraint spectrum quantified from variation in 141,456 humans." </w:t>
      </w:r>
      <w:r>
        <w:rPr>
          <w:rFonts w:ascii="Times New Roman" w:hAnsi="Times New Roman" w:cs="Times New Roman"/>
          <w:i/>
          <w:lang w:val="en-GB"/>
        </w:rPr>
        <w:t>Nature</w:t>
      </w:r>
      <w:r>
        <w:rPr>
          <w:rFonts w:ascii="Times New Roman" w:hAnsi="Times New Roman" w:cs="Times New Roman"/>
          <w:lang w:val="en-GB"/>
        </w:rPr>
        <w:t xml:space="preserve"> 581.7809 (2020): 4</w:t>
      </w:r>
      <w:r>
        <w:rPr>
          <w:rFonts w:ascii="Times New Roman" w:hAnsi="Times New Roman" w:cs="Times New Roman"/>
          <w:lang w:val="en-GB"/>
        </w:rPr>
        <w:t>34-443.</w:t>
      </w:r>
    </w:p>
    <w:p w14:paraId="48E8BC9E" w14:textId="77777777" w:rsidR="00494139" w:rsidRDefault="00494139">
      <w:pPr>
        <w:rPr>
          <w:rFonts w:ascii="Times New Roman" w:hAnsi="Times New Roman" w:cs="Times New Roman"/>
          <w:lang w:val="en-GB"/>
        </w:rPr>
      </w:pPr>
    </w:p>
    <w:p w14:paraId="2398C5FA" w14:textId="77777777" w:rsidR="00494139" w:rsidRDefault="00494139">
      <w:pPr>
        <w:rPr>
          <w:rFonts w:ascii="Times New Roman" w:hAnsi="Times New Roman" w:cs="Times New Roman"/>
          <w:lang w:val="en-GB"/>
        </w:rPr>
      </w:pPr>
    </w:p>
    <w:p w14:paraId="36EFD3B9" w14:textId="77777777" w:rsidR="00494139" w:rsidRDefault="00494139">
      <w:pPr>
        <w:rPr>
          <w:rFonts w:ascii="Times New Roman" w:hAnsi="Times New Roman" w:cs="Times New Roman"/>
          <w:lang w:val="en-GB"/>
        </w:rPr>
      </w:pPr>
    </w:p>
    <w:p w14:paraId="299A3A1F" w14:textId="77777777" w:rsidR="00494139" w:rsidRDefault="00494139">
      <w:pPr>
        <w:rPr>
          <w:rFonts w:ascii="Times New Roman" w:hAnsi="Times New Roman" w:cs="Times New Roman"/>
          <w:lang w:val="en-GB"/>
        </w:rPr>
      </w:pPr>
    </w:p>
    <w:p w14:paraId="1CB48FE8" w14:textId="77777777" w:rsidR="00494139" w:rsidRDefault="00494139">
      <w:pPr>
        <w:rPr>
          <w:rFonts w:ascii="Times New Roman" w:hAnsi="Times New Roman" w:cs="Times New Roman"/>
          <w:lang w:val="en-GB"/>
        </w:rPr>
      </w:pPr>
    </w:p>
    <w:p w14:paraId="5601662F" w14:textId="77777777" w:rsidR="00494139" w:rsidRDefault="00494139">
      <w:pPr>
        <w:rPr>
          <w:rFonts w:ascii="Times New Roman" w:hAnsi="Times New Roman" w:cs="Times New Roman"/>
          <w:lang w:val="en-GB"/>
        </w:rPr>
      </w:pPr>
    </w:p>
    <w:p w14:paraId="0EBA0E0A" w14:textId="77777777" w:rsidR="00494139" w:rsidRDefault="00494139">
      <w:pPr>
        <w:rPr>
          <w:rFonts w:ascii="Times New Roman" w:hAnsi="Times New Roman" w:cs="Times New Roman"/>
          <w:lang w:val="en-GB"/>
        </w:rPr>
      </w:pPr>
    </w:p>
    <w:p w14:paraId="12B95DDE" w14:textId="77777777" w:rsidR="00494139" w:rsidRDefault="00494139">
      <w:pPr>
        <w:rPr>
          <w:rFonts w:ascii="Times New Roman" w:hAnsi="Times New Roman" w:cs="Times New Roman"/>
          <w:lang w:val="en-GB"/>
        </w:rPr>
      </w:pPr>
    </w:p>
    <w:p w14:paraId="6C52C505" w14:textId="77777777" w:rsidR="00494139" w:rsidRDefault="00494139">
      <w:pPr>
        <w:rPr>
          <w:rFonts w:ascii="Times New Roman" w:hAnsi="Times New Roman" w:cs="Times New Roman"/>
          <w:lang w:val="en-GB"/>
        </w:rPr>
      </w:pPr>
    </w:p>
    <w:p w14:paraId="3E5D3393" w14:textId="0C42DDB4" w:rsidR="00494139" w:rsidRDefault="00252F79">
      <w:r>
        <w:rPr>
          <w:rFonts w:ascii="Times New Roman" w:hAnsi="Times New Roman" w:cs="Times New Roman"/>
          <w:lang w:val="en-GB"/>
        </w:rPr>
        <w:t xml:space="preserve">Figure 1: Domains and conservation on the SKOR2 sequence. More conserved regions are indicated by darker shades.  They most likely correspond to structurally ordered regions. For two of those regions the ordered protein structure has been </w:t>
      </w:r>
      <w:r>
        <w:rPr>
          <w:rFonts w:ascii="Times New Roman" w:hAnsi="Times New Roman" w:cs="Times New Roman"/>
          <w:lang w:val="en-GB"/>
        </w:rPr>
        <w:t xml:space="preserve">confirmed </w:t>
      </w:r>
      <w:proofErr w:type="spellStart"/>
      <w:r>
        <w:rPr>
          <w:rFonts w:ascii="Times New Roman" w:hAnsi="Times New Roman" w:cs="Times New Roman"/>
          <w:lang w:val="en-GB"/>
        </w:rPr>
        <w:t>crystallographically</w:t>
      </w:r>
      <w:proofErr w:type="spellEnd"/>
      <w:r>
        <w:rPr>
          <w:rFonts w:ascii="Times New Roman" w:hAnsi="Times New Roman" w:cs="Times New Roman"/>
          <w:lang w:val="en-GB"/>
        </w:rPr>
        <w:t xml:space="preserve"> [5,6]. Conversely, non-conserved regions commonly correspond to disordered regions on peptide </w:t>
      </w:r>
      <w:r>
        <w:rPr>
          <w:rFonts w:ascii="Times New Roman" w:hAnsi="Times New Roman" w:cs="Times New Roman"/>
          <w:lang w:val="en-GB"/>
        </w:rPr>
        <w:t>sequence that better tolerate mutation. The deletion from Patient 2 belongs to one such region.</w:t>
      </w:r>
    </w:p>
    <w:p w14:paraId="18905177" w14:textId="77777777" w:rsidR="00494139" w:rsidRDefault="00494139">
      <w:pPr>
        <w:rPr>
          <w:rFonts w:ascii="Times New Roman" w:hAnsi="Times New Roman" w:cs="Times New Roman"/>
          <w:lang w:val="en-GB"/>
        </w:rPr>
      </w:pPr>
    </w:p>
    <w:sectPr w:rsidR="00494139">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Noto Sans Devanagari">
    <w:altName w:val="Cambria"/>
    <w:panose1 w:val="020B0604020202020204"/>
    <w:charset w:val="00"/>
    <w:family w:val="roman"/>
    <w:notTrueType/>
    <w:pitch w:val="default"/>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650D7"/>
    <w:multiLevelType w:val="multilevel"/>
    <w:tmpl w:val="FAB0C36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497557B9"/>
    <w:multiLevelType w:val="multilevel"/>
    <w:tmpl w:val="3D100F22"/>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139"/>
    <w:rsid w:val="00252F79"/>
    <w:rsid w:val="00494139"/>
    <w:rsid w:val="00A10EA5"/>
    <w:rsid w:val="00F6527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4D06CCB"/>
  <w15:docId w15:val="{EB7BBD82-0844-F849-B6B8-E6EE97275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Noto Sans Devanagari"/>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Heading"/>
    <w:next w:val="BodyText"/>
    <w:uiPriority w:val="9"/>
    <w:qFormat/>
    <w:pPr>
      <w:numPr>
        <w:numId w:val="1"/>
      </w:numP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lang/>
    </w:rPr>
  </w:style>
  <w:style w:type="character" w:styleId="FollowedHyperlink">
    <w:name w:val="FollowedHyperlink"/>
    <w:basedOn w:val="DefaultParagraphFont"/>
    <w:rPr>
      <w:color w:val="954F72"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www.ncbi.nlm.nih.gov/pubmed/?term=Zheng%20H%5BAuthor%5D&amp;cauthor=true&amp;cauthor_uid=21937600" TargetMode="External"/><Relationship Id="rId3" Type="http://schemas.openxmlformats.org/officeDocument/2006/relationships/settings" Target="settings.xml"/><Relationship Id="rId7" Type="http://schemas.openxmlformats.org/officeDocument/2006/relationships/hyperlink" Target="https://www.ncbi.nlm.nih.gov/pubmed/?term=Overbeek%20PA%5BAuthor%5D&amp;cauthor=true&amp;cauthor_uid=2193760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pubmed/?term=Harrison%20W%5BAuthor%5D&amp;cauthor=true&amp;cauthor_uid=21937600" TargetMode="External"/><Relationship Id="rId11" Type="http://schemas.openxmlformats.org/officeDocument/2006/relationships/fontTable" Target="fontTable.xml"/><Relationship Id="rId5" Type="http://schemas.openxmlformats.org/officeDocument/2006/relationships/hyperlink" Target="https://www.ncbi.nlm.nih.gov/pubmed/?term=Wang%20B%5BAuthor%5D&amp;cauthor=true&amp;cauthor_uid=21937600" TargetMode="External"/><Relationship Id="rId10" Type="http://schemas.openxmlformats.org/officeDocument/2006/relationships/hyperlink" Target="https://www.nature.com/gim" TargetMode="External"/><Relationship Id="rId4" Type="http://schemas.openxmlformats.org/officeDocument/2006/relationships/webSettings" Target="webSettings.xml"/><Relationship Id="rId9" Type="http://schemas.openxmlformats.org/officeDocument/2006/relationships/hyperlink" Target="https://www.ncbi.nlm.nih.gov/pmc/articles/PMC31773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983</Words>
  <Characters>5609</Characters>
  <Application>Microsoft Office Word</Application>
  <DocSecurity>0</DocSecurity>
  <Lines>46</Lines>
  <Paragraphs>13</Paragraphs>
  <ScaleCrop>false</ScaleCrop>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Abu-El-Haija, Aya</dc:creator>
  <dc:description/>
  <cp:lastModifiedBy>Abu-El-Haija, Aya</cp:lastModifiedBy>
  <cp:revision>4</cp:revision>
  <dcterms:created xsi:type="dcterms:W3CDTF">2020-08-04T14:20:00Z</dcterms:created>
  <dcterms:modified xsi:type="dcterms:W3CDTF">2020-08-04T19:22:00Z</dcterms:modified>
  <dc:language>en-US</dc:language>
</cp:coreProperties>
</file>