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1A8A8A"/>
          <w:spacing w:val="200"/>
          <w:sz w:val="20"/>
          <w:szCs w:val="20"/>
        </w:rPr>
        <w:t xml:space="preserve">TRUST CENTER VISION</w:t>
      </w:r>
    </w:p>
    <w:p>
      <w:pPr>
        <w:spacing w:after="200"/>
      </w:pPr>
      <w:r>
        <w:rPr>
          <w:rFonts w:ascii="Arial" w:cs="Arial" w:eastAsia="Arial" w:hAnsi="Arial"/>
          <w:b/>
          <w:bCs/>
          <w:color w:val="1A1A2E"/>
          <w:sz w:val="48"/>
          <w:szCs w:val="48"/>
        </w:rPr>
        <w:t xml:space="preserve">Prototype Demo Guide</w:t>
      </w:r>
    </w:p>
    <w:p>
      <w:pPr>
        <w:pBdr>
          <w:bottom w:val="single" w:color="1A8A8A" w:sz="6" w:space="1"/>
        </w:pBdr>
        <w:spacing w:after="300"/>
      </w:pPr>
    </w:p>
    <w:p>
      <w:pPr>
        <w:spacing w:after="160"/>
      </w:pPr>
      <w:r>
        <w:rPr>
          <w:rFonts w:ascii="Arial" w:cs="Arial" w:eastAsia="Arial" w:hAnsi="Arial"/>
          <w:color w:val="666680"/>
          <w:sz w:val="22"/>
          <w:szCs w:val="22"/>
        </w:rPr>
        <w:t xml:space="preserve">TrustUs League  •  Sprint: April 1–3, 2026</w:t>
      </w:r>
    </w:p>
    <w:p>
      <w:pPr>
        <w:spacing w:after="160"/>
      </w:pPr>
      <w:r>
        <w:rPr>
          <w:rFonts w:ascii="Arial" w:cs="Arial" w:eastAsia="Arial" w:hAnsi="Arial"/>
          <w:color w:val="666680"/>
          <w:sz w:val="22"/>
          <w:szCs w:val="22"/>
        </w:rPr>
        <w:t xml:space="preserve">Prepared by Ivana Tso</w:t>
      </w:r>
    </w:p>
    <w:p>
      <w:pPr>
        <w:spacing w:after="400"/>
      </w:pPr>
    </w:p>
    <w:p>
      <w:pPr>
        <w:pStyle w:val="Heading2"/>
      </w:pPr>
      <w:r>
        <w:rPr>
          <w:rFonts w:ascii="Arial" w:cs="Arial" w:eastAsia="Arial" w:hAnsi="Arial"/>
        </w:rPr>
        <w:t xml:space="preserve">Project Introduction</w:t>
      </w:r>
    </w:p>
    <w:p>
      <w:pPr>
        <w:spacing w:after="160"/>
      </w:pPr>
      <w:r>
        <w:rPr>
          <w:rFonts w:ascii="Arial" w:cs="Arial" w:eastAsia="Arial" w:hAnsi="Arial"/>
          <w:color w:val="333333"/>
          <w:sz w:val="22"/>
          <w:szCs w:val="22"/>
        </w:rPr>
        <w:t xml:space="preserve">This prototype demonstrates Conveyor’s vision for a next-generation Trust Center — one where buyers can complete their entire security review without waiting on a vendor’s security team to respond. We call this metric the Touchless Rate: the percentage of security reviews completed without human support.</w:t>
      </w:r>
    </w:p>
    <w:p>
      <w:pPr>
        <w:spacing w:after="160"/>
      </w:pPr>
      <w:r>
        <w:rPr>
          <w:rFonts w:ascii="Arial" w:cs="Arial" w:eastAsia="Arial" w:hAnsi="Arial"/>
          <w:color w:val="333333"/>
          <w:sz w:val="22"/>
          <w:szCs w:val="22"/>
        </w:rPr>
        <w:t xml:space="preserve">Today’s Trust Centers are document libraries. Buyers land on a page, download a few PDFs, and then send a list of follow-up questions to the vendor — starting a back-and-forth that can take days or weeks. Our prototype reimagines this experience across three interconnected surfaces:</w:t>
      </w:r>
    </w:p>
    <w:p>
      <w:pPr>
        <w:pStyle w:val="ListParagraph"/>
        <w:numPr>
          <w:ilvl w:val="0"/>
          <w:numId w:val="2"/>
        </w:numPr>
        <w:spacing w:after="80"/>
      </w:pPr>
      <w:r>
        <w:rPr>
          <w:rFonts w:ascii="Arial" w:cs="Arial" w:eastAsia="Arial" w:hAnsi="Arial"/>
          <w:b/>
          <w:bCs/>
          <w:color w:val="333333"/>
          <w:sz w:val="22"/>
          <w:szCs w:val="22"/>
        </w:rPr>
        <w:t xml:space="preserve">A modern Trust Center homepage </w:t>
      </w:r>
      <w:r>
        <w:rPr>
          <w:rFonts w:ascii="Arial" w:cs="Arial" w:eastAsia="Arial" w:hAnsi="Arial"/>
          <w:color w:val="333333"/>
          <w:sz w:val="22"/>
          <w:szCs w:val="22"/>
        </w:rPr>
        <w:t xml:space="preserve">with tabbed navigation (Overview, Documents &amp; Knowledge, Updates), live search, product-line filtering, a GitHub-style activity heatmap, and a Finder-style file browser for 42+ security documents organized into folders.</w:t>
      </w:r>
    </w:p>
    <w:p>
      <w:pPr>
        <w:pStyle w:val="ListParagraph"/>
        <w:numPr>
          <w:ilvl w:val="0"/>
          <w:numId w:val="2"/>
        </w:numPr>
        <w:spacing w:after="80"/>
      </w:pPr>
      <w:r>
        <w:rPr>
          <w:rFonts w:ascii="Arial" w:cs="Arial" w:eastAsia="Arial" w:hAnsi="Arial"/>
          <w:b/>
          <w:bCs/>
          <w:color w:val="333333"/>
          <w:sz w:val="22"/>
          <w:szCs w:val="22"/>
        </w:rPr>
        <w:t xml:space="preserve">Coco, an AI security review agent, </w:t>
      </w:r>
      <w:r>
        <w:rPr>
          <w:rFonts w:ascii="Arial" w:cs="Arial" w:eastAsia="Arial" w:hAnsi="Arial"/>
          <w:color w:val="333333"/>
          <w:sz w:val="22"/>
          <w:szCs w:val="22"/>
        </w:rPr>
        <w:t xml:space="preserve">that guides security professionals through the entire review process — answering questions with cited sources pulled directly from Trust Center documents, auto-filling security questionnaires (86% completion in the demo), drafting gap request emails, and running cross-vendor comparisons via MCP connections. Buyers can also use Coco to quickly understand a vendor’s security story.</w:t>
      </w:r>
    </w:p>
    <w:p>
      <w:pPr>
        <w:pStyle w:val="ListParagraph"/>
        <w:numPr>
          <w:ilvl w:val="0"/>
          <w:numId w:val="2"/>
        </w:numPr>
        <w:spacing w:after="80"/>
      </w:pPr>
      <w:r>
        <w:rPr>
          <w:rFonts w:ascii="Arial" w:cs="Arial" w:eastAsia="Arial" w:hAnsi="Arial"/>
          <w:b/>
          <w:bCs/>
          <w:color w:val="333333"/>
          <w:sz w:val="22"/>
          <w:szCs w:val="22"/>
        </w:rPr>
        <w:t xml:space="preserve">A Trust Scorecard </w:t>
      </w:r>
      <w:r>
        <w:rPr>
          <w:rFonts w:ascii="Arial" w:cs="Arial" w:eastAsia="Arial" w:hAnsi="Arial"/>
          <w:color w:val="333333"/>
          <w:sz w:val="22"/>
          <w:szCs w:val="22"/>
        </w:rPr>
        <w:t xml:space="preserve">that gives both buyers and vendors a data-driven view of the Trust Center’s completeness — with an overall trust score (82/100), category breakdowns with radar charts comparing against network averages, framework coverage rates, and a community-driven content gap tracker where buyers can upvote missing documentation.</w:t>
      </w:r>
    </w:p>
    <w:p>
      <w:pPr>
        <w:spacing w:after="160"/>
      </w:pPr>
      <w:r>
        <w:rPr>
          <w:rFonts w:ascii="Arial" w:cs="Arial" w:eastAsia="Arial" w:hAnsi="Arial"/>
          <w:color w:val="333333"/>
          <w:sz w:val="22"/>
          <w:szCs w:val="22"/>
        </w:rPr>
        <w:t xml:space="preserve">The prototype is built as a single-page React app with two demo company themes (Arcline in teal, MediaCore in purple) to show how Conveyor’s Trust Center adapts to different brands. Everything runs locally and the full Coco agent demo is scripted to auto-advance — presenters just click through the prompts.</w:t>
      </w:r>
    </w:p>
    <w:r>
      <w:br w:type="page"/>
    </w:r>
    <w:p>
      <w:pPr>
        <w:pStyle w:val="Heading1"/>
      </w:pPr>
      <w:r>
        <w:rPr>
          <w:rFonts w:ascii="Arial" w:cs="Arial" w:eastAsia="Arial" w:hAnsi="Arial"/>
        </w:rPr>
        <w:t xml:space="preserve">Demo Walkthrough</w:t>
      </w:r>
    </w:p>
    <w:p>
      <w:pPr>
        <w:spacing w:after="160"/>
      </w:pPr>
      <w:r>
        <w:rPr>
          <w:rFonts w:ascii="Arial" w:cs="Arial" w:eastAsia="Arial" w:hAnsi="Arial"/>
          <w:color w:val="333333"/>
          <w:sz w:val="22"/>
          <w:szCs w:val="22"/>
        </w:rPr>
        <w:t xml:space="preserve">This guide walks through the prototype in the order designed to land best with leadership. Total demo time: 12–15 minutes. The two personas to keep in mind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8F8" w:val="clear"/>
            <w:tcMar>
              <w:top w:type="dxa" w:w="100"/>
              <w:left w:type="dxa" w:w="140"/>
              <w:bottom w:type="dxa" w:w="100"/>
              <w:right w:type="dxa" w:w="140"/>
            </w:tcMar>
          </w:tcPr>
          <w:p>
            <w:r>
              <w:rPr>
                <w:rFonts w:ascii="Arial" w:cs="Arial" w:eastAsia="Arial" w:hAnsi="Arial"/>
                <w:b/>
                <w:bCs/>
                <w:color w:val="1A8A8A"/>
                <w:sz w:val="22"/>
                <w:szCs w:val="22"/>
              </w:rPr>
              <w:t xml:space="preserve">Trust Center Visitor</w:t>
            </w:r>
          </w:p>
          <w:p>
            <w:pPr>
              <w:spacing w:before="60"/>
            </w:pPr>
            <w:r>
              <w:rPr>
                <w:rFonts w:ascii="Arial" w:cs="Arial" w:eastAsia="Arial" w:hAnsi="Arial"/>
                <w:color w:val="666680"/>
                <w:sz w:val="20"/>
                <w:szCs w:val="20"/>
              </w:rPr>
              <w:t xml:space="preserve">A security professional conducting a vendor review — filling out questionnaires, gathering compliance evidence, and tracking gaps. This is the primary user of Coco, the AI agent.</w:t>
            </w:r>
          </w:p>
        </w:tc>
        <w:tc>
          <w:tcPr>
            <w:tcW w:type="dxa" w:w="4680"/>
            <w:tcBorders>
              <w:top w:val="single" w:color="CCCCCC" w:sz="1"/>
              <w:left w:val="single" w:color="CCCCCC" w:sz="1"/>
              <w:bottom w:val="single" w:color="CCCCCC" w:sz="1"/>
              <w:right w:val="single" w:color="CCCCCC" w:sz="1"/>
            </w:tcBorders>
            <w:shd w:fill="F0F8F8" w:val="clear"/>
            <w:tcMar>
              <w:top w:type="dxa" w:w="100"/>
              <w:left w:type="dxa" w:w="140"/>
              <w:bottom w:type="dxa" w:w="100"/>
              <w:right w:type="dxa" w:w="140"/>
            </w:tcMar>
          </w:tcPr>
          <w:p>
            <w:r>
              <w:rPr>
                <w:rFonts w:ascii="Arial" w:cs="Arial" w:eastAsia="Arial" w:hAnsi="Arial"/>
                <w:b/>
                <w:bCs/>
                <w:color w:val="1A8A8A"/>
                <w:sz w:val="22"/>
                <w:szCs w:val="22"/>
              </w:rPr>
              <w:t xml:space="preserve">Trust Center Buyer</w:t>
            </w:r>
          </w:p>
          <w:p>
            <w:pPr>
              <w:spacing w:before="60"/>
            </w:pPr>
            <w:r>
              <w:rPr>
                <w:rFonts w:ascii="Arial" w:cs="Arial" w:eastAsia="Arial" w:hAnsi="Arial"/>
                <w:color w:val="666680"/>
                <w:sz w:val="20"/>
                <w:szCs w:val="20"/>
              </w:rPr>
              <w:t xml:space="preserve">A decision-maker or procurement lead evaluating a vendor’s security posture. Uses the Trust Center and Coco to quickly understand the company’s security story, grab key documents, and compare vendors.</w:t>
            </w:r>
          </w:p>
        </w:tc>
      </w:tr>
    </w:tbl>
    <w:p>
      <w:pPr>
        <w:spacing w:after="200"/>
      </w:pPr>
    </w:p>
    <w:p>
      <w:pPr>
        <w:pStyle w:val="Heading2"/>
      </w:pPr>
      <w:r>
        <w:rPr>
          <w:rFonts w:ascii="Arial" w:cs="Arial" w:eastAsia="Arial" w:hAnsi="Arial"/>
        </w:rPr>
        <w:t xml:space="preserve">Part 1: The Trust Center Homepage</w:t>
      </w:r>
    </w:p>
    <w:p>
      <w:pPr>
        <w:spacing w:after="160"/>
      </w:pPr>
      <w:r>
        <w:rPr>
          <w:rFonts w:ascii="Arial" w:cs="Arial" w:eastAsia="Arial" w:hAnsi="Arial"/>
          <w:b/>
          <w:bCs/>
          <w:i/>
          <w:iCs/>
          <w:color w:val="333333"/>
          <w:sz w:val="22"/>
          <w:szCs w:val="22"/>
        </w:rPr>
        <w:t xml:space="preserve">Persona focus: </w:t>
      </w:r>
      <w:r>
        <w:rPr>
          <w:rFonts w:ascii="Arial" w:cs="Arial" w:eastAsia="Arial" w:hAnsi="Arial"/>
          <w:i/>
          <w:iCs/>
          <w:color w:val="333333"/>
          <w:sz w:val="22"/>
          <w:szCs w:val="22"/>
        </w:rPr>
        <w:t xml:space="preserve">Trust Center Buyer — first impressions and self-serve exploration</w:t>
      </w:r>
    </w:p>
    <w:p>
      <w:pPr>
        <w:spacing w:after="160"/>
      </w:pPr>
      <w:r>
        <w:rPr>
          <w:rFonts w:ascii="Arial" w:cs="Arial" w:eastAsia="Arial" w:hAnsi="Arial"/>
          <w:color w:val="333333"/>
          <w:sz w:val="22"/>
          <w:szCs w:val="22"/>
        </w:rPr>
        <w:t xml:space="preserve">Start on the Trust Center homepage (localhost:5174/trust-center). This is where a buyer lands when a vendor shares their Trust Center link. The homepage is designed to build confidence and let them self-serve before ever engaging a human.</w:t>
      </w:r>
    </w:p>
    <w:p>
      <w:pPr>
        <w:spacing w:after="80"/>
      </w:pPr>
    </w:p>
    <w:p>
      <w:pPr>
        <w:spacing w:after="80" w:before="80"/>
      </w:pPr>
      <w:r>
        <w:rPr>
          <w:rFonts w:ascii="Arial" w:cs="Arial" w:eastAsia="Arial" w:hAnsi="Arial"/>
          <w:b/>
          <w:bCs/>
          <w:color w:val="1A8A8A"/>
          <w:sz w:val="18"/>
          <w:szCs w:val="18"/>
        </w:rPr>
        <w:t xml:space="preserve">WHAT TO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Overview Tab — First Impressions</w:t>
            </w:r>
          </w:p>
          <w:p>
            <w:pPr>
              <w:spacing w:before="60"/>
            </w:pPr>
            <w:r>
              <w:rPr>
                <w:rFonts w:ascii="Arial" w:cs="Arial" w:eastAsia="Arial" w:hAnsi="Arial"/>
                <w:color w:val="666680"/>
                <w:sz w:val="20"/>
                <w:szCs w:val="20"/>
              </w:rPr>
              <w:t xml:space="preserve">The landing view. Scroll through the hero card, activity heatmap, certifications, performance metrics, and subprocessors.</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Point out the hero card with company branding, stats (42 Documents, 128 FAQs, 6 Certifications), and quick links.</w:t>
      </w:r>
    </w:p>
    <w:p>
      <w:pPr>
        <w:pStyle w:val="ListParagraph"/>
        <w:numPr>
          <w:ilvl w:val="0"/>
          <w:numId w:val="2"/>
        </w:numPr>
        <w:spacing w:after="80"/>
      </w:pPr>
      <w:r>
        <w:rPr>
          <w:rFonts w:ascii="Arial" w:cs="Arial" w:eastAsia="Arial" w:hAnsi="Arial"/>
          <w:color w:val="333333"/>
          <w:sz w:val="22"/>
          <w:szCs w:val="22"/>
        </w:rPr>
        <w:t xml:space="preserve">Highlight the GitHub-style activity heatmap — this immediately signals to visitors that the Trust Center is actively maintained, not stale.</w:t>
      </w:r>
    </w:p>
    <w:p>
      <w:pPr>
        <w:pStyle w:val="ListParagraph"/>
        <w:numPr>
          <w:ilvl w:val="0"/>
          <w:numId w:val="2"/>
        </w:numPr>
        <w:spacing w:after="80"/>
      </w:pPr>
      <w:r>
        <w:rPr>
          <w:rFonts w:ascii="Arial" w:cs="Arial" w:eastAsia="Arial" w:hAnsi="Arial"/>
          <w:color w:val="333333"/>
          <w:sz w:val="22"/>
          <w:szCs w:val="22"/>
        </w:rPr>
        <w:t xml:space="preserve">Scroll to the performance section: 1.8hr response time, 96% content accuracy, 2,847 questions answered. These build buyer confidence before they even start their review.</w:t>
      </w:r>
    </w:p>
    <w:p>
      <w:pPr>
        <w:pStyle w:val="ListParagraph"/>
        <w:numPr>
          <w:ilvl w:val="0"/>
          <w:numId w:val="2"/>
        </w:numPr>
        <w:spacing w:after="80"/>
      </w:pPr>
      <w:r>
        <w:rPr>
          <w:rFonts w:ascii="Arial" w:cs="Arial" w:eastAsia="Arial" w:hAnsi="Arial"/>
          <w:color w:val="333333"/>
          <w:sz w:val="22"/>
          <w:szCs w:val="22"/>
        </w:rPr>
        <w:t xml:space="preserve">Show subprocessors with real logos (AWS, Datadog, Snowflake, Stripe) and processing locations.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Search &amp; Product Filter</w:t>
            </w:r>
          </w:p>
          <w:p>
            <w:pPr>
              <w:spacing w:before="60"/>
            </w:pPr>
            <w:r>
              <w:rPr>
                <w:rFonts w:ascii="Arial" w:cs="Arial" w:eastAsia="Arial" w:hAnsi="Arial"/>
                <w:color w:val="666680"/>
                <w:sz w:val="20"/>
                <w:szCs w:val="20"/>
              </w:rPr>
              <w:t xml:space="preserve">Click into the search bar (or press ⌘K). Type a query like “encryption” to show real-time results.</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The two-panel search results show both Trust Center Sections (left) and matching Documents with type badges (right).</w:t>
      </w:r>
    </w:p>
    <w:p>
      <w:pPr>
        <w:pStyle w:val="ListParagraph"/>
        <w:numPr>
          <w:ilvl w:val="0"/>
          <w:numId w:val="2"/>
        </w:numPr>
        <w:spacing w:after="80"/>
      </w:pPr>
      <w:r>
        <w:rPr>
          <w:rFonts w:ascii="Arial" w:cs="Arial" w:eastAsia="Arial" w:hAnsi="Arial"/>
          <w:color w:val="333333"/>
          <w:sz w:val="22"/>
          <w:szCs w:val="22"/>
        </w:rPr>
        <w:t xml:space="preserve">Point out the “Ask AI Agent” bar at the bottom — this bridges visitors directly to Coco if search isn’t enough.</w:t>
      </w:r>
    </w:p>
    <w:p>
      <w:pPr>
        <w:pStyle w:val="ListParagraph"/>
        <w:numPr>
          <w:ilvl w:val="0"/>
          <w:numId w:val="2"/>
        </w:numPr>
        <w:spacing w:after="80"/>
      </w:pPr>
      <w:r>
        <w:rPr>
          <w:rFonts w:ascii="Arial" w:cs="Arial" w:eastAsia="Arial" w:hAnsi="Arial"/>
          <w:color w:val="333333"/>
          <w:sz w:val="22"/>
          <w:szCs w:val="22"/>
        </w:rPr>
        <w:t xml:space="preserve">Show the product-line filter dropdown (All Products → check/uncheck individual products). This is relevant for multi-product vendors.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Documents &amp; Knowledge Tab</w:t>
            </w:r>
          </w:p>
          <w:p>
            <w:pPr>
              <w:spacing w:before="60"/>
            </w:pPr>
            <w:r>
              <w:rPr>
                <w:rFonts w:ascii="Arial" w:cs="Arial" w:eastAsia="Arial" w:hAnsi="Arial"/>
                <w:color w:val="666680"/>
                <w:sz w:val="20"/>
                <w:szCs w:val="20"/>
              </w:rPr>
              <w:t xml:space="preserve">Switch to the Documents &amp; Knowledge tab. Show the side-by-side layout.</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Left column: Document Engagement shows the top 8 most-viewed documents with view counts. This helps buyers see what others are looking at.</w:t>
      </w:r>
    </w:p>
    <w:p>
      <w:pPr>
        <w:pStyle w:val="ListParagraph"/>
        <w:numPr>
          <w:ilvl w:val="0"/>
          <w:numId w:val="2"/>
        </w:numPr>
        <w:spacing w:after="80"/>
      </w:pPr>
      <w:r>
        <w:rPr>
          <w:rFonts w:ascii="Arial" w:cs="Arial" w:eastAsia="Arial" w:hAnsi="Arial"/>
          <w:color w:val="333333"/>
          <w:sz w:val="22"/>
          <w:szCs w:val="22"/>
        </w:rPr>
        <w:t xml:space="preserve">Right column: Knowledge Base with FAQ accordion. Open a few questions to show cited answers with “+ Quote” buttons.</w:t>
      </w:r>
    </w:p>
    <w:p>
      <w:pPr>
        <w:pStyle w:val="ListParagraph"/>
        <w:numPr>
          <w:ilvl w:val="0"/>
          <w:numId w:val="2"/>
        </w:numPr>
        <w:spacing w:after="80"/>
      </w:pPr>
      <w:r>
        <w:rPr>
          <w:rFonts w:ascii="Arial" w:cs="Arial" w:eastAsia="Arial" w:hAnsi="Arial"/>
          <w:color w:val="333333"/>
          <w:sz w:val="22"/>
          <w:szCs w:val="22"/>
        </w:rPr>
        <w:t xml:space="preserve">Scroll to All Content — the Finder-style file browser. Toggle between the three views: Grid (icons), List, and Columns.</w:t>
      </w:r>
    </w:p>
    <w:p>
      <w:pPr>
        <w:pStyle w:val="ListParagraph"/>
        <w:numPr>
          <w:ilvl w:val="0"/>
          <w:numId w:val="2"/>
        </w:numPr>
        <w:spacing w:after="80"/>
      </w:pPr>
      <w:r>
        <w:rPr>
          <w:rFonts w:ascii="Arial" w:cs="Arial" w:eastAsia="Arial" w:hAnsi="Arial"/>
          <w:color w:val="333333"/>
          <w:sz w:val="22"/>
          <w:szCs w:val="22"/>
        </w:rPr>
        <w:t xml:space="preserve">Click into a folder (e.g., “Compliance Reports”) to navigate in. Show the breadcrumb navigation back out. This is 42 documents organized across 5 folders plus standalone files.</w:t>
      </w:r>
    </w:p>
    <w:p>
      <w:pPr>
        <w:pStyle w:val="ListParagraph"/>
        <w:numPr>
          <w:ilvl w:val="0"/>
          <w:numId w:val="2"/>
        </w:numPr>
        <w:spacing w:after="80"/>
      </w:pPr>
      <w:r>
        <w:rPr>
          <w:rFonts w:ascii="Arial" w:cs="Arial" w:eastAsia="Arial" w:hAnsi="Arial"/>
          <w:color w:val="333333"/>
          <w:sz w:val="22"/>
          <w:szCs w:val="22"/>
        </w:rPr>
        <w:t xml:space="preserve">Switch to the Columns view to show the Mac Finder-style column navigation — clicking a folder reveals its contents in a new column to the right.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Updates Tab</w:t>
            </w:r>
          </w:p>
          <w:p>
            <w:pPr>
              <w:spacing w:before="60"/>
            </w:pPr>
            <w:r>
              <w:rPr>
                <w:rFonts w:ascii="Arial" w:cs="Arial" w:eastAsia="Arial" w:hAnsi="Arial"/>
                <w:color w:val="666680"/>
                <w:sz w:val="20"/>
                <w:szCs w:val="20"/>
              </w:rPr>
              <w:t xml:space="preserve">Switch to the Updates tab. Click on an update card to open the detail modal.</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Show the chronological feed with type indicators (New, Updated, Removed) — all teal-branded.</w:t>
      </w:r>
    </w:p>
    <w:p>
      <w:pPr>
        <w:pStyle w:val="ListParagraph"/>
        <w:numPr>
          <w:ilvl w:val="0"/>
          <w:numId w:val="2"/>
        </w:numPr>
        <w:spacing w:after="80"/>
      </w:pPr>
      <w:r>
        <w:rPr>
          <w:rFonts w:ascii="Arial" w:cs="Arial" w:eastAsia="Arial" w:hAnsi="Arial"/>
          <w:color w:val="333333"/>
          <w:sz w:val="22"/>
          <w:szCs w:val="22"/>
        </w:rPr>
        <w:t xml:space="preserve">Click an update card to open the modal with full details. This is how buyers track what’s changed in the Trust Center over time.</w:t>
      </w:r>
    </w:p>
    <w:p>
      <w:pPr>
        <w:pStyle w:val="ListParagraph"/>
        <w:numPr>
          <w:ilvl w:val="0"/>
          <w:numId w:val="2"/>
        </w:numPr>
        <w:spacing w:after="80"/>
      </w:pPr>
      <w:r>
        <w:rPr>
          <w:rFonts w:ascii="Arial" w:cs="Arial" w:eastAsia="Arial" w:hAnsi="Arial"/>
          <w:color w:val="333333"/>
          <w:sz w:val="22"/>
          <w:szCs w:val="22"/>
        </w:rPr>
        <w:t xml:space="preserve">Mention that buyers can subscribe to these updates — no more emailing vendors to ask “has anything changed?”</w:t>
      </w:r>
    </w:p>
    <w:r>
      <w:br w:type="page"/>
    </w:r>
    <w:p>
      <w:pPr>
        <w:pStyle w:val="Heading2"/>
      </w:pPr>
      <w:r>
        <w:rPr>
          <w:rFonts w:ascii="Arial" w:cs="Arial" w:eastAsia="Arial" w:hAnsi="Arial"/>
        </w:rPr>
        <w:t xml:space="preserve">Part 2: Coco AI Agent</w:t>
      </w:r>
    </w:p>
    <w:p>
      <w:pPr>
        <w:spacing w:after="160"/>
      </w:pPr>
      <w:r>
        <w:rPr>
          <w:rFonts w:ascii="Arial" w:cs="Arial" w:eastAsia="Arial" w:hAnsi="Arial"/>
          <w:b/>
          <w:bCs/>
          <w:i/>
          <w:iCs/>
          <w:color w:val="333333"/>
          <w:sz w:val="22"/>
          <w:szCs w:val="22"/>
        </w:rPr>
        <w:t xml:space="preserve">Persona focus: </w:t>
      </w:r>
      <w:r>
        <w:rPr>
          <w:rFonts w:ascii="Arial" w:cs="Arial" w:eastAsia="Arial" w:hAnsi="Arial"/>
          <w:i/>
          <w:iCs/>
          <w:color w:val="333333"/>
          <w:sz w:val="22"/>
          <w:szCs w:val="22"/>
        </w:rPr>
        <w:t xml:space="preserve">Trust Center Visitor — the security professional doing the actual review work</w:t>
      </w:r>
    </w:p>
    <w:p>
      <w:pPr>
        <w:spacing w:after="160"/>
      </w:pPr>
      <w:r>
        <w:rPr>
          <w:rFonts w:ascii="Arial" w:cs="Arial" w:eastAsia="Arial" w:hAnsi="Arial"/>
          <w:color w:val="333333"/>
          <w:sz w:val="22"/>
          <w:szCs w:val="22"/>
        </w:rPr>
        <w:t xml:space="preserve">Navigate to the Coco agent view (click “Coco” in the left sidebar, or go to /trust-center/agent). This is the core of the Touchless Rate vision. The Visitor is the security analyst who needs to fill out a questionnaire, gather specific evidence, and close gaps — Coco handles the heavy lifting.</w:t>
      </w:r>
    </w:p>
    <w:p>
      <w:pPr>
        <w:spacing w:after="80"/>
      </w:pPr>
    </w:p>
    <w:p>
      <w:pPr>
        <w:spacing w:after="80" w:before="80"/>
      </w:pPr>
      <w:r>
        <w:rPr>
          <w:rFonts w:ascii="Arial" w:cs="Arial" w:eastAsia="Arial" w:hAnsi="Arial"/>
          <w:b/>
          <w:bCs/>
          <w:color w:val="1A8A8A"/>
          <w:sz w:val="18"/>
          <w:szCs w:val="18"/>
        </w:rPr>
        <w:t xml:space="preserve">THE SCRIPTED DEMO AUTO-ADVANCES — JUST CLICK THE PROMPT BUTTONS WHEN THEY APPEAR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Start a Security Review</w:t>
            </w:r>
          </w:p>
          <w:p>
            <w:pPr>
              <w:spacing w:before="60"/>
            </w:pPr>
            <w:r>
              <w:rPr>
                <w:rFonts w:ascii="Arial" w:cs="Arial" w:eastAsia="Arial" w:hAnsi="Arial"/>
                <w:color w:val="666680"/>
                <w:sz w:val="20"/>
                <w:szCs w:val="20"/>
              </w:rPr>
              <w:t xml:space="preserve">Click “Start review.” Coco asks about frameworks. Click “Send requirements” (SOC 2, ISO 27001, data processing).</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Coco enters a thinking state with 4 animated steps (mapping SOC 2 requirements, cross-referencing ISO 27001, etc.).</w:t>
      </w:r>
    </w:p>
    <w:p>
      <w:pPr>
        <w:pStyle w:val="ListParagraph"/>
        <w:numPr>
          <w:ilvl w:val="0"/>
          <w:numId w:val="2"/>
        </w:numPr>
        <w:spacing w:after="80"/>
      </w:pPr>
      <w:r>
        <w:rPr>
          <w:rFonts w:ascii="Arial" w:cs="Arial" w:eastAsia="Arial" w:hAnsi="Arial"/>
          <w:color w:val="333333"/>
          <w:sz w:val="22"/>
          <w:szCs w:val="22"/>
        </w:rPr>
        <w:t xml:space="preserve">Watch the right sidebar — the To-Do panel populates with 8 review items one by one. This is the review checklist Coco builds for the buyer.</w:t>
      </w:r>
    </w:p>
    <w:p>
      <w:pPr>
        <w:pStyle w:val="ListParagraph"/>
        <w:numPr>
          <w:ilvl w:val="0"/>
          <w:numId w:val="2"/>
        </w:numPr>
        <w:spacing w:after="80"/>
      </w:pPr>
      <w:r>
        <w:rPr>
          <w:rFonts w:ascii="Arial" w:cs="Arial" w:eastAsia="Arial" w:hAnsi="Arial"/>
          <w:color w:val="333333"/>
          <w:sz w:val="22"/>
          <w:szCs w:val="22"/>
        </w:rPr>
        <w:t xml:space="preserve">Coco confirms the checklist and explains the workflow: “I’ll check items off as we go.”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Document Retrieval with Source Citations</w:t>
            </w:r>
          </w:p>
          <w:p>
            <w:pPr>
              <w:spacing w:before="60"/>
            </w:pPr>
            <w:r>
              <w:rPr>
                <w:rFonts w:ascii="Arial" w:cs="Arial" w:eastAsia="Arial" w:hAnsi="Arial"/>
                <w:color w:val="666680"/>
                <w:sz w:val="20"/>
                <w:szCs w:val="20"/>
              </w:rPr>
              <w:t xml:space="preserve">Coco pulls 6 relevant documents with “Add” buttons. Then click “Ask about encryption.”</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Coco answers with inline numbered citations [1] [2] [3] — each expandable to show the exact document, page number, section, and excerpt.</w:t>
      </w:r>
    </w:p>
    <w:p>
      <w:pPr>
        <w:pStyle w:val="ListParagraph"/>
        <w:numPr>
          <w:ilvl w:val="0"/>
          <w:numId w:val="2"/>
        </w:numPr>
        <w:spacing w:after="80"/>
      </w:pPr>
      <w:r>
        <w:rPr>
          <w:rFonts w:ascii="Arial" w:cs="Arial" w:eastAsia="Arial" w:hAnsi="Arial"/>
          <w:color w:val="333333"/>
          <w:sz w:val="22"/>
          <w:szCs w:val="22"/>
        </w:rPr>
        <w:t xml:space="preserve">This is the key differentiator: every answer is traceable back to an actual document. No hallucination.</w:t>
      </w:r>
    </w:p>
    <w:p>
      <w:pPr>
        <w:pStyle w:val="ListParagraph"/>
        <w:numPr>
          <w:ilvl w:val="0"/>
          <w:numId w:val="2"/>
        </w:numPr>
        <w:spacing w:after="80"/>
      </w:pPr>
      <w:r>
        <w:rPr>
          <w:rFonts w:ascii="Arial" w:cs="Arial" w:eastAsia="Arial" w:hAnsi="Arial"/>
          <w:color w:val="333333"/>
          <w:sz w:val="22"/>
          <w:szCs w:val="22"/>
        </w:rPr>
        <w:t xml:space="preserve">After answering, Coco automatically checks off “Review encryption and key management” in the sidebar (1/8 complete).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Questionnaire Auto-Fill</w:t>
            </w:r>
          </w:p>
          <w:p>
            <w:pPr>
              <w:spacing w:before="60"/>
            </w:pPr>
            <w:r>
              <w:rPr>
                <w:rFonts w:ascii="Arial" w:cs="Arial" w:eastAsia="Arial" w:hAnsi="Arial"/>
                <w:color w:val="666680"/>
                <w:sz w:val="20"/>
                <w:szCs w:val="20"/>
              </w:rPr>
              <w:t xml:space="preserve">Click “Upload questionnaire” (simulates uploading a CSA CAIQ spreadsheet).</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Coco parses the spreadsheet (4 thinking steps), then begins auto-filling across 17 domains.</w:t>
      </w:r>
    </w:p>
    <w:p>
      <w:pPr>
        <w:pStyle w:val="ListParagraph"/>
        <w:numPr>
          <w:ilvl w:val="0"/>
          <w:numId w:val="2"/>
        </w:numPr>
        <w:spacing w:after="80"/>
      </w:pPr>
      <w:r>
        <w:rPr>
          <w:rFonts w:ascii="Arial" w:cs="Arial" w:eastAsia="Arial" w:hAnsi="Arial"/>
          <w:color w:val="333333"/>
          <w:sz w:val="22"/>
          <w:szCs w:val="22"/>
        </w:rPr>
        <w:t xml:space="preserve">The sidebar switches to show Coco’s Tasks panel with a live progress indicator and 10 auto-fill tasks running.</w:t>
      </w:r>
    </w:p>
    <w:p>
      <w:pPr>
        <w:pStyle w:val="ListParagraph"/>
        <w:numPr>
          <w:ilvl w:val="0"/>
          <w:numId w:val="2"/>
        </w:numPr>
        <w:spacing w:after="80"/>
      </w:pPr>
      <w:r>
        <w:rPr>
          <w:rFonts w:ascii="Arial" w:cs="Arial" w:eastAsia="Arial" w:hAnsi="Arial"/>
          <w:color w:val="333333"/>
          <w:sz w:val="22"/>
          <w:szCs w:val="22"/>
        </w:rPr>
        <w:t xml:space="preserve">Completion card: 89 of 104 questions answered (86%), 72 high confidence, 14 needs review, 3 gaps.</w:t>
      </w:r>
    </w:p>
    <w:p>
      <w:pPr>
        <w:pStyle w:val="ListParagraph"/>
        <w:numPr>
          <w:ilvl w:val="0"/>
          <w:numId w:val="2"/>
        </w:numPr>
        <w:spacing w:after="80"/>
      </w:pPr>
      <w:r>
        <w:rPr>
          <w:rFonts w:ascii="Arial" w:cs="Arial" w:eastAsia="Arial" w:hAnsi="Arial"/>
          <w:b/>
          <w:bCs/>
          <w:color w:val="333333"/>
          <w:sz w:val="22"/>
          <w:szCs w:val="22"/>
        </w:rPr>
        <w:t xml:space="preserve">Key talking point: </w:t>
      </w:r>
      <w:r>
        <w:rPr>
          <w:rFonts w:ascii="Arial" w:cs="Arial" w:eastAsia="Arial" w:hAnsi="Arial"/>
          <w:color w:val="333333"/>
          <w:sz w:val="22"/>
          <w:szCs w:val="22"/>
        </w:rPr>
        <w:t xml:space="preserve">This is the Touchless Rate in action. 86% of the questionnaire was filled without any vendor involvement.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Gap Draft Email</w:t>
            </w:r>
          </w:p>
          <w:p>
            <w:pPr>
              <w:spacing w:before="60"/>
            </w:pPr>
            <w:r>
              <w:rPr>
                <w:rFonts w:ascii="Arial" w:cs="Arial" w:eastAsia="Arial" w:hAnsi="Arial"/>
                <w:color w:val="666680"/>
                <w:sz w:val="20"/>
                <w:szCs w:val="20"/>
              </w:rPr>
              <w:t xml:space="preserve">Click “Download questionnaire.” Coco surfaces the 3 unanswered questions and drafts an email to the vendor.</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The draft email shows specific gap items (CEK-03, CEK-08, DSP-17) with professional language.</w:t>
      </w:r>
    </w:p>
    <w:p>
      <w:pPr>
        <w:pStyle w:val="ListParagraph"/>
        <w:numPr>
          <w:ilvl w:val="0"/>
          <w:numId w:val="2"/>
        </w:numPr>
        <w:spacing w:after="80"/>
      </w:pPr>
      <w:r>
        <w:rPr>
          <w:rFonts w:ascii="Arial" w:cs="Arial" w:eastAsia="Arial" w:hAnsi="Arial"/>
          <w:color w:val="333333"/>
          <w:sz w:val="22"/>
          <w:szCs w:val="22"/>
        </w:rPr>
        <w:t xml:space="preserve">Click “Send draft” — Coco confirms delivery and then suggests a cross-vendor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MCP Cross-Vendor Comparison</w:t>
            </w:r>
          </w:p>
          <w:p>
            <w:pPr>
              <w:spacing w:before="60"/>
            </w:pPr>
            <w:r>
              <w:rPr>
                <w:rFonts w:ascii="Arial" w:cs="Arial" w:eastAsia="Arial" w:hAnsi="Arial"/>
                <w:color w:val="666680"/>
                <w:sz w:val="20"/>
                <w:szCs w:val="20"/>
              </w:rPr>
              <w:t xml:space="preserve">Coco suggests comparing incident response across vendors. Click to start the comparison.</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Note the MCP badge: “Connected via MCP to 3 Trust Centers” — this shows the interoperability vision.</w:t>
      </w:r>
    </w:p>
    <w:p>
      <w:pPr>
        <w:pStyle w:val="ListParagraph"/>
        <w:numPr>
          <w:ilvl w:val="0"/>
          <w:numId w:val="2"/>
        </w:numPr>
        <w:spacing w:after="80"/>
      </w:pPr>
      <w:r>
        <w:rPr>
          <w:rFonts w:ascii="Arial" w:cs="Arial" w:eastAsia="Arial" w:hAnsi="Arial"/>
          <w:color w:val="333333"/>
          <w:sz w:val="22"/>
          <w:szCs w:val="22"/>
        </w:rPr>
        <w:t xml:space="preserve">Coco queries Mediacore, Arcline, and Nunita Trust Centers and builds a comparison table: Breach Notification SLA, Dedicated IR Team, Post-Incident Reporting, Customer Communication, Annual IR Testing.</w:t>
      </w:r>
    </w:p>
    <w:p>
      <w:pPr>
        <w:pStyle w:val="ListParagraph"/>
        <w:numPr>
          <w:ilvl w:val="0"/>
          <w:numId w:val="2"/>
        </w:numPr>
        <w:spacing w:after="80"/>
      </w:pPr>
      <w:r>
        <w:rPr>
          <w:rFonts w:ascii="Arial" w:cs="Arial" w:eastAsia="Arial" w:hAnsi="Arial"/>
          <w:color w:val="333333"/>
          <w:sz w:val="22"/>
          <w:szCs w:val="22"/>
        </w:rPr>
        <w:t xml:space="preserve">Each cell has a status indicator (green check, yellow warning, red gap) with source citations back to specific documents and pages.</w:t>
      </w:r>
    </w:p>
    <w:p>
      <w:pPr>
        <w:pStyle w:val="ListParagraph"/>
        <w:numPr>
          <w:ilvl w:val="0"/>
          <w:numId w:val="2"/>
        </w:numPr>
        <w:spacing w:after="80"/>
      </w:pPr>
      <w:r>
        <w:rPr>
          <w:rFonts w:ascii="Arial" w:cs="Arial" w:eastAsia="Arial" w:hAnsi="Arial"/>
          <w:color w:val="333333"/>
          <w:sz w:val="22"/>
          <w:szCs w:val="22"/>
        </w:rPr>
        <w:t xml:space="preserve">Coco provides a summary analysis identifying Nunita’s incident response as a risk item.</w:t>
      </w:r>
    </w:p>
    <w:p>
      <w:pPr>
        <w:pStyle w:val="ListParagraph"/>
        <w:numPr>
          <w:ilvl w:val="0"/>
          <w:numId w:val="2"/>
        </w:numPr>
        <w:spacing w:after="80"/>
      </w:pPr>
      <w:r>
        <w:rPr>
          <w:rFonts w:ascii="Arial" w:cs="Arial" w:eastAsia="Arial" w:hAnsi="Arial"/>
          <w:b/>
          <w:bCs/>
          <w:color w:val="333333"/>
          <w:sz w:val="22"/>
          <w:szCs w:val="22"/>
        </w:rPr>
        <w:t xml:space="preserve">Key talking point: </w:t>
      </w:r>
      <w:r>
        <w:rPr>
          <w:rFonts w:ascii="Arial" w:cs="Arial" w:eastAsia="Arial" w:hAnsi="Arial"/>
          <w:color w:val="333333"/>
          <w:sz w:val="22"/>
          <w:szCs w:val="22"/>
        </w:rPr>
        <w:t xml:space="preserve">The buyer never left Coco’s chat. They completed a questionnaire, identified gaps, sent follow-ups, and ran a cross-vendor comparison — all in one session.</w:t>
      </w:r>
    </w:p>
    <w:r>
      <w:br w:type="page"/>
    </w:r>
    <w:p>
      <w:pPr>
        <w:pStyle w:val="Heading2"/>
      </w:pPr>
      <w:r>
        <w:rPr>
          <w:rFonts w:ascii="Arial" w:cs="Arial" w:eastAsia="Arial" w:hAnsi="Arial"/>
        </w:rPr>
        <w:t xml:space="preserve">Part 3: Trust Scorecard</w:t>
      </w:r>
    </w:p>
    <w:p>
      <w:pPr>
        <w:spacing w:after="160"/>
      </w:pPr>
      <w:r>
        <w:rPr>
          <w:rFonts w:ascii="Arial" w:cs="Arial" w:eastAsia="Arial" w:hAnsi="Arial"/>
          <w:b/>
          <w:bCs/>
          <w:i/>
          <w:iCs/>
          <w:color w:val="333333"/>
          <w:sz w:val="22"/>
          <w:szCs w:val="22"/>
        </w:rPr>
        <w:t xml:space="preserve">Persona focus: </w:t>
      </w:r>
      <w:r>
        <w:rPr>
          <w:rFonts w:ascii="Arial" w:cs="Arial" w:eastAsia="Arial" w:hAnsi="Arial"/>
          <w:i/>
          <w:iCs/>
          <w:color w:val="333333"/>
          <w:sz w:val="22"/>
          <w:szCs w:val="22"/>
        </w:rPr>
        <w:t xml:space="preserve">Both — Visitor (checking depth of evidence) and Buyer (quick confidence signal)</w:t>
      </w:r>
    </w:p>
    <w:p>
      <w:pPr>
        <w:spacing w:after="160"/>
      </w:pPr>
      <w:r>
        <w:rPr>
          <w:rFonts w:ascii="Arial" w:cs="Arial" w:eastAsia="Arial" w:hAnsi="Arial"/>
          <w:color w:val="333333"/>
          <w:sz w:val="22"/>
          <w:szCs w:val="22"/>
        </w:rPr>
        <w:t xml:space="preserve">Navigate to the Trust Scorecard (click the scorecard icon in the left sidebar, or go to /trust-center/scorecard).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Trust Score Overview</w:t>
            </w:r>
          </w:p>
          <w:p>
            <w:pPr>
              <w:spacing w:before="60"/>
            </w:pPr>
            <w:r>
              <w:rPr>
                <w:rFonts w:ascii="Arial" w:cs="Arial" w:eastAsia="Arial" w:hAnsi="Arial"/>
                <w:color w:val="666680"/>
                <w:sz w:val="20"/>
                <w:szCs w:val="20"/>
              </w:rPr>
              <w:t xml:space="preserve">Show the radial chart with the overall score (82/100) and three sub-scores.</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Coverage (94%): 326 security topics with documented answers, measured against SIG Lite, CAIQ, and VSA frameworks.</w:t>
      </w:r>
    </w:p>
    <w:p>
      <w:pPr>
        <w:pStyle w:val="ListParagraph"/>
        <w:numPr>
          <w:ilvl w:val="0"/>
          <w:numId w:val="2"/>
        </w:numPr>
        <w:spacing w:after="80"/>
      </w:pPr>
      <w:r>
        <w:rPr>
          <w:rFonts w:ascii="Arial" w:cs="Arial" w:eastAsia="Arial" w:hAnsi="Arial"/>
          <w:color w:val="333333"/>
          <w:sz w:val="22"/>
          <w:szCs w:val="22"/>
        </w:rPr>
        <w:t xml:space="preserve">Freshness (88%): Weighted by document importance — SOC 2 reports weighted 3x.</w:t>
      </w:r>
    </w:p>
    <w:p>
      <w:pPr>
        <w:pStyle w:val="ListParagraph"/>
        <w:numPr>
          <w:ilvl w:val="0"/>
          <w:numId w:val="2"/>
        </w:numPr>
        <w:spacing w:after="80"/>
      </w:pPr>
      <w:r>
        <w:rPr>
          <w:rFonts w:ascii="Arial" w:cs="Arial" w:eastAsia="Arial" w:hAnsi="Arial"/>
          <w:color w:val="333333"/>
          <w:sz w:val="22"/>
          <w:szCs w:val="22"/>
        </w:rPr>
        <w:t xml:space="preserve">Depth (76%): Multi-source evidence per topic. Single FAQ = 1pt, FAQ + doc = 2pt, FAQ + doc + cert = 3pt.</w:t>
      </w:r>
    </w:p>
    <w:p>
      <w:pPr>
        <w:pStyle w:val="ListParagraph"/>
        <w:numPr>
          <w:ilvl w:val="0"/>
          <w:numId w:val="2"/>
        </w:numPr>
        <w:spacing w:after="80"/>
      </w:pPr>
      <w:r>
        <w:rPr>
          <w:rFonts w:ascii="Arial" w:cs="Arial" w:eastAsia="Arial" w:hAnsi="Arial"/>
          <w:color w:val="333333"/>
          <w:sz w:val="22"/>
          <w:szCs w:val="22"/>
        </w:rPr>
        <w:t xml:space="preserve">Click on any score ring to see detailed methodology in the tooltip.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Category Breakdown &amp; Radar Chart</w:t>
            </w:r>
          </w:p>
          <w:p>
            <w:pPr>
              <w:spacing w:before="60"/>
            </w:pPr>
            <w:r>
              <w:rPr>
                <w:rFonts w:ascii="Arial" w:cs="Arial" w:eastAsia="Arial" w:hAnsi="Arial"/>
                <w:color w:val="666680"/>
                <w:sz w:val="20"/>
                <w:szCs w:val="20"/>
              </w:rPr>
              <w:t xml:space="preserve">Scroll to the category breakdown section. Show the radar chart comparing this vendor vs. network average.</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7 security categories with individual scores: Access Management (89), Application Security (82), Data Privacy (76), Infrastructure (91), Incident Response (68), Vendor Risk (88), Business Continuity (85).</w:t>
      </w:r>
    </w:p>
    <w:p>
      <w:pPr>
        <w:pStyle w:val="ListParagraph"/>
        <w:numPr>
          <w:ilvl w:val="0"/>
          <w:numId w:val="2"/>
        </w:numPr>
        <w:spacing w:after="80"/>
      </w:pPr>
      <w:r>
        <w:rPr>
          <w:rFonts w:ascii="Arial" w:cs="Arial" w:eastAsia="Arial" w:hAnsi="Arial"/>
          <w:color w:val="333333"/>
          <w:sz w:val="22"/>
          <w:szCs w:val="22"/>
        </w:rPr>
        <w:t xml:space="preserve">The radar chart overlays this vendor’s scores against Conveyor network averages. Incident Response is the visible weak spot.</w:t>
      </w:r>
    </w:p>
    <w:p>
      <w:pPr>
        <w:pStyle w:val="ListParagraph"/>
        <w:numPr>
          <w:ilvl w:val="0"/>
          <w:numId w:val="2"/>
        </w:numPr>
        <w:spacing w:after="80"/>
      </w:pPr>
      <w:r>
        <w:rPr>
          <w:rFonts w:ascii="Arial" w:cs="Arial" w:eastAsia="Arial" w:hAnsi="Arial"/>
          <w:color w:val="333333"/>
          <w:sz w:val="22"/>
          <w:szCs w:val="22"/>
        </w:rPr>
        <w:t xml:space="preserve">Expand a category to see controls count, documents count, and relevant tags.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A8A8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8660"/>
            <w:tcBorders>
              <w:top w:val="none" w:sz="0"/>
              <w:left w:val="none" w:sz="0"/>
              <w:bottom w:val="none" w:sz="0"/>
              <w:right w:val="none" w:sz="0"/>
            </w:tcBorders>
            <w:shd w:fill="F0F8F8" w:val="clear"/>
            <w:tcMar>
              <w:top w:type="dxa" w:w="80"/>
              <w:left w:type="dxa" w:w="160"/>
              <w:bottom w:type="dxa" w:w="80"/>
              <w:right w:type="dxa" w:w="120"/>
            </w:tcMar>
          </w:tcPr>
          <w:p>
            <w:r>
              <w:rPr>
                <w:rFonts w:ascii="Arial" w:cs="Arial" w:eastAsia="Arial" w:hAnsi="Arial"/>
                <w:b/>
                <w:bCs/>
                <w:color w:val="1A1A2E"/>
                <w:sz w:val="22"/>
                <w:szCs w:val="22"/>
              </w:rPr>
              <w:t xml:space="preserve">Content Gaps — Community-Driven Feedback</w:t>
            </w:r>
          </w:p>
          <w:p>
            <w:pPr>
              <w:spacing w:before="60"/>
            </w:pPr>
            <w:r>
              <w:rPr>
                <w:rFonts w:ascii="Arial" w:cs="Arial" w:eastAsia="Arial" w:hAnsi="Arial"/>
                <w:color w:val="666680"/>
                <w:sz w:val="20"/>
                <w:szCs w:val="20"/>
              </w:rPr>
              <w:t xml:space="preserve">Scroll to the Content Gaps section. Show the gap cards with upvote/downvote.</w:t>
            </w:r>
          </w:p>
        </w:tc>
      </w:tr>
    </w:tbl>
    <w:p>
      <w:pPr>
        <w:spacing w:after="60"/>
      </w:pPr>
    </w:p>
    <w:p>
      <w:pPr>
        <w:pStyle w:val="ListParagraph"/>
        <w:numPr>
          <w:ilvl w:val="0"/>
          <w:numId w:val="2"/>
        </w:numPr>
        <w:spacing w:after="80"/>
      </w:pPr>
      <w:r>
        <w:rPr>
          <w:rFonts w:ascii="Arial" w:cs="Arial" w:eastAsia="Arial" w:hAnsi="Arial"/>
          <w:color w:val="333333"/>
          <w:sz w:val="22"/>
          <w:szCs w:val="22"/>
        </w:rPr>
        <w:t xml:space="preserve">Buyers can see what documentation other reviewers have flagged as missing or incomplete.</w:t>
      </w:r>
    </w:p>
    <w:p>
      <w:pPr>
        <w:pStyle w:val="ListParagraph"/>
        <w:numPr>
          <w:ilvl w:val="0"/>
          <w:numId w:val="2"/>
        </w:numPr>
        <w:spacing w:after="80"/>
      </w:pPr>
      <w:r>
        <w:rPr>
          <w:rFonts w:ascii="Arial" w:cs="Arial" w:eastAsia="Arial" w:hAnsi="Arial"/>
          <w:color w:val="333333"/>
          <w:sz w:val="22"/>
          <w:szCs w:val="22"/>
        </w:rPr>
        <w:t xml:space="preserve">Each gap shows status (Open, In Review, Response Drafted), category, vote count, and description.</w:t>
      </w:r>
    </w:p>
    <w:p>
      <w:pPr>
        <w:pStyle w:val="ListParagraph"/>
        <w:numPr>
          <w:ilvl w:val="0"/>
          <w:numId w:val="2"/>
        </w:numPr>
        <w:spacing w:after="80"/>
      </w:pPr>
      <w:r>
        <w:rPr>
          <w:rFonts w:ascii="Arial" w:cs="Arial" w:eastAsia="Arial" w:hAnsi="Arial"/>
          <w:color w:val="333333"/>
          <w:sz w:val="22"/>
          <w:szCs w:val="22"/>
        </w:rPr>
        <w:t xml:space="preserve">Buyers can upvote gaps to signal demand, and submit new gap requests via a modal form.</w:t>
      </w:r>
    </w:p>
    <w:p>
      <w:pPr>
        <w:pStyle w:val="ListParagraph"/>
        <w:numPr>
          <w:ilvl w:val="0"/>
          <w:numId w:val="2"/>
        </w:numPr>
        <w:spacing w:after="80"/>
      </w:pPr>
      <w:r>
        <w:rPr>
          <w:rFonts w:ascii="Arial" w:cs="Arial" w:eastAsia="Arial" w:hAnsi="Arial"/>
          <w:b/>
          <w:bCs/>
          <w:color w:val="333333"/>
          <w:sz w:val="22"/>
          <w:szCs w:val="22"/>
        </w:rPr>
        <w:t xml:space="preserve">Key talking point: </w:t>
      </w:r>
      <w:r>
        <w:rPr>
          <w:rFonts w:ascii="Arial" w:cs="Arial" w:eastAsia="Arial" w:hAnsi="Arial"/>
          <w:color w:val="333333"/>
          <w:sz w:val="22"/>
          <w:szCs w:val="22"/>
        </w:rPr>
        <w:t xml:space="preserve">The Scorecard creates a feedback loop. Buyers get transparency into completeness, and vendors get prioritized signals about what to add next. This drives the Trust Center toward 100% touchless.</w:t>
      </w:r>
    </w:p>
    <w:r>
      <w:br w:type="page"/>
    </w:r>
    <w:p>
      <w:pPr>
        <w:pStyle w:val="Heading2"/>
      </w:pPr>
      <w:r>
        <w:rPr>
          <w:rFonts w:ascii="Arial" w:cs="Arial" w:eastAsia="Arial" w:hAnsi="Arial"/>
        </w:rPr>
        <w:t xml:space="preserve">Bonus: Company Theming</w:t>
      </w:r>
    </w:p>
    <w:p>
      <w:pPr>
        <w:spacing w:after="160"/>
      </w:pPr>
      <w:r>
        <w:rPr>
          <w:rFonts w:ascii="Arial" w:cs="Arial" w:eastAsia="Arial" w:hAnsi="Arial"/>
          <w:color w:val="333333"/>
          <w:sz w:val="22"/>
          <w:szCs w:val="22"/>
        </w:rPr>
        <w:t xml:space="preserve">If time allows, demonstrate the company switcher in the left sidebar. Switch between Arcline (teal) and MediaCore (purple) to show how the entire prototype — including the Trust Center, Coco agent, and Scorecard — re-themes dynamically. Brand colors propagate through every element: the activity heatmap, chart colors, button accents, citation cards, and even Coco’s personality greeting.</w:t>
      </w:r>
    </w:p>
    <w:p>
      <w:pPr>
        <w:spacing w:after="160"/>
      </w:pPr>
      <w:r>
        <w:rPr>
          <w:rFonts w:ascii="Arial" w:cs="Arial" w:eastAsia="Arial" w:hAnsi="Arial"/>
          <w:color w:val="333333"/>
          <w:sz w:val="22"/>
          <w:szCs w:val="22"/>
        </w:rPr>
        <w:t xml:space="preserve">This demonstrates that Conveyor’s Trust Center is a platform, not a template. Each vendor’s Trust Center feels native to their brand.</w:t>
      </w:r>
    </w:p>
    <w:p>
      <w:pPr>
        <w:spacing w:after="300"/>
      </w:pPr>
    </w:p>
    <w:p>
      <w:pPr>
        <w:pBdr>
          <w:top w:val="single" w:color="1A8A8A" w:sz="6" w:space="1"/>
        </w:pBdr>
        <w:spacing w:after="200" w:before="200"/>
      </w:pPr>
    </w:p>
    <w:p>
      <w:pPr>
        <w:pStyle w:val="Heading2"/>
      </w:pPr>
      <w:r>
        <w:rPr>
          <w:rFonts w:ascii="Arial" w:cs="Arial" w:eastAsia="Arial" w:hAnsi="Arial"/>
        </w:rPr>
        <w:t xml:space="preserve">Key Metrics to Emphasize</w:t>
      </w:r>
    </w:p>
    <w:p>
      <w:pPr>
        <w:pStyle w:val="ListParagraph"/>
        <w:numPr>
          <w:ilvl w:val="0"/>
          <w:numId w:val="2"/>
        </w:numPr>
        <w:spacing w:after="80"/>
      </w:pPr>
      <w:r>
        <w:rPr>
          <w:rFonts w:ascii="Arial" w:cs="Arial" w:eastAsia="Arial" w:hAnsi="Arial"/>
          <w:b/>
          <w:bCs/>
          <w:color w:val="333333"/>
          <w:sz w:val="22"/>
          <w:szCs w:val="22"/>
        </w:rPr>
        <w:t xml:space="preserve">86% questionnaire auto-fill rate </w:t>
      </w:r>
      <w:r>
        <w:rPr>
          <w:rFonts w:ascii="Arial" w:cs="Arial" w:eastAsia="Arial" w:hAnsi="Arial"/>
          <w:color w:val="333333"/>
          <w:sz w:val="22"/>
          <w:szCs w:val="22"/>
        </w:rPr>
        <w:t xml:space="preserve">— demonstrated live in the Coco agent flow</w:t>
      </w:r>
    </w:p>
    <w:p>
      <w:pPr>
        <w:pStyle w:val="ListParagraph"/>
        <w:numPr>
          <w:ilvl w:val="0"/>
          <w:numId w:val="2"/>
        </w:numPr>
        <w:spacing w:after="80"/>
      </w:pPr>
      <w:r>
        <w:rPr>
          <w:rFonts w:ascii="Arial" w:cs="Arial" w:eastAsia="Arial" w:hAnsi="Arial"/>
          <w:b/>
          <w:bCs/>
          <w:color w:val="333333"/>
          <w:sz w:val="22"/>
          <w:szCs w:val="22"/>
        </w:rPr>
        <w:t xml:space="preserve">Zero vendor involvement </w:t>
      </w:r>
      <w:r>
        <w:rPr>
          <w:rFonts w:ascii="Arial" w:cs="Arial" w:eastAsia="Arial" w:hAnsi="Arial"/>
          <w:color w:val="333333"/>
          <w:sz w:val="22"/>
          <w:szCs w:val="22"/>
        </w:rPr>
        <w:t xml:space="preserve">for the core review: document retrieval, Q&amp;A, questionnaire completion, and cross-vendor comparison</w:t>
      </w:r>
    </w:p>
    <w:p>
      <w:pPr>
        <w:pStyle w:val="ListParagraph"/>
        <w:numPr>
          <w:ilvl w:val="0"/>
          <w:numId w:val="2"/>
        </w:numPr>
        <w:spacing w:after="80"/>
      </w:pPr>
      <w:r>
        <w:rPr>
          <w:rFonts w:ascii="Arial" w:cs="Arial" w:eastAsia="Arial" w:hAnsi="Arial"/>
          <w:b/>
          <w:bCs/>
          <w:color w:val="333333"/>
          <w:sz w:val="22"/>
          <w:szCs w:val="22"/>
        </w:rPr>
        <w:t xml:space="preserve">82/100 Trust Score </w:t>
      </w:r>
      <w:r>
        <w:rPr>
          <w:rFonts w:ascii="Arial" w:cs="Arial" w:eastAsia="Arial" w:hAnsi="Arial"/>
          <w:color w:val="333333"/>
          <w:sz w:val="22"/>
          <w:szCs w:val="22"/>
        </w:rPr>
        <w:t xml:space="preserve">with actionable breakdowns showing exactly where to improve</w:t>
      </w:r>
    </w:p>
    <w:p>
      <w:pPr>
        <w:pStyle w:val="ListParagraph"/>
        <w:numPr>
          <w:ilvl w:val="0"/>
          <w:numId w:val="2"/>
        </w:numPr>
        <w:spacing w:after="80"/>
      </w:pPr>
      <w:r>
        <w:rPr>
          <w:rFonts w:ascii="Arial" w:cs="Arial" w:eastAsia="Arial" w:hAnsi="Arial"/>
          <w:b/>
          <w:bCs/>
          <w:color w:val="333333"/>
          <w:sz w:val="22"/>
          <w:szCs w:val="22"/>
        </w:rPr>
        <w:t xml:space="preserve">42 documents </w:t>
      </w:r>
      <w:r>
        <w:rPr>
          <w:rFonts w:ascii="Arial" w:cs="Arial" w:eastAsia="Arial" w:hAnsi="Arial"/>
          <w:color w:val="333333"/>
          <w:sz w:val="22"/>
          <w:szCs w:val="22"/>
        </w:rPr>
        <w:t xml:space="preserve">organized and browsable in a Finder-style interface — no more flat document lists</w:t>
      </w:r>
    </w:p>
    <w:p>
      <w:pPr>
        <w:pStyle w:val="ListParagraph"/>
        <w:numPr>
          <w:ilvl w:val="0"/>
          <w:numId w:val="2"/>
        </w:numPr>
        <w:spacing w:after="80"/>
      </w:pPr>
      <w:r>
        <w:rPr>
          <w:rFonts w:ascii="Arial" w:cs="Arial" w:eastAsia="Arial" w:hAnsi="Arial"/>
          <w:b/>
          <w:bCs/>
          <w:color w:val="333333"/>
          <w:sz w:val="22"/>
          <w:szCs w:val="22"/>
        </w:rPr>
        <w:t xml:space="preserve">3 vendor comparison </w:t>
      </w:r>
      <w:r>
        <w:rPr>
          <w:rFonts w:ascii="Arial" w:cs="Arial" w:eastAsia="Arial" w:hAnsi="Arial"/>
          <w:color w:val="333333"/>
          <w:sz w:val="22"/>
          <w:szCs w:val="22"/>
        </w:rPr>
        <w:t xml:space="preserve">via MCP in a single chat session — incident response policies across Mediacore, Arcline, and Nunita</w:t>
      </w:r>
    </w:p>
    <w:p>
      <w:pPr>
        <w:spacing w:after="120"/>
      </w:pPr>
    </w:p>
    <w:p>
      <w:pPr>
        <w:spacing w:after="160"/>
      </w:pPr>
      <w:r>
        <w:rPr>
          <w:rFonts w:ascii="Arial" w:cs="Arial" w:eastAsia="Arial" w:hAnsi="Arial"/>
          <w:i/>
          <w:iCs/>
          <w:color w:val="666680"/>
          <w:sz w:val="22"/>
          <w:szCs w:val="22"/>
        </w:rPr>
        <w:t xml:space="preserve">The north star: a world where security reviews are completed in minutes, not weeks — and the vendor’s security team never has to be involved.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6"/>
        <w:szCs w:val="16"/>
      </w:rPr>
      <w:t xml:space="preserve">Confidential — Conveyor Internal  |  Page </w:t>
    </w:r>
    <w:r>
      <w:rPr>
        <w:rFonts w:ascii="Arial" w:cs="Arial" w:eastAsia="Arial" w:hAnsi="Arial"/>
        <w:color w:val="666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80"/>
        <w:sz w:val="16"/>
        <w:szCs w:val="16"/>
      </w:rPr>
      <w:t xml:space="preserve">CONVEYOR  |  Trust Center Vision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8A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2026-04-01T13:56:53.050Z</dcterms:created>
  <dcterms:modified xsi:type="dcterms:W3CDTF">2026-04-01T13:56:53.050Z</dcterms:modified>
</cp:coreProperties>
</file>

<file path=docProps/custom.xml><?xml version="1.0" encoding="utf-8"?>
<Properties xmlns="http://schemas.openxmlformats.org/officeDocument/2006/custom-properties" xmlns:vt="http://schemas.openxmlformats.org/officeDocument/2006/docPropsVTypes"/>
</file>