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44D1" w14:textId="26920F89" w:rsidR="00B732D4" w:rsidRPr="000A4A2B" w:rsidRDefault="00B732D4" w:rsidP="00B732D4">
      <w:pPr>
        <w:rPr>
          <w:sz w:val="28"/>
          <w:szCs w:val="28"/>
        </w:rPr>
      </w:pPr>
      <w:r w:rsidRPr="000A4A2B">
        <w:rPr>
          <w:sz w:val="28"/>
          <w:szCs w:val="28"/>
        </w:rPr>
        <w:t xml:space="preserve">The experiments yielded </w:t>
      </w:r>
      <w:r w:rsidR="00BB5595" w:rsidRPr="000A4A2B">
        <w:rPr>
          <w:sz w:val="28"/>
          <w:szCs w:val="28"/>
        </w:rPr>
        <w:t>great</w:t>
      </w:r>
      <w:r w:rsidRPr="000A4A2B">
        <w:rPr>
          <w:sz w:val="28"/>
          <w:szCs w:val="28"/>
        </w:rPr>
        <w:t xml:space="preserve"> results consistent with theoretical values. The distance between the slits was found to be 0.243 mm with a 4.2% uncertainty. The percent difference from the theoretical value of 0.250 mm was 2.9% which is within the margin of error. Using the results from experiment 1, the wave length of an “unknown” laser was found to be 534.3 nm with a 6.5% uncertainty. The percent difference from the theoretical value of 543.5 nm was 1.7% which is within the margin of error. Finally, the </w:t>
      </w:r>
      <w:r w:rsidR="00BB5595" w:rsidRPr="000A4A2B">
        <w:rPr>
          <w:sz w:val="28"/>
          <w:szCs w:val="28"/>
        </w:rPr>
        <w:t>inner-</w:t>
      </w:r>
      <w:r w:rsidRPr="000A4A2B">
        <w:rPr>
          <w:sz w:val="28"/>
          <w:szCs w:val="28"/>
        </w:rPr>
        <w:t>width of the slits was found to be 0.041 mm which has a 3.6% difference from the theoretical value 0.040 mm.</w:t>
      </w:r>
    </w:p>
    <w:tbl>
      <w:tblPr>
        <w:tblStyle w:val="TableGrid"/>
        <w:tblpPr w:leftFromText="180" w:rightFromText="180" w:vertAnchor="page" w:horzAnchor="margin" w:tblpY="3802"/>
        <w:tblW w:w="0" w:type="auto"/>
        <w:tblLook w:val="04A0" w:firstRow="1" w:lastRow="0" w:firstColumn="1" w:lastColumn="0" w:noHBand="0" w:noVBand="1"/>
      </w:tblPr>
      <w:tblGrid>
        <w:gridCol w:w="692"/>
        <w:gridCol w:w="2022"/>
        <w:gridCol w:w="2029"/>
        <w:gridCol w:w="2024"/>
        <w:gridCol w:w="2019"/>
        <w:gridCol w:w="2004"/>
      </w:tblGrid>
      <w:tr w:rsidR="000A4A2B" w:rsidRPr="000A4A2B" w14:paraId="7A15CD33" w14:textId="77777777" w:rsidTr="000A4A2B">
        <w:tc>
          <w:tcPr>
            <w:tcW w:w="692" w:type="dxa"/>
          </w:tcPr>
          <w:p w14:paraId="2EDA5055" w14:textId="77777777" w:rsidR="000A4A2B" w:rsidRPr="000A4A2B" w:rsidRDefault="000A4A2B" w:rsidP="000A4A2B">
            <w:pPr>
              <w:jc w:val="center"/>
              <w:rPr>
                <w:sz w:val="28"/>
                <w:szCs w:val="28"/>
              </w:rPr>
            </w:pPr>
            <w:r w:rsidRPr="000A4A2B">
              <w:rPr>
                <w:sz w:val="28"/>
                <w:szCs w:val="28"/>
              </w:rPr>
              <w:t>Exp.</w:t>
            </w:r>
          </w:p>
        </w:tc>
        <w:tc>
          <w:tcPr>
            <w:tcW w:w="2022" w:type="dxa"/>
          </w:tcPr>
          <w:p w14:paraId="0848AAD8" w14:textId="77777777" w:rsidR="000A4A2B" w:rsidRPr="000A4A2B" w:rsidRDefault="000A4A2B" w:rsidP="000A4A2B">
            <w:pPr>
              <w:jc w:val="center"/>
              <w:rPr>
                <w:sz w:val="28"/>
                <w:szCs w:val="28"/>
              </w:rPr>
            </w:pPr>
            <w:r w:rsidRPr="000A4A2B">
              <w:rPr>
                <w:sz w:val="28"/>
                <w:szCs w:val="28"/>
              </w:rPr>
              <w:t>Theoretical</w:t>
            </w:r>
          </w:p>
        </w:tc>
        <w:tc>
          <w:tcPr>
            <w:tcW w:w="2029" w:type="dxa"/>
          </w:tcPr>
          <w:p w14:paraId="66CECB67" w14:textId="77777777" w:rsidR="000A4A2B" w:rsidRPr="000A4A2B" w:rsidRDefault="000A4A2B" w:rsidP="000A4A2B">
            <w:pPr>
              <w:jc w:val="center"/>
              <w:rPr>
                <w:sz w:val="28"/>
                <w:szCs w:val="28"/>
              </w:rPr>
            </w:pPr>
            <w:r w:rsidRPr="000A4A2B">
              <w:rPr>
                <w:sz w:val="28"/>
                <w:szCs w:val="28"/>
              </w:rPr>
              <w:t>Experimental</w:t>
            </w:r>
          </w:p>
        </w:tc>
        <w:tc>
          <w:tcPr>
            <w:tcW w:w="2024" w:type="dxa"/>
          </w:tcPr>
          <w:p w14:paraId="265E0B55" w14:textId="77777777" w:rsidR="000A4A2B" w:rsidRPr="000A4A2B" w:rsidRDefault="000A4A2B" w:rsidP="000A4A2B">
            <w:pPr>
              <w:jc w:val="center"/>
              <w:rPr>
                <w:sz w:val="28"/>
                <w:szCs w:val="28"/>
              </w:rPr>
            </w:pPr>
            <w:r w:rsidRPr="000A4A2B">
              <w:rPr>
                <w:sz w:val="28"/>
                <w:szCs w:val="28"/>
              </w:rPr>
              <w:t>% Uncertainty</w:t>
            </w:r>
          </w:p>
        </w:tc>
        <w:tc>
          <w:tcPr>
            <w:tcW w:w="2019" w:type="dxa"/>
          </w:tcPr>
          <w:p w14:paraId="00E5785A" w14:textId="77777777" w:rsidR="000A4A2B" w:rsidRPr="000A4A2B" w:rsidRDefault="000A4A2B" w:rsidP="000A4A2B">
            <w:pPr>
              <w:jc w:val="center"/>
              <w:rPr>
                <w:sz w:val="28"/>
                <w:szCs w:val="28"/>
              </w:rPr>
            </w:pPr>
            <w:r w:rsidRPr="000A4A2B">
              <w:rPr>
                <w:sz w:val="28"/>
                <w:szCs w:val="28"/>
              </w:rPr>
              <w:t>% Difference</w:t>
            </w:r>
          </w:p>
        </w:tc>
        <w:tc>
          <w:tcPr>
            <w:tcW w:w="2004" w:type="dxa"/>
          </w:tcPr>
          <w:p w14:paraId="7E46B835" w14:textId="77777777" w:rsidR="000A4A2B" w:rsidRPr="000A4A2B" w:rsidRDefault="000A4A2B" w:rsidP="000A4A2B">
            <w:pPr>
              <w:jc w:val="center"/>
              <w:rPr>
                <w:sz w:val="28"/>
                <w:szCs w:val="28"/>
              </w:rPr>
            </w:pPr>
            <w:r w:rsidRPr="000A4A2B">
              <w:rPr>
                <w:sz w:val="28"/>
                <w:szCs w:val="28"/>
              </w:rPr>
              <w:t>Within Error Marg.</w:t>
            </w:r>
          </w:p>
        </w:tc>
      </w:tr>
      <w:tr w:rsidR="000A4A2B" w:rsidRPr="000A4A2B" w14:paraId="056B3003" w14:textId="77777777" w:rsidTr="000A4A2B">
        <w:tc>
          <w:tcPr>
            <w:tcW w:w="692" w:type="dxa"/>
          </w:tcPr>
          <w:p w14:paraId="316E2453" w14:textId="77777777" w:rsidR="000A4A2B" w:rsidRPr="000A4A2B" w:rsidRDefault="000A4A2B" w:rsidP="000A4A2B">
            <w:pPr>
              <w:jc w:val="center"/>
              <w:rPr>
                <w:sz w:val="28"/>
                <w:szCs w:val="28"/>
              </w:rPr>
            </w:pPr>
            <w:r w:rsidRPr="000A4A2B">
              <w:rPr>
                <w:sz w:val="28"/>
                <w:szCs w:val="28"/>
              </w:rPr>
              <w:t>1</w:t>
            </w:r>
          </w:p>
        </w:tc>
        <w:tc>
          <w:tcPr>
            <w:tcW w:w="2022" w:type="dxa"/>
          </w:tcPr>
          <w:p w14:paraId="6974554C" w14:textId="77777777" w:rsidR="000A4A2B" w:rsidRPr="000A4A2B" w:rsidRDefault="000A4A2B" w:rsidP="000A4A2B">
            <w:pPr>
              <w:jc w:val="center"/>
              <w:rPr>
                <w:sz w:val="28"/>
                <w:szCs w:val="28"/>
              </w:rPr>
            </w:pPr>
            <w:r w:rsidRPr="000A4A2B">
              <w:rPr>
                <w:sz w:val="28"/>
                <w:szCs w:val="28"/>
              </w:rPr>
              <w:t>0.250 mm</w:t>
            </w:r>
          </w:p>
        </w:tc>
        <w:tc>
          <w:tcPr>
            <w:tcW w:w="2029" w:type="dxa"/>
          </w:tcPr>
          <w:p w14:paraId="2EF939F3" w14:textId="77777777" w:rsidR="000A4A2B" w:rsidRPr="000A4A2B" w:rsidRDefault="000A4A2B" w:rsidP="000A4A2B">
            <w:pPr>
              <w:jc w:val="center"/>
              <w:rPr>
                <w:sz w:val="28"/>
                <w:szCs w:val="28"/>
              </w:rPr>
            </w:pPr>
            <w:r w:rsidRPr="000A4A2B">
              <w:rPr>
                <w:sz w:val="28"/>
                <w:szCs w:val="28"/>
              </w:rPr>
              <w:t>0.243 mm</w:t>
            </w:r>
          </w:p>
        </w:tc>
        <w:tc>
          <w:tcPr>
            <w:tcW w:w="2024" w:type="dxa"/>
          </w:tcPr>
          <w:p w14:paraId="2A30E3FD" w14:textId="77777777" w:rsidR="000A4A2B" w:rsidRPr="000A4A2B" w:rsidRDefault="000A4A2B" w:rsidP="000A4A2B">
            <w:pPr>
              <w:jc w:val="center"/>
              <w:rPr>
                <w:sz w:val="28"/>
                <w:szCs w:val="28"/>
              </w:rPr>
            </w:pPr>
            <w:r w:rsidRPr="000A4A2B">
              <w:rPr>
                <w:sz w:val="28"/>
                <w:szCs w:val="28"/>
              </w:rPr>
              <w:t>4.2%</w:t>
            </w:r>
          </w:p>
        </w:tc>
        <w:tc>
          <w:tcPr>
            <w:tcW w:w="2019" w:type="dxa"/>
          </w:tcPr>
          <w:p w14:paraId="30A72A0B" w14:textId="77777777" w:rsidR="000A4A2B" w:rsidRPr="000A4A2B" w:rsidRDefault="000A4A2B" w:rsidP="000A4A2B">
            <w:pPr>
              <w:jc w:val="center"/>
              <w:rPr>
                <w:sz w:val="28"/>
                <w:szCs w:val="28"/>
              </w:rPr>
            </w:pPr>
            <w:r w:rsidRPr="000A4A2B">
              <w:rPr>
                <w:sz w:val="28"/>
                <w:szCs w:val="28"/>
              </w:rPr>
              <w:t>2.9%</w:t>
            </w:r>
          </w:p>
        </w:tc>
        <w:tc>
          <w:tcPr>
            <w:tcW w:w="2004" w:type="dxa"/>
          </w:tcPr>
          <w:p w14:paraId="1804A644" w14:textId="77777777" w:rsidR="000A4A2B" w:rsidRPr="000A4A2B" w:rsidRDefault="000A4A2B" w:rsidP="000A4A2B">
            <w:pPr>
              <w:jc w:val="center"/>
              <w:rPr>
                <w:sz w:val="28"/>
                <w:szCs w:val="28"/>
              </w:rPr>
            </w:pPr>
            <w:r w:rsidRPr="000A4A2B">
              <w:rPr>
                <w:sz w:val="28"/>
                <w:szCs w:val="28"/>
              </w:rPr>
              <w:t>YES</w:t>
            </w:r>
          </w:p>
        </w:tc>
      </w:tr>
      <w:tr w:rsidR="000A4A2B" w:rsidRPr="000A4A2B" w14:paraId="5470E669" w14:textId="77777777" w:rsidTr="000A4A2B">
        <w:tc>
          <w:tcPr>
            <w:tcW w:w="692" w:type="dxa"/>
          </w:tcPr>
          <w:p w14:paraId="7C1D8421" w14:textId="77777777" w:rsidR="000A4A2B" w:rsidRPr="000A4A2B" w:rsidRDefault="000A4A2B" w:rsidP="000A4A2B">
            <w:pPr>
              <w:jc w:val="center"/>
              <w:rPr>
                <w:sz w:val="28"/>
                <w:szCs w:val="28"/>
              </w:rPr>
            </w:pPr>
            <w:r w:rsidRPr="000A4A2B">
              <w:rPr>
                <w:sz w:val="28"/>
                <w:szCs w:val="28"/>
              </w:rPr>
              <w:t>2</w:t>
            </w:r>
          </w:p>
        </w:tc>
        <w:tc>
          <w:tcPr>
            <w:tcW w:w="2022" w:type="dxa"/>
          </w:tcPr>
          <w:p w14:paraId="1362EA2A" w14:textId="77777777" w:rsidR="000A4A2B" w:rsidRPr="000A4A2B" w:rsidRDefault="000A4A2B" w:rsidP="000A4A2B">
            <w:pPr>
              <w:jc w:val="center"/>
              <w:rPr>
                <w:sz w:val="28"/>
                <w:szCs w:val="28"/>
              </w:rPr>
            </w:pPr>
            <w:r w:rsidRPr="000A4A2B">
              <w:rPr>
                <w:sz w:val="28"/>
                <w:szCs w:val="28"/>
              </w:rPr>
              <w:t>543.5 nm</w:t>
            </w:r>
          </w:p>
        </w:tc>
        <w:tc>
          <w:tcPr>
            <w:tcW w:w="2029" w:type="dxa"/>
          </w:tcPr>
          <w:p w14:paraId="54BE109E" w14:textId="77777777" w:rsidR="000A4A2B" w:rsidRPr="000A4A2B" w:rsidRDefault="000A4A2B" w:rsidP="000A4A2B">
            <w:pPr>
              <w:jc w:val="center"/>
              <w:rPr>
                <w:sz w:val="28"/>
                <w:szCs w:val="28"/>
              </w:rPr>
            </w:pPr>
            <w:r w:rsidRPr="000A4A2B">
              <w:rPr>
                <w:sz w:val="28"/>
                <w:szCs w:val="28"/>
              </w:rPr>
              <w:t>534.3 nm</w:t>
            </w:r>
          </w:p>
        </w:tc>
        <w:tc>
          <w:tcPr>
            <w:tcW w:w="2024" w:type="dxa"/>
          </w:tcPr>
          <w:p w14:paraId="1A90628E" w14:textId="77777777" w:rsidR="000A4A2B" w:rsidRPr="000A4A2B" w:rsidRDefault="000A4A2B" w:rsidP="000A4A2B">
            <w:pPr>
              <w:jc w:val="center"/>
              <w:rPr>
                <w:sz w:val="28"/>
                <w:szCs w:val="28"/>
              </w:rPr>
            </w:pPr>
            <w:r w:rsidRPr="000A4A2B">
              <w:rPr>
                <w:sz w:val="28"/>
                <w:szCs w:val="28"/>
              </w:rPr>
              <w:t>6.5%</w:t>
            </w:r>
          </w:p>
        </w:tc>
        <w:tc>
          <w:tcPr>
            <w:tcW w:w="2019" w:type="dxa"/>
          </w:tcPr>
          <w:p w14:paraId="30219D4E" w14:textId="77777777" w:rsidR="000A4A2B" w:rsidRPr="000A4A2B" w:rsidRDefault="000A4A2B" w:rsidP="000A4A2B">
            <w:pPr>
              <w:jc w:val="center"/>
              <w:rPr>
                <w:sz w:val="28"/>
                <w:szCs w:val="28"/>
              </w:rPr>
            </w:pPr>
            <w:r w:rsidRPr="000A4A2B">
              <w:rPr>
                <w:sz w:val="28"/>
                <w:szCs w:val="28"/>
              </w:rPr>
              <w:t>1.7%</w:t>
            </w:r>
          </w:p>
        </w:tc>
        <w:tc>
          <w:tcPr>
            <w:tcW w:w="2004" w:type="dxa"/>
          </w:tcPr>
          <w:p w14:paraId="149C8A43" w14:textId="77777777" w:rsidR="000A4A2B" w:rsidRPr="000A4A2B" w:rsidRDefault="000A4A2B" w:rsidP="000A4A2B">
            <w:pPr>
              <w:jc w:val="center"/>
              <w:rPr>
                <w:sz w:val="28"/>
                <w:szCs w:val="28"/>
              </w:rPr>
            </w:pPr>
            <w:r w:rsidRPr="000A4A2B">
              <w:rPr>
                <w:sz w:val="28"/>
                <w:szCs w:val="28"/>
              </w:rPr>
              <w:t>YES</w:t>
            </w:r>
          </w:p>
        </w:tc>
      </w:tr>
      <w:tr w:rsidR="000A4A2B" w:rsidRPr="000A4A2B" w14:paraId="4B2779C9" w14:textId="77777777" w:rsidTr="000A4A2B">
        <w:tc>
          <w:tcPr>
            <w:tcW w:w="692" w:type="dxa"/>
          </w:tcPr>
          <w:p w14:paraId="0A441B38" w14:textId="77777777" w:rsidR="000A4A2B" w:rsidRPr="000A4A2B" w:rsidRDefault="000A4A2B" w:rsidP="000A4A2B">
            <w:pPr>
              <w:jc w:val="center"/>
              <w:rPr>
                <w:sz w:val="28"/>
                <w:szCs w:val="28"/>
              </w:rPr>
            </w:pPr>
            <w:r w:rsidRPr="000A4A2B">
              <w:rPr>
                <w:sz w:val="28"/>
                <w:szCs w:val="28"/>
              </w:rPr>
              <w:t>3</w:t>
            </w:r>
          </w:p>
        </w:tc>
        <w:tc>
          <w:tcPr>
            <w:tcW w:w="2022" w:type="dxa"/>
          </w:tcPr>
          <w:p w14:paraId="71D4FB59" w14:textId="77777777" w:rsidR="000A4A2B" w:rsidRPr="000A4A2B" w:rsidRDefault="000A4A2B" w:rsidP="000A4A2B">
            <w:pPr>
              <w:jc w:val="center"/>
              <w:rPr>
                <w:sz w:val="28"/>
                <w:szCs w:val="28"/>
              </w:rPr>
            </w:pPr>
            <w:r w:rsidRPr="000A4A2B">
              <w:rPr>
                <w:sz w:val="28"/>
                <w:szCs w:val="28"/>
              </w:rPr>
              <w:t>0.040 mm</w:t>
            </w:r>
          </w:p>
        </w:tc>
        <w:tc>
          <w:tcPr>
            <w:tcW w:w="2029" w:type="dxa"/>
          </w:tcPr>
          <w:p w14:paraId="12BB7487" w14:textId="77777777" w:rsidR="000A4A2B" w:rsidRPr="000A4A2B" w:rsidRDefault="000A4A2B" w:rsidP="000A4A2B">
            <w:pPr>
              <w:jc w:val="center"/>
              <w:rPr>
                <w:sz w:val="28"/>
                <w:szCs w:val="28"/>
              </w:rPr>
            </w:pPr>
            <w:r w:rsidRPr="000A4A2B">
              <w:rPr>
                <w:sz w:val="28"/>
                <w:szCs w:val="28"/>
              </w:rPr>
              <w:t>0.041 mm</w:t>
            </w:r>
          </w:p>
        </w:tc>
        <w:tc>
          <w:tcPr>
            <w:tcW w:w="2024" w:type="dxa"/>
          </w:tcPr>
          <w:p w14:paraId="3C7227CD" w14:textId="77777777" w:rsidR="000A4A2B" w:rsidRPr="000A4A2B" w:rsidRDefault="000A4A2B" w:rsidP="000A4A2B">
            <w:pPr>
              <w:jc w:val="center"/>
              <w:rPr>
                <w:sz w:val="28"/>
                <w:szCs w:val="28"/>
              </w:rPr>
            </w:pPr>
            <w:r w:rsidRPr="000A4A2B">
              <w:rPr>
                <w:sz w:val="28"/>
                <w:szCs w:val="28"/>
              </w:rPr>
              <w:t>X</w:t>
            </w:r>
          </w:p>
        </w:tc>
        <w:tc>
          <w:tcPr>
            <w:tcW w:w="2019" w:type="dxa"/>
          </w:tcPr>
          <w:p w14:paraId="026DA544" w14:textId="77777777" w:rsidR="000A4A2B" w:rsidRPr="000A4A2B" w:rsidRDefault="000A4A2B" w:rsidP="000A4A2B">
            <w:pPr>
              <w:jc w:val="center"/>
              <w:rPr>
                <w:sz w:val="28"/>
                <w:szCs w:val="28"/>
              </w:rPr>
            </w:pPr>
            <w:r w:rsidRPr="000A4A2B">
              <w:rPr>
                <w:sz w:val="28"/>
                <w:szCs w:val="28"/>
              </w:rPr>
              <w:t>3.6%</w:t>
            </w:r>
          </w:p>
        </w:tc>
        <w:tc>
          <w:tcPr>
            <w:tcW w:w="2004" w:type="dxa"/>
          </w:tcPr>
          <w:p w14:paraId="4369C140" w14:textId="77777777" w:rsidR="000A4A2B" w:rsidRPr="000A4A2B" w:rsidRDefault="000A4A2B" w:rsidP="000A4A2B">
            <w:pPr>
              <w:jc w:val="center"/>
              <w:rPr>
                <w:sz w:val="28"/>
                <w:szCs w:val="28"/>
              </w:rPr>
            </w:pPr>
            <w:r w:rsidRPr="000A4A2B">
              <w:rPr>
                <w:sz w:val="28"/>
                <w:szCs w:val="28"/>
              </w:rPr>
              <w:t>X</w:t>
            </w:r>
          </w:p>
        </w:tc>
      </w:tr>
    </w:tbl>
    <w:p w14:paraId="2916D181" w14:textId="6B7008D1" w:rsidR="002F6ABE" w:rsidRPr="000A4A2B" w:rsidRDefault="002F6ABE" w:rsidP="002F6ABE">
      <w:pPr>
        <w:rPr>
          <w:sz w:val="28"/>
          <w:szCs w:val="28"/>
        </w:rPr>
      </w:pPr>
    </w:p>
    <w:p w14:paraId="54F934F9" w14:textId="31FA7512" w:rsidR="00545F45" w:rsidRPr="000A4A2B" w:rsidRDefault="00BB077D" w:rsidP="002F6ABE">
      <w:pPr>
        <w:rPr>
          <w:sz w:val="28"/>
          <w:szCs w:val="28"/>
        </w:rPr>
      </w:pPr>
      <w:r w:rsidRPr="000A4A2B">
        <w:rPr>
          <w:sz w:val="28"/>
          <w:szCs w:val="28"/>
        </w:rPr>
        <w:t xml:space="preserve">Since small angle approximation is used, the major sources of error include the distance uncertainty between the slits and screen as well as the distance uncertainty between the central </w:t>
      </w:r>
      <w:r w:rsidR="00BB5595" w:rsidRPr="000A4A2B">
        <w:rPr>
          <w:sz w:val="28"/>
          <w:szCs w:val="28"/>
        </w:rPr>
        <w:t xml:space="preserve">maxima and other fringes. </w:t>
      </w:r>
      <w:r w:rsidR="00C56A44" w:rsidRPr="000A4A2B">
        <w:rPr>
          <w:sz w:val="28"/>
          <w:szCs w:val="28"/>
        </w:rPr>
        <w:t>The experiment</w:t>
      </w:r>
      <w:r w:rsidR="00BB5595" w:rsidRPr="000A4A2B">
        <w:rPr>
          <w:sz w:val="28"/>
          <w:szCs w:val="28"/>
        </w:rPr>
        <w:t xml:space="preserve"> </w:t>
      </w:r>
      <w:r w:rsidR="00C56A44" w:rsidRPr="000A4A2B">
        <w:rPr>
          <w:sz w:val="28"/>
          <w:szCs w:val="28"/>
        </w:rPr>
        <w:t>could be improved by increasing the distance between the slits and the screen</w:t>
      </w:r>
      <w:r w:rsidR="00BB5595" w:rsidRPr="000A4A2B">
        <w:rPr>
          <w:sz w:val="28"/>
          <w:szCs w:val="28"/>
        </w:rPr>
        <w:t xml:space="preserve">, thus in-turn increasing the distance between fringes. The greater distances would consequently lower the uncertainty, decreasing the absolute error to value ratio. </w:t>
      </w:r>
      <w:r w:rsidR="00545F45" w:rsidRPr="000A4A2B">
        <w:rPr>
          <w:sz w:val="28"/>
          <w:szCs w:val="28"/>
        </w:rPr>
        <w:t xml:space="preserve">To further improve the experiment, a type of photographic film could be used as the screen to capture the double slit interference and single slit diffraction patterns. Once captured, the distances between the central maxima and fringes could be more easily and accurately measured. </w:t>
      </w:r>
    </w:p>
    <w:p w14:paraId="37C7A526" w14:textId="77777777" w:rsidR="007F7646" w:rsidRPr="000A4A2B" w:rsidRDefault="00B34E8D" w:rsidP="002F6ABE">
      <w:pPr>
        <w:rPr>
          <w:sz w:val="28"/>
          <w:szCs w:val="28"/>
        </w:rPr>
      </w:pPr>
      <w:r w:rsidRPr="000A4A2B">
        <w:rPr>
          <w:sz w:val="28"/>
          <w:szCs w:val="28"/>
        </w:rPr>
        <w:t xml:space="preserve">Spectroscopist – </w:t>
      </w:r>
      <w:r w:rsidRPr="000A4A2B">
        <w:rPr>
          <w:sz w:val="28"/>
          <w:szCs w:val="28"/>
        </w:rPr>
        <w:t>The study of spectra, especially experimental observation of optical spectra or mass spectra, to determine the properties of their source.</w:t>
      </w:r>
      <w:r w:rsidRPr="000A4A2B">
        <w:rPr>
          <w:sz w:val="28"/>
          <w:szCs w:val="28"/>
        </w:rPr>
        <w:t xml:space="preserve"> </w:t>
      </w:r>
    </w:p>
    <w:p w14:paraId="340D0ED5" w14:textId="2F5700D5" w:rsidR="00545F45" w:rsidRPr="000A4A2B" w:rsidRDefault="00B34E8D" w:rsidP="002F6ABE">
      <w:pPr>
        <w:rPr>
          <w:sz w:val="28"/>
          <w:szCs w:val="28"/>
        </w:rPr>
      </w:pPr>
      <w:r w:rsidRPr="000A4A2B">
        <w:rPr>
          <w:sz w:val="28"/>
          <w:szCs w:val="28"/>
        </w:rPr>
        <w:t>Spectroscopy is used in physical and analytical chemistry because atoms and molecules have unique spectra. As a result, these spectra can be used to detect, identify and quantify information about the atoms and molecules. Spectroscopy is also used in astronomy and remote sensing on Earth.</w:t>
      </w:r>
      <w:r w:rsidRPr="000A4A2B">
        <w:rPr>
          <w:sz w:val="28"/>
          <w:szCs w:val="28"/>
        </w:rPr>
        <w:t xml:space="preserve"> - Wikipedia</w:t>
      </w:r>
      <w:bookmarkStart w:id="0" w:name="_GoBack"/>
      <w:bookmarkEnd w:id="0"/>
    </w:p>
    <w:sectPr w:rsidR="00545F45" w:rsidRPr="000A4A2B" w:rsidSect="006177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05"/>
    <w:rsid w:val="000A4A2B"/>
    <w:rsid w:val="002F6ABE"/>
    <w:rsid w:val="00332538"/>
    <w:rsid w:val="00545F45"/>
    <w:rsid w:val="00583DB1"/>
    <w:rsid w:val="0061777D"/>
    <w:rsid w:val="007E465B"/>
    <w:rsid w:val="007F7646"/>
    <w:rsid w:val="008164CA"/>
    <w:rsid w:val="00883773"/>
    <w:rsid w:val="009F1E0D"/>
    <w:rsid w:val="00B34E8D"/>
    <w:rsid w:val="00B732D4"/>
    <w:rsid w:val="00B978DC"/>
    <w:rsid w:val="00BB077D"/>
    <w:rsid w:val="00BB5595"/>
    <w:rsid w:val="00C56A44"/>
    <w:rsid w:val="00CB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6BC7"/>
  <w15:chartTrackingRefBased/>
  <w15:docId w15:val="{886477A2-46A7-4C6C-BBCA-CFBF711C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5</cp:revision>
  <dcterms:created xsi:type="dcterms:W3CDTF">2019-04-04T23:53:00Z</dcterms:created>
  <dcterms:modified xsi:type="dcterms:W3CDTF">2019-04-05T02:15:00Z</dcterms:modified>
</cp:coreProperties>
</file>