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43E907" w14:textId="77777777" w:rsidR="009967F7" w:rsidRPr="00D56196" w:rsidRDefault="009967F7" w:rsidP="009967F7">
      <w:pPr>
        <w:rPr>
          <w:b/>
          <w:sz w:val="36"/>
          <w:szCs w:val="36"/>
        </w:rPr>
      </w:pPr>
      <w:r w:rsidRPr="00D56196">
        <w:rPr>
          <w:b/>
          <w:sz w:val="36"/>
          <w:szCs w:val="36"/>
        </w:rPr>
        <w:t>Discussion of Results</w:t>
      </w:r>
    </w:p>
    <w:p w14:paraId="4F4F8FBA" w14:textId="77777777" w:rsidR="009967F7" w:rsidRDefault="009967F7" w:rsidP="009967F7"/>
    <w:p w14:paraId="3A49B8C6" w14:textId="77777777" w:rsidR="009967F7" w:rsidRDefault="009967F7" w:rsidP="009967F7">
      <w:r>
        <w:t xml:space="preserve">The experiment yielded graphical results which were consistent with the calculated theoretical values for image distance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Pr>
          <w:rFonts w:eastAsiaTheme="minorEastAsia"/>
        </w:rPr>
        <w:t xml:space="preserve"> (represented by ‘Q’ in the ray traces)</w:t>
      </w:r>
      <w:r>
        <w:t xml:space="preserve"> and magnification </w:t>
      </w:r>
      <m:oMath>
        <m:r>
          <w:rPr>
            <w:rFonts w:ascii="Cambria Math" w:hAnsi="Cambria Math"/>
          </w:rPr>
          <m:t>M</m:t>
        </m:r>
      </m:oMath>
      <w:r>
        <w:t xml:space="preserve"> (see </w:t>
      </w:r>
      <w:r w:rsidRPr="007F71D7">
        <w:rPr>
          <w:b/>
        </w:rPr>
        <w:t>Table D1</w:t>
      </w:r>
      <w:r>
        <w:t>). The simple ray scenarios (1A, 1B, 2A, 2B) produced results which were within 2% difference of their respective theoretical values, and the more complex scenarios (3, 4) were within 12% difference of their respective theoretical values.</w:t>
      </w:r>
    </w:p>
    <w:p w14:paraId="3942547A" w14:textId="77777777" w:rsidR="009967F7" w:rsidRDefault="009967F7" w:rsidP="009967F7">
      <w:r>
        <w:t xml:space="preserve"> </w:t>
      </w:r>
    </w:p>
    <w:p w14:paraId="40AFB046" w14:textId="77777777" w:rsidR="009967F7" w:rsidRDefault="009967F7" w:rsidP="009967F7">
      <w:r w:rsidRPr="007F71D7">
        <w:rPr>
          <w:b/>
        </w:rPr>
        <w:t>Table D1</w:t>
      </w:r>
    </w:p>
    <w:tbl>
      <w:tblPr>
        <w:tblStyle w:val="TableGrid"/>
        <w:tblW w:w="0" w:type="auto"/>
        <w:tblLook w:val="04A0" w:firstRow="1" w:lastRow="0" w:firstColumn="1" w:lastColumn="0" w:noHBand="0" w:noVBand="1"/>
      </w:tblPr>
      <w:tblGrid>
        <w:gridCol w:w="706"/>
        <w:gridCol w:w="1678"/>
        <w:gridCol w:w="1675"/>
        <w:gridCol w:w="1689"/>
        <w:gridCol w:w="1678"/>
        <w:gridCol w:w="1675"/>
        <w:gridCol w:w="1689"/>
      </w:tblGrid>
      <w:tr w:rsidR="009967F7" w14:paraId="6B8BAB52" w14:textId="77777777" w:rsidTr="00E9746F">
        <w:trPr>
          <w:trHeight w:val="269"/>
        </w:trPr>
        <w:tc>
          <w:tcPr>
            <w:tcW w:w="706" w:type="dxa"/>
          </w:tcPr>
          <w:p w14:paraId="2F0A531C"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m:t>
                </m:r>
              </m:oMath>
            </m:oMathPara>
          </w:p>
        </w:tc>
        <w:tc>
          <w:tcPr>
            <w:tcW w:w="1678" w:type="dxa"/>
          </w:tcPr>
          <w:p w14:paraId="3A231F4E"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 xml:space="preserve">Calculated </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m:t>
                    </m:r>
                  </m:sub>
                </m:sSub>
              </m:oMath>
            </m:oMathPara>
          </w:p>
        </w:tc>
        <w:tc>
          <w:tcPr>
            <w:tcW w:w="1675" w:type="dxa"/>
          </w:tcPr>
          <w:p w14:paraId="7074CDC6"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 xml:space="preserve">Graphical </m:t>
                </m:r>
                <m:sSub>
                  <m:sSubPr>
                    <m:ctrlPr>
                      <w:rPr>
                        <w:rFonts w:ascii="Cambria Math" w:hAnsi="Cambria Math"/>
                        <w:b/>
                        <w:i/>
                      </w:rPr>
                    </m:ctrlPr>
                  </m:sSubPr>
                  <m:e>
                    <m:r>
                      <m:rPr>
                        <m:sty m:val="bi"/>
                      </m:rPr>
                      <w:rPr>
                        <w:rFonts w:ascii="Cambria Math" w:hAnsi="Cambria Math"/>
                      </w:rPr>
                      <m:t>d</m:t>
                    </m:r>
                  </m:e>
                  <m:sub>
                    <m:r>
                      <m:rPr>
                        <m:sty m:val="bi"/>
                      </m:rPr>
                      <w:rPr>
                        <w:rFonts w:ascii="Cambria Math" w:hAnsi="Cambria Math"/>
                      </w:rPr>
                      <m:t>i</m:t>
                    </m:r>
                  </m:sub>
                </m:sSub>
              </m:oMath>
            </m:oMathPara>
          </w:p>
        </w:tc>
        <w:tc>
          <w:tcPr>
            <w:tcW w:w="1689" w:type="dxa"/>
          </w:tcPr>
          <w:p w14:paraId="4C0707FC"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 Difference</m:t>
                </m:r>
              </m:oMath>
            </m:oMathPara>
          </w:p>
        </w:tc>
        <w:tc>
          <w:tcPr>
            <w:tcW w:w="1678" w:type="dxa"/>
          </w:tcPr>
          <w:p w14:paraId="44CA2D7B"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Calculated M</m:t>
                </m:r>
              </m:oMath>
            </m:oMathPara>
          </w:p>
        </w:tc>
        <w:tc>
          <w:tcPr>
            <w:tcW w:w="1675" w:type="dxa"/>
          </w:tcPr>
          <w:p w14:paraId="1B3FA6D8"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Graphical M</m:t>
                </m:r>
              </m:oMath>
            </m:oMathPara>
          </w:p>
        </w:tc>
        <w:tc>
          <w:tcPr>
            <w:tcW w:w="1689" w:type="dxa"/>
          </w:tcPr>
          <w:p w14:paraId="73F07A2B" w14:textId="77777777" w:rsidR="009967F7" w:rsidRPr="00FB0A5A" w:rsidRDefault="009967F7" w:rsidP="00E9746F">
            <w:pPr>
              <w:rPr>
                <w:rFonts w:ascii="Calibri" w:eastAsia="Calibri" w:hAnsi="Calibri" w:cs="Times New Roman"/>
                <w:b/>
              </w:rPr>
            </w:pPr>
            <m:oMathPara>
              <m:oMath>
                <m:r>
                  <m:rPr>
                    <m:sty m:val="bi"/>
                  </m:rPr>
                  <w:rPr>
                    <w:rFonts w:ascii="Cambria Math" w:hAnsi="Cambria Math"/>
                  </w:rPr>
                  <m:t>% Difference</m:t>
                </m:r>
              </m:oMath>
            </m:oMathPara>
          </w:p>
        </w:tc>
      </w:tr>
      <w:tr w:rsidR="009967F7" w14:paraId="7BF12C89" w14:textId="77777777" w:rsidTr="00E9746F">
        <w:trPr>
          <w:trHeight w:val="269"/>
        </w:trPr>
        <w:tc>
          <w:tcPr>
            <w:tcW w:w="706" w:type="dxa"/>
          </w:tcPr>
          <w:p w14:paraId="6838519D" w14:textId="77777777" w:rsidR="009967F7" w:rsidRDefault="009967F7" w:rsidP="00E9746F">
            <w:pPr>
              <w:jc w:val="center"/>
            </w:pPr>
            <w:r>
              <w:t>1A</w:t>
            </w:r>
          </w:p>
        </w:tc>
        <w:tc>
          <w:tcPr>
            <w:tcW w:w="1678" w:type="dxa"/>
          </w:tcPr>
          <w:p w14:paraId="539FD25E" w14:textId="77777777" w:rsidR="009967F7" w:rsidRDefault="009967F7" w:rsidP="00E9746F">
            <w:pPr>
              <w:jc w:val="center"/>
            </w:pPr>
            <w:r>
              <w:t>20cm</w:t>
            </w:r>
          </w:p>
        </w:tc>
        <w:tc>
          <w:tcPr>
            <w:tcW w:w="1675" w:type="dxa"/>
          </w:tcPr>
          <w:p w14:paraId="3556544A" w14:textId="77777777" w:rsidR="009967F7" w:rsidRDefault="009967F7" w:rsidP="00E9746F">
            <w:pPr>
              <w:jc w:val="center"/>
            </w:pPr>
            <w:r>
              <w:t>20cm</w:t>
            </w:r>
          </w:p>
        </w:tc>
        <w:tc>
          <w:tcPr>
            <w:tcW w:w="1689" w:type="dxa"/>
          </w:tcPr>
          <w:p w14:paraId="4BEC6330" w14:textId="77777777" w:rsidR="009967F7" w:rsidRDefault="009967F7" w:rsidP="00E9746F">
            <w:pPr>
              <w:jc w:val="center"/>
            </w:pPr>
            <w:r>
              <w:t>0%</w:t>
            </w:r>
          </w:p>
        </w:tc>
        <w:tc>
          <w:tcPr>
            <w:tcW w:w="1678" w:type="dxa"/>
          </w:tcPr>
          <w:p w14:paraId="46A60D24" w14:textId="77777777" w:rsidR="009967F7" w:rsidRDefault="009967F7" w:rsidP="00E9746F">
            <w:pPr>
              <w:jc w:val="center"/>
            </w:pPr>
            <w:r>
              <w:t>-1</w:t>
            </w:r>
          </w:p>
        </w:tc>
        <w:tc>
          <w:tcPr>
            <w:tcW w:w="1675" w:type="dxa"/>
          </w:tcPr>
          <w:p w14:paraId="6B52FCB6" w14:textId="77777777" w:rsidR="009967F7" w:rsidRDefault="009967F7" w:rsidP="00E9746F">
            <w:pPr>
              <w:jc w:val="center"/>
            </w:pPr>
            <w:r>
              <w:t>-1</w:t>
            </w:r>
          </w:p>
        </w:tc>
        <w:tc>
          <w:tcPr>
            <w:tcW w:w="1689" w:type="dxa"/>
          </w:tcPr>
          <w:p w14:paraId="69B5BBC4" w14:textId="77777777" w:rsidR="009967F7" w:rsidRDefault="009967F7" w:rsidP="00E9746F">
            <w:pPr>
              <w:jc w:val="center"/>
            </w:pPr>
            <w:r>
              <w:t>0%</w:t>
            </w:r>
          </w:p>
        </w:tc>
      </w:tr>
      <w:tr w:rsidR="009967F7" w14:paraId="163F7AD6" w14:textId="77777777" w:rsidTr="00E9746F">
        <w:trPr>
          <w:trHeight w:val="269"/>
        </w:trPr>
        <w:tc>
          <w:tcPr>
            <w:tcW w:w="706" w:type="dxa"/>
          </w:tcPr>
          <w:p w14:paraId="6E4677E8" w14:textId="77777777" w:rsidR="009967F7" w:rsidRDefault="009967F7" w:rsidP="00E9746F">
            <w:pPr>
              <w:jc w:val="center"/>
            </w:pPr>
            <w:r>
              <w:t>1B</w:t>
            </w:r>
          </w:p>
        </w:tc>
        <w:tc>
          <w:tcPr>
            <w:tcW w:w="1678" w:type="dxa"/>
          </w:tcPr>
          <w:p w14:paraId="2072EE1A" w14:textId="77777777" w:rsidR="009967F7" w:rsidRDefault="009967F7" w:rsidP="00E9746F">
            <w:pPr>
              <w:jc w:val="center"/>
            </w:pPr>
            <w:r>
              <w:t>15cm</w:t>
            </w:r>
          </w:p>
        </w:tc>
        <w:tc>
          <w:tcPr>
            <w:tcW w:w="1675" w:type="dxa"/>
          </w:tcPr>
          <w:p w14:paraId="742527CB" w14:textId="77777777" w:rsidR="009967F7" w:rsidRDefault="009967F7" w:rsidP="00E9746F">
            <w:pPr>
              <w:jc w:val="center"/>
            </w:pPr>
            <w:r>
              <w:t>15cm</w:t>
            </w:r>
          </w:p>
        </w:tc>
        <w:tc>
          <w:tcPr>
            <w:tcW w:w="1689" w:type="dxa"/>
          </w:tcPr>
          <w:p w14:paraId="50749A78" w14:textId="77777777" w:rsidR="009967F7" w:rsidRDefault="009967F7" w:rsidP="00E9746F">
            <w:pPr>
              <w:jc w:val="center"/>
            </w:pPr>
            <w:r>
              <w:t>0%</w:t>
            </w:r>
          </w:p>
        </w:tc>
        <w:tc>
          <w:tcPr>
            <w:tcW w:w="1678" w:type="dxa"/>
          </w:tcPr>
          <w:p w14:paraId="2456D406" w14:textId="77777777" w:rsidR="009967F7" w:rsidRDefault="009967F7" w:rsidP="00E9746F">
            <w:pPr>
              <w:jc w:val="center"/>
            </w:pPr>
            <w:r>
              <w:t>-0.50</w:t>
            </w:r>
          </w:p>
        </w:tc>
        <w:tc>
          <w:tcPr>
            <w:tcW w:w="1675" w:type="dxa"/>
          </w:tcPr>
          <w:p w14:paraId="3210A945" w14:textId="77777777" w:rsidR="009967F7" w:rsidRDefault="009967F7" w:rsidP="00E9746F">
            <w:pPr>
              <w:jc w:val="center"/>
            </w:pPr>
            <w:r>
              <w:t>-0.50</w:t>
            </w:r>
          </w:p>
        </w:tc>
        <w:tc>
          <w:tcPr>
            <w:tcW w:w="1689" w:type="dxa"/>
          </w:tcPr>
          <w:p w14:paraId="443A93A8" w14:textId="77777777" w:rsidR="009967F7" w:rsidRDefault="009967F7" w:rsidP="00E9746F">
            <w:pPr>
              <w:jc w:val="center"/>
            </w:pPr>
            <w:r>
              <w:t>0%</w:t>
            </w:r>
          </w:p>
        </w:tc>
      </w:tr>
      <w:tr w:rsidR="009967F7" w14:paraId="21922811" w14:textId="77777777" w:rsidTr="00E9746F">
        <w:trPr>
          <w:trHeight w:val="269"/>
        </w:trPr>
        <w:tc>
          <w:tcPr>
            <w:tcW w:w="706" w:type="dxa"/>
          </w:tcPr>
          <w:p w14:paraId="1C581F50" w14:textId="77777777" w:rsidR="009967F7" w:rsidRDefault="009967F7" w:rsidP="00E9746F">
            <w:pPr>
              <w:jc w:val="center"/>
            </w:pPr>
            <w:r>
              <w:t>2A</w:t>
            </w:r>
          </w:p>
        </w:tc>
        <w:tc>
          <w:tcPr>
            <w:tcW w:w="1678" w:type="dxa"/>
          </w:tcPr>
          <w:p w14:paraId="7BB6030C" w14:textId="77777777" w:rsidR="009967F7" w:rsidRDefault="009967F7" w:rsidP="00E9746F">
            <w:pPr>
              <w:jc w:val="center"/>
            </w:pPr>
            <w:r>
              <w:t>60cm</w:t>
            </w:r>
          </w:p>
        </w:tc>
        <w:tc>
          <w:tcPr>
            <w:tcW w:w="1675" w:type="dxa"/>
          </w:tcPr>
          <w:p w14:paraId="109FCC0A" w14:textId="77777777" w:rsidR="009967F7" w:rsidRDefault="009967F7" w:rsidP="00E9746F">
            <w:pPr>
              <w:jc w:val="center"/>
            </w:pPr>
            <w:r>
              <w:t>61cm</w:t>
            </w:r>
          </w:p>
        </w:tc>
        <w:tc>
          <w:tcPr>
            <w:tcW w:w="1689" w:type="dxa"/>
          </w:tcPr>
          <w:p w14:paraId="5D6345AB" w14:textId="77777777" w:rsidR="009967F7" w:rsidRDefault="009967F7" w:rsidP="00E9746F">
            <w:pPr>
              <w:jc w:val="center"/>
            </w:pPr>
            <w:r>
              <w:t>2%</w:t>
            </w:r>
          </w:p>
        </w:tc>
        <w:tc>
          <w:tcPr>
            <w:tcW w:w="1678" w:type="dxa"/>
          </w:tcPr>
          <w:p w14:paraId="44748724" w14:textId="77777777" w:rsidR="009967F7" w:rsidRDefault="009967F7" w:rsidP="00E9746F">
            <w:pPr>
              <w:jc w:val="center"/>
            </w:pPr>
            <w:r>
              <w:t>-2</w:t>
            </w:r>
          </w:p>
        </w:tc>
        <w:tc>
          <w:tcPr>
            <w:tcW w:w="1675" w:type="dxa"/>
          </w:tcPr>
          <w:p w14:paraId="457137A2" w14:textId="77777777" w:rsidR="009967F7" w:rsidRDefault="009967F7" w:rsidP="00E9746F">
            <w:pPr>
              <w:jc w:val="center"/>
            </w:pPr>
            <w:r>
              <w:t>-2</w:t>
            </w:r>
          </w:p>
        </w:tc>
        <w:tc>
          <w:tcPr>
            <w:tcW w:w="1689" w:type="dxa"/>
          </w:tcPr>
          <w:p w14:paraId="23702D9A" w14:textId="77777777" w:rsidR="009967F7" w:rsidRDefault="009967F7" w:rsidP="00E9746F">
            <w:pPr>
              <w:jc w:val="center"/>
            </w:pPr>
            <w:r>
              <w:t>0%</w:t>
            </w:r>
          </w:p>
        </w:tc>
      </w:tr>
      <w:tr w:rsidR="009967F7" w14:paraId="2D421AA2" w14:textId="77777777" w:rsidTr="00E9746F">
        <w:trPr>
          <w:trHeight w:val="269"/>
        </w:trPr>
        <w:tc>
          <w:tcPr>
            <w:tcW w:w="706" w:type="dxa"/>
          </w:tcPr>
          <w:p w14:paraId="7F17D3B6" w14:textId="77777777" w:rsidR="009967F7" w:rsidRDefault="009967F7" w:rsidP="00E9746F">
            <w:pPr>
              <w:jc w:val="center"/>
            </w:pPr>
            <w:r>
              <w:t>2B</w:t>
            </w:r>
          </w:p>
        </w:tc>
        <w:tc>
          <w:tcPr>
            <w:tcW w:w="1678" w:type="dxa"/>
          </w:tcPr>
          <w:p w14:paraId="5021EE85" w14:textId="77777777" w:rsidR="009967F7" w:rsidRDefault="009967F7" w:rsidP="00E9746F">
            <w:pPr>
              <w:jc w:val="center"/>
            </w:pPr>
            <w:r>
              <w:t>-20cm</w:t>
            </w:r>
          </w:p>
        </w:tc>
        <w:tc>
          <w:tcPr>
            <w:tcW w:w="1675" w:type="dxa"/>
          </w:tcPr>
          <w:p w14:paraId="40C83278" w14:textId="77777777" w:rsidR="009967F7" w:rsidRDefault="009967F7" w:rsidP="00E9746F">
            <w:pPr>
              <w:jc w:val="center"/>
            </w:pPr>
            <w:r>
              <w:t>-20cm</w:t>
            </w:r>
          </w:p>
        </w:tc>
        <w:tc>
          <w:tcPr>
            <w:tcW w:w="1689" w:type="dxa"/>
          </w:tcPr>
          <w:p w14:paraId="5B44EA60" w14:textId="77777777" w:rsidR="009967F7" w:rsidRDefault="009967F7" w:rsidP="00E9746F">
            <w:pPr>
              <w:jc w:val="center"/>
            </w:pPr>
            <w:r>
              <w:t>0%</w:t>
            </w:r>
          </w:p>
        </w:tc>
        <w:tc>
          <w:tcPr>
            <w:tcW w:w="1678" w:type="dxa"/>
          </w:tcPr>
          <w:p w14:paraId="7DE05B55" w14:textId="77777777" w:rsidR="009967F7" w:rsidRDefault="009967F7" w:rsidP="00E9746F">
            <w:pPr>
              <w:jc w:val="center"/>
            </w:pPr>
            <w:r>
              <w:t>2</w:t>
            </w:r>
          </w:p>
        </w:tc>
        <w:tc>
          <w:tcPr>
            <w:tcW w:w="1675" w:type="dxa"/>
          </w:tcPr>
          <w:p w14:paraId="231CD2C0" w14:textId="77777777" w:rsidR="009967F7" w:rsidRDefault="009967F7" w:rsidP="00E9746F">
            <w:pPr>
              <w:jc w:val="center"/>
            </w:pPr>
            <w:r>
              <w:t>2</w:t>
            </w:r>
          </w:p>
        </w:tc>
        <w:tc>
          <w:tcPr>
            <w:tcW w:w="1689" w:type="dxa"/>
          </w:tcPr>
          <w:p w14:paraId="23CDE7CB" w14:textId="77777777" w:rsidR="009967F7" w:rsidRDefault="009967F7" w:rsidP="00E9746F">
            <w:pPr>
              <w:jc w:val="center"/>
            </w:pPr>
            <w:r>
              <w:t>0%</w:t>
            </w:r>
          </w:p>
        </w:tc>
      </w:tr>
      <w:tr w:rsidR="009967F7" w14:paraId="697CDFFF" w14:textId="77777777" w:rsidTr="00E9746F">
        <w:trPr>
          <w:trHeight w:val="269"/>
        </w:trPr>
        <w:tc>
          <w:tcPr>
            <w:tcW w:w="706" w:type="dxa"/>
          </w:tcPr>
          <w:p w14:paraId="5C04820E" w14:textId="77777777" w:rsidR="009967F7" w:rsidRDefault="009967F7" w:rsidP="00E9746F">
            <w:pPr>
              <w:jc w:val="center"/>
            </w:pPr>
            <w:r>
              <w:t>3</w:t>
            </w:r>
          </w:p>
        </w:tc>
        <w:tc>
          <w:tcPr>
            <w:tcW w:w="1678" w:type="dxa"/>
          </w:tcPr>
          <w:p w14:paraId="33FE3EAF" w14:textId="77777777" w:rsidR="009967F7" w:rsidRDefault="009967F7" w:rsidP="00E9746F">
            <w:pPr>
              <w:jc w:val="center"/>
            </w:pPr>
            <w:r>
              <w:t>60cm</w:t>
            </w:r>
          </w:p>
        </w:tc>
        <w:tc>
          <w:tcPr>
            <w:tcW w:w="1675" w:type="dxa"/>
          </w:tcPr>
          <w:p w14:paraId="3BB7931F" w14:textId="77777777" w:rsidR="009967F7" w:rsidRDefault="009967F7" w:rsidP="00E9746F">
            <w:pPr>
              <w:jc w:val="center"/>
            </w:pPr>
            <w:r>
              <w:t>65cm</w:t>
            </w:r>
          </w:p>
        </w:tc>
        <w:tc>
          <w:tcPr>
            <w:tcW w:w="1689" w:type="dxa"/>
          </w:tcPr>
          <w:p w14:paraId="0C93D40C" w14:textId="77777777" w:rsidR="009967F7" w:rsidRDefault="009967F7" w:rsidP="00E9746F">
            <w:pPr>
              <w:jc w:val="center"/>
            </w:pPr>
            <w:r>
              <w:t>9%</w:t>
            </w:r>
          </w:p>
        </w:tc>
        <w:tc>
          <w:tcPr>
            <w:tcW w:w="1678" w:type="dxa"/>
          </w:tcPr>
          <w:p w14:paraId="1E3A8449" w14:textId="77777777" w:rsidR="009967F7" w:rsidRDefault="009967F7" w:rsidP="00E9746F">
            <w:pPr>
              <w:jc w:val="center"/>
            </w:pPr>
            <w:r>
              <w:t>6</w:t>
            </w:r>
          </w:p>
        </w:tc>
        <w:tc>
          <w:tcPr>
            <w:tcW w:w="1675" w:type="dxa"/>
          </w:tcPr>
          <w:p w14:paraId="45F1B9A3" w14:textId="77777777" w:rsidR="009967F7" w:rsidRDefault="009967F7" w:rsidP="00E9746F">
            <w:pPr>
              <w:jc w:val="center"/>
            </w:pPr>
            <w:r>
              <w:t>6.67</w:t>
            </w:r>
          </w:p>
        </w:tc>
        <w:tc>
          <w:tcPr>
            <w:tcW w:w="1689" w:type="dxa"/>
          </w:tcPr>
          <w:p w14:paraId="656B893D" w14:textId="77777777" w:rsidR="009967F7" w:rsidRDefault="009967F7" w:rsidP="00E9746F">
            <w:pPr>
              <w:jc w:val="center"/>
            </w:pPr>
            <w:r>
              <w:t>12%</w:t>
            </w:r>
          </w:p>
        </w:tc>
      </w:tr>
      <w:tr w:rsidR="009967F7" w14:paraId="3019A28E" w14:textId="77777777" w:rsidTr="00E9746F">
        <w:trPr>
          <w:trHeight w:val="269"/>
        </w:trPr>
        <w:tc>
          <w:tcPr>
            <w:tcW w:w="706" w:type="dxa"/>
          </w:tcPr>
          <w:p w14:paraId="76AA169F" w14:textId="77777777" w:rsidR="009967F7" w:rsidRDefault="009967F7" w:rsidP="00E9746F">
            <w:pPr>
              <w:jc w:val="center"/>
            </w:pPr>
            <w:r>
              <w:t>4</w:t>
            </w:r>
          </w:p>
        </w:tc>
        <w:tc>
          <w:tcPr>
            <w:tcW w:w="1678" w:type="dxa"/>
          </w:tcPr>
          <w:p w14:paraId="7632BB8F" w14:textId="77777777" w:rsidR="009967F7" w:rsidRDefault="009967F7" w:rsidP="00E9746F">
            <w:pPr>
              <w:jc w:val="center"/>
            </w:pPr>
            <w:r>
              <w:t>12.1cm</w:t>
            </w:r>
          </w:p>
        </w:tc>
        <w:tc>
          <w:tcPr>
            <w:tcW w:w="1675" w:type="dxa"/>
          </w:tcPr>
          <w:p w14:paraId="13524913" w14:textId="77777777" w:rsidR="009967F7" w:rsidRDefault="009967F7" w:rsidP="00E9746F">
            <w:pPr>
              <w:jc w:val="center"/>
            </w:pPr>
            <w:r>
              <w:t>12.2cm</w:t>
            </w:r>
          </w:p>
        </w:tc>
        <w:tc>
          <w:tcPr>
            <w:tcW w:w="1689" w:type="dxa"/>
          </w:tcPr>
          <w:p w14:paraId="56CA1593" w14:textId="77777777" w:rsidR="009967F7" w:rsidRDefault="009967F7" w:rsidP="00E9746F">
            <w:pPr>
              <w:jc w:val="center"/>
            </w:pPr>
            <w:r>
              <w:t>1%</w:t>
            </w:r>
          </w:p>
        </w:tc>
        <w:tc>
          <w:tcPr>
            <w:tcW w:w="1678" w:type="dxa"/>
          </w:tcPr>
          <w:p w14:paraId="21AA80AC" w14:textId="77777777" w:rsidR="009967F7" w:rsidRDefault="009967F7" w:rsidP="00E9746F">
            <w:pPr>
              <w:jc w:val="center"/>
            </w:pPr>
            <w:r>
              <w:t>-0.15</w:t>
            </w:r>
          </w:p>
        </w:tc>
        <w:tc>
          <w:tcPr>
            <w:tcW w:w="1675" w:type="dxa"/>
          </w:tcPr>
          <w:p w14:paraId="2516F8EA" w14:textId="77777777" w:rsidR="009967F7" w:rsidRDefault="009967F7" w:rsidP="00E9746F">
            <w:pPr>
              <w:jc w:val="center"/>
            </w:pPr>
            <w:r>
              <w:t>-0.14</w:t>
            </w:r>
          </w:p>
        </w:tc>
        <w:tc>
          <w:tcPr>
            <w:tcW w:w="1689" w:type="dxa"/>
          </w:tcPr>
          <w:p w14:paraId="7D57E5D9" w14:textId="77777777" w:rsidR="009967F7" w:rsidRDefault="009967F7" w:rsidP="00E9746F">
            <w:pPr>
              <w:jc w:val="center"/>
            </w:pPr>
            <w:r>
              <w:t>8%</w:t>
            </w:r>
          </w:p>
        </w:tc>
      </w:tr>
    </w:tbl>
    <w:p w14:paraId="627DEAA4" w14:textId="77777777" w:rsidR="009967F7" w:rsidRDefault="009967F7" w:rsidP="009967F7"/>
    <w:p w14:paraId="139F733E" w14:textId="77777777" w:rsidR="009967F7" w:rsidRDefault="009967F7" w:rsidP="009967F7"/>
    <w:p w14:paraId="6714C6F2" w14:textId="77777777" w:rsidR="009967F7" w:rsidRDefault="009967F7" w:rsidP="009967F7">
      <w:pPr>
        <w:rPr>
          <w:rFonts w:eastAsiaTheme="minorEastAsia"/>
        </w:rPr>
      </w:pPr>
      <w:r>
        <w:rPr>
          <w:noProof/>
        </w:rPr>
        <w:drawing>
          <wp:anchor distT="0" distB="0" distL="114300" distR="114300" simplePos="0" relativeHeight="251659264" behindDoc="0" locked="0" layoutInCell="1" allowOverlap="1" wp14:anchorId="483D39DF" wp14:editId="6FE2034A">
            <wp:simplePos x="0" y="0"/>
            <wp:positionH relativeFrom="margin">
              <wp:align>right</wp:align>
            </wp:positionH>
            <wp:positionV relativeFrom="paragraph">
              <wp:posOffset>8255</wp:posOffset>
            </wp:positionV>
            <wp:extent cx="2332355" cy="905510"/>
            <wp:effectExtent l="0" t="0" r="0" b="88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332355" cy="905510"/>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Despite using computer software as an aid for ray tracing, the experiment still yielded a fair portion of error. The greatest source of error in the graphical method originated from slight angle variations which propagated into larger offsets over increased distances. As seen in </w:t>
      </w:r>
      <w:r w:rsidRPr="00F81AF9">
        <w:rPr>
          <w:b/>
        </w:rPr>
        <w:t>Figure D1</w:t>
      </w:r>
      <w:r>
        <w:t xml:space="preserve">, a small change in angle </w:t>
      </w:r>
      <m:oMath>
        <m:r>
          <w:rPr>
            <w:rFonts w:ascii="Cambria Math" w:eastAsiaTheme="minorEastAsia" w:hAnsi="Cambria Math"/>
          </w:rPr>
          <m:t>θ</m:t>
        </m:r>
      </m:oMath>
      <w:r>
        <w:rPr>
          <w:rFonts w:eastAsiaTheme="minorEastAsia"/>
        </w:rPr>
        <w:t xml:space="preserve"> creates a substantially larger </w:t>
      </w:r>
      <m:oMath>
        <m:r>
          <w:rPr>
            <w:rFonts w:ascii="Cambria Math" w:hAnsi="Cambria Math"/>
          </w:rPr>
          <m:t>∆h</m:t>
        </m:r>
      </m:oMath>
      <w:r>
        <w:rPr>
          <w:rFonts w:eastAsiaTheme="minorEastAsia"/>
        </w:rPr>
        <w:t xml:space="preserve"> value as d increases. This relation can be expressed as </w:t>
      </w:r>
      <m:oMath>
        <m:r>
          <w:rPr>
            <w:rFonts w:ascii="Cambria Math" w:hAnsi="Cambria Math"/>
          </w:rPr>
          <m:t>h=dtanθ</m:t>
        </m:r>
      </m:oMath>
      <w:r>
        <w:rPr>
          <w:rFonts w:eastAsiaTheme="minorEastAsia"/>
        </w:rPr>
        <w:t xml:space="preserve">. Scenarios 3 and 4 introduced the greatest potential for error by having large object-to-lens and lens-to-image distances. Furthermore, these same scenarios were each done in two parts, the second part relying upon the results of the first. Any error from the first was carried over and magnified in the second. </w:t>
      </w:r>
    </w:p>
    <w:p w14:paraId="4B8734ED" w14:textId="5E6DBC27" w:rsidR="00B25174" w:rsidRDefault="009967F7" w:rsidP="009967F7">
      <w:r>
        <w:t>The mathematical and graphical methods complement each other. The mathematical provides a precise, theoretical basis. The graphical method provides the visual aid and conceptual understanding which the mathematical method lacks. Because sign convention is key, and often confused in mirror and lens calculations, the graphical method can also serve as a sign convention sanity-check for the mathematical method. Likewise, the mathematical method can serve as a sanity-check for the graphical method.</w:t>
      </w:r>
    </w:p>
    <w:p w14:paraId="7FE5B71C" w14:textId="65D8B1A6" w:rsidR="00E46C50" w:rsidRDefault="00E46C50" w:rsidP="003140F9">
      <w:pPr>
        <w:rPr>
          <w:rFonts w:cstheme="minorHAnsi"/>
        </w:rPr>
      </w:pPr>
      <w:r>
        <w:rPr>
          <w:rFonts w:cstheme="minorHAnsi"/>
        </w:rPr>
        <w:t xml:space="preserve">For better results, </w:t>
      </w:r>
      <w:r w:rsidR="009967F7">
        <w:rPr>
          <w:rFonts w:cstheme="minorHAnsi"/>
        </w:rPr>
        <w:t xml:space="preserve">the experiment should be </w:t>
      </w:r>
      <w:r w:rsidR="003140F9">
        <w:rPr>
          <w:rFonts w:cstheme="minorHAnsi"/>
        </w:rPr>
        <w:t>done with either very fine-grid graph paper and fine-tipped pens, or with the aid of computer software. Simple software was used to create the ray traces in this experiment (MS paint). Advanced software could help reduce</w:t>
      </w:r>
      <w:r w:rsidR="00A4535B">
        <w:rPr>
          <w:rFonts w:cstheme="minorHAnsi"/>
        </w:rPr>
        <w:t xml:space="preserve"> the</w:t>
      </w:r>
      <w:r w:rsidR="003140F9">
        <w:rPr>
          <w:rFonts w:cstheme="minorHAnsi"/>
        </w:rPr>
        <w:t xml:space="preserve"> pixel-sized-inconsistencies at the start and end positions of ray vectors. </w:t>
      </w:r>
      <w:bookmarkStart w:id="0" w:name="_GoBack"/>
      <w:bookmarkEnd w:id="0"/>
    </w:p>
    <w:p w14:paraId="1D79575E" w14:textId="77777777" w:rsidR="00D56196" w:rsidRDefault="00D56196"/>
    <w:sectPr w:rsidR="00D56196" w:rsidSect="00D5619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6196"/>
    <w:rsid w:val="00085619"/>
    <w:rsid w:val="0018322F"/>
    <w:rsid w:val="001C47BA"/>
    <w:rsid w:val="001C5B00"/>
    <w:rsid w:val="002E0E32"/>
    <w:rsid w:val="00312A8E"/>
    <w:rsid w:val="003140F9"/>
    <w:rsid w:val="00390183"/>
    <w:rsid w:val="00594B28"/>
    <w:rsid w:val="00633978"/>
    <w:rsid w:val="006D739A"/>
    <w:rsid w:val="007F71D7"/>
    <w:rsid w:val="0090341E"/>
    <w:rsid w:val="00940CBC"/>
    <w:rsid w:val="009967F7"/>
    <w:rsid w:val="009F1F9B"/>
    <w:rsid w:val="00A4535B"/>
    <w:rsid w:val="00B25174"/>
    <w:rsid w:val="00D20001"/>
    <w:rsid w:val="00D56196"/>
    <w:rsid w:val="00E46C50"/>
    <w:rsid w:val="00EE32D0"/>
    <w:rsid w:val="00F81AF9"/>
    <w:rsid w:val="00FB0A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F31FEC"/>
  <w15:chartTrackingRefBased/>
  <w15:docId w15:val="{4064C0D0-C015-4672-89DD-63D65B365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D5619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D5619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209</TotalTime>
  <Pages>1</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Fowler, Jared</dc:creator>
  <cp:keywords/>
  <dc:description/>
  <cp:lastModifiedBy>Jared Fowler</cp:lastModifiedBy>
  <cp:revision>7</cp:revision>
  <dcterms:created xsi:type="dcterms:W3CDTF">2019-03-01T18:47:00Z</dcterms:created>
  <dcterms:modified xsi:type="dcterms:W3CDTF">2019-03-02T19:05:00Z</dcterms:modified>
</cp:coreProperties>
</file>