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90B36" w14:textId="67F1901D" w:rsidR="00E5188E" w:rsidRPr="003C518E" w:rsidRDefault="003C518E">
      <w:pPr>
        <w:rPr>
          <w:b/>
          <w:sz w:val="32"/>
          <w:szCs w:val="32"/>
        </w:rPr>
      </w:pPr>
      <w:r w:rsidRPr="003C518E">
        <w:rPr>
          <w:b/>
          <w:sz w:val="32"/>
          <w:szCs w:val="32"/>
        </w:rPr>
        <w:t>Conclusion</w:t>
      </w:r>
    </w:p>
    <w:p w14:paraId="55D58D3A" w14:textId="77777777" w:rsidR="0001464D" w:rsidRDefault="0001464D">
      <w:pPr>
        <w:rPr>
          <w:sz w:val="24"/>
          <w:szCs w:val="24"/>
        </w:rPr>
      </w:pPr>
    </w:p>
    <w:p w14:paraId="42552A22" w14:textId="13F97F83" w:rsidR="003C518E" w:rsidRDefault="0001464D">
      <w:pPr>
        <w:rPr>
          <w:sz w:val="24"/>
          <w:szCs w:val="24"/>
        </w:rPr>
      </w:pPr>
      <w:r>
        <w:rPr>
          <w:sz w:val="24"/>
          <w:szCs w:val="24"/>
        </w:rPr>
        <w:t xml:space="preserve">The experiments, </w:t>
      </w:r>
      <w:proofErr w:type="gramStart"/>
      <w:r>
        <w:rPr>
          <w:sz w:val="24"/>
          <w:szCs w:val="24"/>
        </w:rPr>
        <w:t>with the exception of</w:t>
      </w:r>
      <w:proofErr w:type="gramEnd"/>
      <w:r>
        <w:rPr>
          <w:sz w:val="24"/>
          <w:szCs w:val="24"/>
        </w:rPr>
        <w:t xml:space="preserve"> A1, yielded results which were “within the ballpark”, or general scope of agreement, with each other. The </w:t>
      </w:r>
      <w:r w:rsidR="001777F7">
        <w:rPr>
          <w:sz w:val="24"/>
          <w:szCs w:val="24"/>
        </w:rPr>
        <w:t xml:space="preserve">focal length of the </w:t>
      </w:r>
      <w:r>
        <w:rPr>
          <w:sz w:val="24"/>
          <w:szCs w:val="24"/>
        </w:rPr>
        <w:t xml:space="preserve">concave mirror was found to be between 19 to 25 centimeters, and the </w:t>
      </w:r>
      <w:r w:rsidR="001777F7">
        <w:rPr>
          <w:sz w:val="24"/>
          <w:szCs w:val="24"/>
        </w:rPr>
        <w:t xml:space="preserve">focal length of the </w:t>
      </w:r>
      <w:r>
        <w:rPr>
          <w:sz w:val="24"/>
          <w:szCs w:val="24"/>
        </w:rPr>
        <w:t>converging lens</w:t>
      </w:r>
      <w:r w:rsidR="001777F7">
        <w:rPr>
          <w:sz w:val="24"/>
          <w:szCs w:val="24"/>
        </w:rPr>
        <w:t xml:space="preserve"> </w:t>
      </w:r>
      <w:r>
        <w:rPr>
          <w:sz w:val="24"/>
          <w:szCs w:val="24"/>
        </w:rPr>
        <w:t xml:space="preserve">was found to be between 18 to 26 centimeters. </w:t>
      </w:r>
    </w:p>
    <w:p w14:paraId="430B33B9" w14:textId="77777777" w:rsidR="0001464D" w:rsidRDefault="0001464D">
      <w:pPr>
        <w:rPr>
          <w:sz w:val="24"/>
          <w:szCs w:val="24"/>
        </w:rPr>
      </w:pPr>
    </w:p>
    <w:tbl>
      <w:tblPr>
        <w:tblStyle w:val="TableGrid"/>
        <w:tblW w:w="10790" w:type="dxa"/>
        <w:tblLook w:val="04A0" w:firstRow="1" w:lastRow="0" w:firstColumn="1" w:lastColumn="0" w:noHBand="0" w:noVBand="1"/>
      </w:tblPr>
      <w:tblGrid>
        <w:gridCol w:w="748"/>
        <w:gridCol w:w="759"/>
        <w:gridCol w:w="2448"/>
        <w:gridCol w:w="2340"/>
        <w:gridCol w:w="2340"/>
        <w:gridCol w:w="2155"/>
      </w:tblGrid>
      <w:tr w:rsidR="001777F7" w14:paraId="22E3A382" w14:textId="59E884BD" w:rsidTr="001777F7">
        <w:trPr>
          <w:trHeight w:val="269"/>
        </w:trPr>
        <w:tc>
          <w:tcPr>
            <w:tcW w:w="748" w:type="dxa"/>
          </w:tcPr>
          <w:p w14:paraId="1B0C38EA" w14:textId="54445681" w:rsidR="001777F7" w:rsidRPr="00FB0A5A" w:rsidRDefault="001777F7" w:rsidP="001777F7">
            <w:pPr>
              <w:jc w:val="center"/>
              <w:rPr>
                <w:rFonts w:ascii="Calibri" w:eastAsia="Calibri" w:hAnsi="Calibri" w:cs="Times New Roman"/>
                <w:b/>
              </w:rPr>
            </w:pPr>
            <w:r>
              <w:rPr>
                <w:rFonts w:ascii="Calibri" w:eastAsia="Calibri" w:hAnsi="Calibri" w:cs="Times New Roman"/>
                <w:b/>
              </w:rPr>
              <w:t>Type</w:t>
            </w:r>
          </w:p>
        </w:tc>
        <w:tc>
          <w:tcPr>
            <w:tcW w:w="759" w:type="dxa"/>
          </w:tcPr>
          <w:p w14:paraId="7783694F" w14:textId="4DA15F09" w:rsidR="001777F7" w:rsidRDefault="001777F7" w:rsidP="001777F7">
            <w:pPr>
              <w:rPr>
                <w:rFonts w:ascii="Calibri" w:eastAsia="Calibri" w:hAnsi="Calibri" w:cs="Times New Roman"/>
                <w:b/>
              </w:rPr>
            </w:pPr>
            <m:oMathPara>
              <m:oMath>
                <m:r>
                  <m:rPr>
                    <m:sty m:val="bi"/>
                  </m:rPr>
                  <w:rPr>
                    <w:rFonts w:ascii="Cambria Math" w:hAnsi="Cambria Math"/>
                  </w:rPr>
                  <m:t>#</m:t>
                </m:r>
              </m:oMath>
            </m:oMathPara>
          </w:p>
        </w:tc>
        <w:tc>
          <w:tcPr>
            <w:tcW w:w="2448" w:type="dxa"/>
          </w:tcPr>
          <w:p w14:paraId="3EF025C6" w14:textId="66123D7F" w:rsidR="001777F7" w:rsidRPr="00FB0A5A" w:rsidRDefault="001777F7" w:rsidP="001777F7">
            <w:pPr>
              <w:rPr>
                <w:rFonts w:ascii="Calibri" w:eastAsia="Calibri" w:hAnsi="Calibri" w:cs="Times New Roman"/>
                <w:b/>
              </w:rPr>
            </w:pPr>
            <m:oMathPara>
              <m:oMath>
                <m:r>
                  <m:rPr>
                    <m:sty m:val="bi"/>
                  </m:rPr>
                  <w:rPr>
                    <w:rFonts w:ascii="Cambria Math" w:hAnsi="Cambria Math"/>
                  </w:rPr>
                  <m:t>Focal Length (cm)</m:t>
                </m:r>
              </m:oMath>
            </m:oMathPara>
          </w:p>
        </w:tc>
        <w:tc>
          <w:tcPr>
            <w:tcW w:w="2340" w:type="dxa"/>
          </w:tcPr>
          <w:p w14:paraId="1DE602AF" w14:textId="193AB965" w:rsidR="001777F7" w:rsidRPr="00FB0A5A" w:rsidRDefault="001777F7" w:rsidP="001777F7">
            <w:pPr>
              <w:rPr>
                <w:rFonts w:ascii="Calibri" w:eastAsia="Calibri" w:hAnsi="Calibri" w:cs="Times New Roman"/>
                <w:b/>
              </w:rPr>
            </w:pPr>
            <m:oMathPara>
              <m:oMath>
                <m:r>
                  <m:rPr>
                    <m:sty m:val="bi"/>
                  </m:rPr>
                  <w:rPr>
                    <w:rFonts w:ascii="Cambria Math" w:hAnsi="Cambria Math"/>
                  </w:rPr>
                  <m:t>% Uncertainty</m:t>
                </m:r>
              </m:oMath>
            </m:oMathPara>
          </w:p>
        </w:tc>
        <w:tc>
          <w:tcPr>
            <w:tcW w:w="2340" w:type="dxa"/>
          </w:tcPr>
          <w:p w14:paraId="1C01C0AE" w14:textId="77777777" w:rsidR="001777F7" w:rsidRPr="00FB0A5A" w:rsidRDefault="001777F7" w:rsidP="001777F7">
            <w:pPr>
              <w:rPr>
                <w:rFonts w:ascii="Calibri" w:eastAsia="Calibri" w:hAnsi="Calibri" w:cs="Times New Roman"/>
                <w:b/>
              </w:rPr>
            </w:pPr>
            <m:oMathPara>
              <m:oMath>
                <m:r>
                  <m:rPr>
                    <m:sty m:val="bi"/>
                  </m:rPr>
                  <w:rPr>
                    <w:rFonts w:ascii="Cambria Math" w:hAnsi="Cambria Math"/>
                  </w:rPr>
                  <m:t>% Difference</m:t>
                </m:r>
              </m:oMath>
            </m:oMathPara>
          </w:p>
        </w:tc>
        <w:tc>
          <w:tcPr>
            <w:tcW w:w="2155" w:type="dxa"/>
          </w:tcPr>
          <w:p w14:paraId="483928F7" w14:textId="0909828C" w:rsidR="001777F7" w:rsidRDefault="001777F7" w:rsidP="001777F7">
            <w:pPr>
              <w:jc w:val="center"/>
              <w:rPr>
                <w:rFonts w:ascii="Calibri" w:eastAsia="Calibri" w:hAnsi="Calibri" w:cs="Times New Roman"/>
                <w:b/>
              </w:rPr>
            </w:pPr>
            <w:r>
              <w:rPr>
                <w:rFonts w:ascii="Calibri" w:eastAsia="Calibri" w:hAnsi="Calibri" w:cs="Times New Roman"/>
                <w:b/>
              </w:rPr>
              <w:t>Within Error Margin</w:t>
            </w:r>
          </w:p>
        </w:tc>
      </w:tr>
      <w:tr w:rsidR="001777F7" w14:paraId="1261ACE1" w14:textId="53E5718F" w:rsidTr="001777F7">
        <w:trPr>
          <w:trHeight w:val="269"/>
        </w:trPr>
        <w:tc>
          <w:tcPr>
            <w:tcW w:w="748" w:type="dxa"/>
            <w:vMerge w:val="restart"/>
            <w:textDirection w:val="btLr"/>
          </w:tcPr>
          <w:p w14:paraId="4C64B3AA" w14:textId="5F1F8391" w:rsidR="001777F7" w:rsidRPr="001777F7" w:rsidRDefault="001777F7" w:rsidP="001777F7">
            <w:pPr>
              <w:ind w:left="113" w:right="113"/>
              <w:jc w:val="center"/>
              <w:rPr>
                <w:sz w:val="18"/>
                <w:szCs w:val="18"/>
              </w:rPr>
            </w:pPr>
            <w:r w:rsidRPr="001777F7">
              <w:rPr>
                <w:sz w:val="18"/>
                <w:szCs w:val="18"/>
              </w:rPr>
              <w:t>Concave</w:t>
            </w:r>
          </w:p>
          <w:p w14:paraId="12048A0C" w14:textId="3E084A84" w:rsidR="001777F7" w:rsidRDefault="001777F7" w:rsidP="001777F7">
            <w:pPr>
              <w:ind w:left="113" w:right="113"/>
              <w:jc w:val="center"/>
            </w:pPr>
            <w:r w:rsidRPr="001777F7">
              <w:rPr>
                <w:sz w:val="18"/>
                <w:szCs w:val="18"/>
              </w:rPr>
              <w:t>Mirror</w:t>
            </w:r>
          </w:p>
        </w:tc>
        <w:tc>
          <w:tcPr>
            <w:tcW w:w="759" w:type="dxa"/>
          </w:tcPr>
          <w:p w14:paraId="536F6CE4" w14:textId="42C7AA1F" w:rsidR="001777F7" w:rsidRDefault="001777F7" w:rsidP="001777F7">
            <w:pPr>
              <w:jc w:val="center"/>
            </w:pPr>
            <w:r>
              <w:t>A1</w:t>
            </w:r>
          </w:p>
        </w:tc>
        <w:tc>
          <w:tcPr>
            <w:tcW w:w="2448" w:type="dxa"/>
          </w:tcPr>
          <w:p w14:paraId="53309D57" w14:textId="43C3B40A" w:rsidR="001777F7" w:rsidRDefault="001777F7" w:rsidP="001777F7">
            <w:pPr>
              <w:jc w:val="center"/>
            </w:pPr>
            <w:r>
              <w:t>6</w:t>
            </w:r>
          </w:p>
        </w:tc>
        <w:tc>
          <w:tcPr>
            <w:tcW w:w="2340" w:type="dxa"/>
          </w:tcPr>
          <w:p w14:paraId="0B10E82D" w14:textId="6EE84B15" w:rsidR="001777F7" w:rsidRDefault="001777F7" w:rsidP="001777F7">
            <w:pPr>
              <w:jc w:val="center"/>
            </w:pPr>
            <w:r>
              <w:t>67%</w:t>
            </w:r>
          </w:p>
        </w:tc>
        <w:tc>
          <w:tcPr>
            <w:tcW w:w="2340" w:type="dxa"/>
          </w:tcPr>
          <w:p w14:paraId="22A7CA76" w14:textId="3A6D79A9" w:rsidR="001777F7" w:rsidRDefault="001777F7" w:rsidP="001777F7">
            <w:pPr>
              <w:jc w:val="center"/>
            </w:pPr>
            <w:r>
              <w:t>74</w:t>
            </w:r>
            <w:r>
              <w:t>%</w:t>
            </w:r>
          </w:p>
        </w:tc>
        <w:tc>
          <w:tcPr>
            <w:tcW w:w="2155" w:type="dxa"/>
          </w:tcPr>
          <w:p w14:paraId="24424F05" w14:textId="66D70861" w:rsidR="001777F7" w:rsidRDefault="001777F7" w:rsidP="001777F7">
            <w:pPr>
              <w:jc w:val="center"/>
            </w:pPr>
            <w:r>
              <w:t>NO</w:t>
            </w:r>
          </w:p>
        </w:tc>
      </w:tr>
      <w:tr w:rsidR="001777F7" w14:paraId="7D7F4413" w14:textId="1EDE4504" w:rsidTr="001777F7">
        <w:trPr>
          <w:trHeight w:val="269"/>
        </w:trPr>
        <w:tc>
          <w:tcPr>
            <w:tcW w:w="748" w:type="dxa"/>
            <w:vMerge/>
          </w:tcPr>
          <w:p w14:paraId="4831F6A6" w14:textId="6BABF032" w:rsidR="001777F7" w:rsidRDefault="001777F7" w:rsidP="001777F7">
            <w:pPr>
              <w:jc w:val="center"/>
            </w:pPr>
          </w:p>
        </w:tc>
        <w:tc>
          <w:tcPr>
            <w:tcW w:w="759" w:type="dxa"/>
          </w:tcPr>
          <w:p w14:paraId="4EF692B3" w14:textId="00D6368A" w:rsidR="001777F7" w:rsidRDefault="001777F7" w:rsidP="001777F7">
            <w:pPr>
              <w:jc w:val="center"/>
            </w:pPr>
            <w:r>
              <w:t>A2</w:t>
            </w:r>
          </w:p>
        </w:tc>
        <w:tc>
          <w:tcPr>
            <w:tcW w:w="2448" w:type="dxa"/>
          </w:tcPr>
          <w:p w14:paraId="3FD02003" w14:textId="0375FC5E" w:rsidR="001777F7" w:rsidRDefault="001777F7" w:rsidP="001777F7">
            <w:pPr>
              <w:jc w:val="center"/>
            </w:pPr>
            <w:r>
              <w:t>19.5</w:t>
            </w:r>
          </w:p>
        </w:tc>
        <w:tc>
          <w:tcPr>
            <w:tcW w:w="2340" w:type="dxa"/>
          </w:tcPr>
          <w:p w14:paraId="2E68E789" w14:textId="3C36347C" w:rsidR="001777F7" w:rsidRDefault="001777F7" w:rsidP="001777F7">
            <w:pPr>
              <w:jc w:val="center"/>
            </w:pPr>
            <w:r>
              <w:t>3%</w:t>
            </w:r>
          </w:p>
        </w:tc>
        <w:tc>
          <w:tcPr>
            <w:tcW w:w="2340" w:type="dxa"/>
          </w:tcPr>
          <w:p w14:paraId="09874173" w14:textId="31C0BFD7" w:rsidR="001777F7" w:rsidRDefault="001777F7" w:rsidP="001777F7">
            <w:pPr>
              <w:jc w:val="center"/>
            </w:pPr>
            <w:r>
              <w:t>16</w:t>
            </w:r>
            <w:r>
              <w:t>%</w:t>
            </w:r>
          </w:p>
        </w:tc>
        <w:tc>
          <w:tcPr>
            <w:tcW w:w="2155" w:type="dxa"/>
          </w:tcPr>
          <w:p w14:paraId="500A67E5" w14:textId="0188355B" w:rsidR="001777F7" w:rsidRDefault="001777F7" w:rsidP="001777F7">
            <w:pPr>
              <w:jc w:val="center"/>
            </w:pPr>
            <w:r>
              <w:t>NO</w:t>
            </w:r>
          </w:p>
        </w:tc>
      </w:tr>
      <w:tr w:rsidR="001777F7" w14:paraId="60562F2C" w14:textId="3A4093EF" w:rsidTr="001777F7">
        <w:trPr>
          <w:trHeight w:val="269"/>
        </w:trPr>
        <w:tc>
          <w:tcPr>
            <w:tcW w:w="748" w:type="dxa"/>
            <w:vMerge/>
          </w:tcPr>
          <w:p w14:paraId="1663805F" w14:textId="7CC5121E" w:rsidR="001777F7" w:rsidRDefault="001777F7" w:rsidP="001777F7">
            <w:pPr>
              <w:jc w:val="center"/>
            </w:pPr>
          </w:p>
        </w:tc>
        <w:tc>
          <w:tcPr>
            <w:tcW w:w="759" w:type="dxa"/>
          </w:tcPr>
          <w:p w14:paraId="5206C564" w14:textId="34F7065A" w:rsidR="001777F7" w:rsidRDefault="001777F7" w:rsidP="001777F7">
            <w:pPr>
              <w:jc w:val="center"/>
            </w:pPr>
            <w:r>
              <w:t>A3</w:t>
            </w:r>
          </w:p>
        </w:tc>
        <w:tc>
          <w:tcPr>
            <w:tcW w:w="2448" w:type="dxa"/>
          </w:tcPr>
          <w:p w14:paraId="02406C8B" w14:textId="1F7F87E2" w:rsidR="001777F7" w:rsidRDefault="001777F7" w:rsidP="001777F7">
            <w:pPr>
              <w:jc w:val="center"/>
            </w:pPr>
            <w:r>
              <w:t>21</w:t>
            </w:r>
          </w:p>
        </w:tc>
        <w:tc>
          <w:tcPr>
            <w:tcW w:w="2340" w:type="dxa"/>
          </w:tcPr>
          <w:p w14:paraId="7C90D487" w14:textId="28E9AB93" w:rsidR="001777F7" w:rsidRDefault="001777F7" w:rsidP="001777F7">
            <w:pPr>
              <w:jc w:val="center"/>
            </w:pPr>
            <w:r>
              <w:t>10%</w:t>
            </w:r>
          </w:p>
        </w:tc>
        <w:tc>
          <w:tcPr>
            <w:tcW w:w="2340" w:type="dxa"/>
          </w:tcPr>
          <w:p w14:paraId="5B363C8D" w14:textId="054D692F" w:rsidR="001777F7" w:rsidRDefault="001777F7" w:rsidP="001777F7">
            <w:pPr>
              <w:jc w:val="center"/>
            </w:pPr>
            <w:r>
              <w:t>9</w:t>
            </w:r>
            <w:r>
              <w:t>%</w:t>
            </w:r>
          </w:p>
        </w:tc>
        <w:tc>
          <w:tcPr>
            <w:tcW w:w="2155" w:type="dxa"/>
          </w:tcPr>
          <w:p w14:paraId="5A780633" w14:textId="5C9CCBA5" w:rsidR="001777F7" w:rsidRDefault="001777F7" w:rsidP="001777F7">
            <w:pPr>
              <w:jc w:val="center"/>
            </w:pPr>
            <w:r>
              <w:t>YES</w:t>
            </w:r>
          </w:p>
        </w:tc>
      </w:tr>
      <w:tr w:rsidR="001777F7" w14:paraId="1C3867B7" w14:textId="4992AC37" w:rsidTr="001777F7">
        <w:trPr>
          <w:trHeight w:val="269"/>
        </w:trPr>
        <w:tc>
          <w:tcPr>
            <w:tcW w:w="748" w:type="dxa"/>
            <w:vMerge/>
          </w:tcPr>
          <w:p w14:paraId="655C83D9" w14:textId="34509BAE" w:rsidR="001777F7" w:rsidRDefault="001777F7" w:rsidP="001777F7">
            <w:pPr>
              <w:jc w:val="center"/>
            </w:pPr>
          </w:p>
        </w:tc>
        <w:tc>
          <w:tcPr>
            <w:tcW w:w="759" w:type="dxa"/>
          </w:tcPr>
          <w:p w14:paraId="78ACE32B" w14:textId="03BB89B6" w:rsidR="001777F7" w:rsidRDefault="001777F7" w:rsidP="001777F7">
            <w:pPr>
              <w:jc w:val="center"/>
            </w:pPr>
            <w:r>
              <w:t>A4</w:t>
            </w:r>
          </w:p>
        </w:tc>
        <w:tc>
          <w:tcPr>
            <w:tcW w:w="2448" w:type="dxa"/>
          </w:tcPr>
          <w:p w14:paraId="293B0602" w14:textId="28235A2E" w:rsidR="001777F7" w:rsidRDefault="001777F7" w:rsidP="001777F7">
            <w:pPr>
              <w:jc w:val="center"/>
            </w:pPr>
            <w:r>
              <w:t>23</w:t>
            </w:r>
          </w:p>
        </w:tc>
        <w:tc>
          <w:tcPr>
            <w:tcW w:w="2340" w:type="dxa"/>
          </w:tcPr>
          <w:p w14:paraId="58623CF6" w14:textId="2403DF8F" w:rsidR="001777F7" w:rsidRDefault="001777F7" w:rsidP="001777F7">
            <w:pPr>
              <w:jc w:val="center"/>
            </w:pPr>
            <w:r>
              <w:t>10%</w:t>
            </w:r>
          </w:p>
        </w:tc>
        <w:tc>
          <w:tcPr>
            <w:tcW w:w="2340" w:type="dxa"/>
          </w:tcPr>
          <w:p w14:paraId="4BC99916" w14:textId="040B49B6" w:rsidR="001777F7" w:rsidRDefault="001777F7" w:rsidP="001777F7">
            <w:pPr>
              <w:jc w:val="center"/>
            </w:pPr>
            <w:r>
              <w:t>X</w:t>
            </w:r>
          </w:p>
        </w:tc>
        <w:tc>
          <w:tcPr>
            <w:tcW w:w="2155" w:type="dxa"/>
          </w:tcPr>
          <w:p w14:paraId="1AE5A415" w14:textId="063D575B" w:rsidR="001777F7" w:rsidRDefault="001777F7" w:rsidP="001777F7">
            <w:pPr>
              <w:jc w:val="center"/>
            </w:pPr>
            <w:r>
              <w:t>X</w:t>
            </w:r>
          </w:p>
        </w:tc>
      </w:tr>
      <w:tr w:rsidR="001777F7" w14:paraId="46B587FE" w14:textId="76D474E5" w:rsidTr="001777F7">
        <w:trPr>
          <w:trHeight w:val="269"/>
        </w:trPr>
        <w:tc>
          <w:tcPr>
            <w:tcW w:w="748" w:type="dxa"/>
            <w:vMerge w:val="restart"/>
            <w:textDirection w:val="btLr"/>
          </w:tcPr>
          <w:p w14:paraId="1E0D2C0E" w14:textId="77777777" w:rsidR="001777F7" w:rsidRPr="001777F7" w:rsidRDefault="001777F7" w:rsidP="001777F7">
            <w:pPr>
              <w:ind w:left="113" w:right="113"/>
              <w:jc w:val="center"/>
              <w:rPr>
                <w:sz w:val="18"/>
                <w:szCs w:val="18"/>
              </w:rPr>
            </w:pPr>
            <w:r w:rsidRPr="001777F7">
              <w:rPr>
                <w:sz w:val="18"/>
                <w:szCs w:val="18"/>
              </w:rPr>
              <w:t>Converging</w:t>
            </w:r>
          </w:p>
          <w:p w14:paraId="3AEFA9C1" w14:textId="33B76743" w:rsidR="001777F7" w:rsidRDefault="001777F7" w:rsidP="001777F7">
            <w:pPr>
              <w:ind w:left="113" w:right="113"/>
              <w:jc w:val="center"/>
            </w:pPr>
            <w:r w:rsidRPr="001777F7">
              <w:rPr>
                <w:sz w:val="18"/>
                <w:szCs w:val="18"/>
              </w:rPr>
              <w:t>Lens</w:t>
            </w:r>
          </w:p>
        </w:tc>
        <w:tc>
          <w:tcPr>
            <w:tcW w:w="759" w:type="dxa"/>
          </w:tcPr>
          <w:p w14:paraId="12E7C8F5" w14:textId="4C9EB005" w:rsidR="001777F7" w:rsidRDefault="001777F7" w:rsidP="001777F7">
            <w:pPr>
              <w:jc w:val="center"/>
            </w:pPr>
            <w:r>
              <w:t>B1</w:t>
            </w:r>
          </w:p>
        </w:tc>
        <w:tc>
          <w:tcPr>
            <w:tcW w:w="2448" w:type="dxa"/>
          </w:tcPr>
          <w:p w14:paraId="17501587" w14:textId="45CB71A5" w:rsidR="001777F7" w:rsidRDefault="001777F7" w:rsidP="001777F7">
            <w:pPr>
              <w:jc w:val="center"/>
            </w:pPr>
            <w:r>
              <w:t>26</w:t>
            </w:r>
          </w:p>
        </w:tc>
        <w:tc>
          <w:tcPr>
            <w:tcW w:w="2340" w:type="dxa"/>
          </w:tcPr>
          <w:p w14:paraId="7656894C" w14:textId="13B4070B" w:rsidR="001777F7" w:rsidRDefault="005635CF" w:rsidP="001777F7">
            <w:pPr>
              <w:jc w:val="center"/>
            </w:pPr>
            <w:r>
              <w:t>2%</w:t>
            </w:r>
          </w:p>
        </w:tc>
        <w:tc>
          <w:tcPr>
            <w:tcW w:w="2340" w:type="dxa"/>
          </w:tcPr>
          <w:p w14:paraId="70DE1DB8" w14:textId="1F3920AF" w:rsidR="001777F7" w:rsidRDefault="001777F7" w:rsidP="001777F7">
            <w:pPr>
              <w:jc w:val="center"/>
            </w:pPr>
            <w:r>
              <w:t>X</w:t>
            </w:r>
          </w:p>
        </w:tc>
        <w:tc>
          <w:tcPr>
            <w:tcW w:w="2155" w:type="dxa"/>
          </w:tcPr>
          <w:p w14:paraId="4F956908" w14:textId="7A4CEC70" w:rsidR="001777F7" w:rsidRDefault="001777F7" w:rsidP="001777F7">
            <w:pPr>
              <w:jc w:val="center"/>
            </w:pPr>
            <w:r>
              <w:t>X</w:t>
            </w:r>
          </w:p>
        </w:tc>
      </w:tr>
      <w:tr w:rsidR="001777F7" w14:paraId="64761EDC" w14:textId="31EB2ADA" w:rsidTr="001777F7">
        <w:trPr>
          <w:trHeight w:val="269"/>
        </w:trPr>
        <w:tc>
          <w:tcPr>
            <w:tcW w:w="748" w:type="dxa"/>
            <w:vMerge/>
          </w:tcPr>
          <w:p w14:paraId="3D2EF6FC" w14:textId="2BA5D1EE" w:rsidR="001777F7" w:rsidRDefault="001777F7" w:rsidP="001777F7">
            <w:pPr>
              <w:jc w:val="center"/>
            </w:pPr>
          </w:p>
        </w:tc>
        <w:tc>
          <w:tcPr>
            <w:tcW w:w="759" w:type="dxa"/>
          </w:tcPr>
          <w:p w14:paraId="7FFCEFA7" w14:textId="7ED3880A" w:rsidR="001777F7" w:rsidRDefault="001777F7" w:rsidP="001777F7">
            <w:pPr>
              <w:jc w:val="center"/>
            </w:pPr>
            <w:r>
              <w:t>B2</w:t>
            </w:r>
          </w:p>
        </w:tc>
        <w:tc>
          <w:tcPr>
            <w:tcW w:w="2448" w:type="dxa"/>
          </w:tcPr>
          <w:p w14:paraId="4DC607F9" w14:textId="4613BCA2" w:rsidR="001777F7" w:rsidRDefault="005635CF" w:rsidP="001777F7">
            <w:pPr>
              <w:jc w:val="center"/>
            </w:pPr>
            <w:r>
              <w:t>21</w:t>
            </w:r>
          </w:p>
        </w:tc>
        <w:tc>
          <w:tcPr>
            <w:tcW w:w="2340" w:type="dxa"/>
          </w:tcPr>
          <w:p w14:paraId="412CC0E9" w14:textId="2AAE0C07" w:rsidR="001777F7" w:rsidRDefault="005635CF" w:rsidP="001777F7">
            <w:pPr>
              <w:jc w:val="center"/>
            </w:pPr>
            <w:r>
              <w:t>3%</w:t>
            </w:r>
          </w:p>
        </w:tc>
        <w:tc>
          <w:tcPr>
            <w:tcW w:w="2340" w:type="dxa"/>
          </w:tcPr>
          <w:p w14:paraId="6CF1823C" w14:textId="4F70A22E" w:rsidR="001777F7" w:rsidRDefault="001777F7" w:rsidP="001777F7">
            <w:pPr>
              <w:jc w:val="center"/>
            </w:pPr>
            <w:r>
              <w:t>X</w:t>
            </w:r>
          </w:p>
        </w:tc>
        <w:tc>
          <w:tcPr>
            <w:tcW w:w="2155" w:type="dxa"/>
          </w:tcPr>
          <w:p w14:paraId="25D7C9F5" w14:textId="74176F3C" w:rsidR="001777F7" w:rsidRDefault="001777F7" w:rsidP="001777F7">
            <w:pPr>
              <w:jc w:val="center"/>
            </w:pPr>
            <w:r>
              <w:t>X</w:t>
            </w:r>
          </w:p>
        </w:tc>
      </w:tr>
      <w:tr w:rsidR="001777F7" w14:paraId="5C4A8F44" w14:textId="626B90E5" w:rsidTr="001777F7">
        <w:trPr>
          <w:trHeight w:val="269"/>
        </w:trPr>
        <w:tc>
          <w:tcPr>
            <w:tcW w:w="748" w:type="dxa"/>
            <w:vMerge/>
          </w:tcPr>
          <w:p w14:paraId="673A231E" w14:textId="69B9EF63" w:rsidR="001777F7" w:rsidRDefault="001777F7" w:rsidP="001777F7">
            <w:pPr>
              <w:jc w:val="center"/>
            </w:pPr>
          </w:p>
        </w:tc>
        <w:tc>
          <w:tcPr>
            <w:tcW w:w="759" w:type="dxa"/>
          </w:tcPr>
          <w:p w14:paraId="2A2ED7B1" w14:textId="1416F673" w:rsidR="001777F7" w:rsidRDefault="001777F7" w:rsidP="001777F7">
            <w:pPr>
              <w:jc w:val="center"/>
            </w:pPr>
            <w:r>
              <w:t>B3</w:t>
            </w:r>
          </w:p>
        </w:tc>
        <w:tc>
          <w:tcPr>
            <w:tcW w:w="2448" w:type="dxa"/>
          </w:tcPr>
          <w:p w14:paraId="3C6225D8" w14:textId="589152BC" w:rsidR="001777F7" w:rsidRDefault="005635CF" w:rsidP="001777F7">
            <w:pPr>
              <w:jc w:val="center"/>
            </w:pPr>
            <w:r>
              <w:t>19</w:t>
            </w:r>
          </w:p>
        </w:tc>
        <w:tc>
          <w:tcPr>
            <w:tcW w:w="2340" w:type="dxa"/>
          </w:tcPr>
          <w:p w14:paraId="1C52912F" w14:textId="72BE9311" w:rsidR="001777F7" w:rsidRDefault="005635CF" w:rsidP="001777F7">
            <w:pPr>
              <w:jc w:val="center"/>
            </w:pPr>
            <w:r>
              <w:t>6%</w:t>
            </w:r>
          </w:p>
        </w:tc>
        <w:tc>
          <w:tcPr>
            <w:tcW w:w="2340" w:type="dxa"/>
          </w:tcPr>
          <w:p w14:paraId="26987704" w14:textId="2F0A9734" w:rsidR="001777F7" w:rsidRDefault="001777F7" w:rsidP="001777F7">
            <w:pPr>
              <w:jc w:val="center"/>
            </w:pPr>
            <w:r>
              <w:t>X</w:t>
            </w:r>
          </w:p>
        </w:tc>
        <w:tc>
          <w:tcPr>
            <w:tcW w:w="2155" w:type="dxa"/>
          </w:tcPr>
          <w:p w14:paraId="53A299AD" w14:textId="42133606" w:rsidR="001777F7" w:rsidRDefault="001777F7" w:rsidP="001777F7">
            <w:pPr>
              <w:jc w:val="center"/>
            </w:pPr>
            <w:r>
              <w:t>X</w:t>
            </w:r>
          </w:p>
        </w:tc>
      </w:tr>
      <w:tr w:rsidR="001777F7" w14:paraId="7D004877" w14:textId="1FEE5EB0" w:rsidTr="001777F7">
        <w:trPr>
          <w:trHeight w:val="269"/>
        </w:trPr>
        <w:tc>
          <w:tcPr>
            <w:tcW w:w="748" w:type="dxa"/>
            <w:vMerge/>
          </w:tcPr>
          <w:p w14:paraId="6C381AC6" w14:textId="141B6EDF" w:rsidR="001777F7" w:rsidRDefault="001777F7" w:rsidP="001777F7">
            <w:pPr>
              <w:jc w:val="center"/>
            </w:pPr>
          </w:p>
        </w:tc>
        <w:tc>
          <w:tcPr>
            <w:tcW w:w="759" w:type="dxa"/>
          </w:tcPr>
          <w:p w14:paraId="69A9ADB6" w14:textId="4FF95558" w:rsidR="001777F7" w:rsidRDefault="001777F7" w:rsidP="001777F7">
            <w:pPr>
              <w:jc w:val="center"/>
            </w:pPr>
            <w:r>
              <w:t>B4</w:t>
            </w:r>
          </w:p>
        </w:tc>
        <w:tc>
          <w:tcPr>
            <w:tcW w:w="2448" w:type="dxa"/>
          </w:tcPr>
          <w:p w14:paraId="3F681464" w14:textId="2569BAB5" w:rsidR="001777F7" w:rsidRDefault="001777F7" w:rsidP="001777F7">
            <w:pPr>
              <w:jc w:val="center"/>
            </w:pPr>
            <w:r>
              <w:t>X</w:t>
            </w:r>
          </w:p>
        </w:tc>
        <w:tc>
          <w:tcPr>
            <w:tcW w:w="2340" w:type="dxa"/>
          </w:tcPr>
          <w:p w14:paraId="16E320EA" w14:textId="6905FA8C" w:rsidR="001777F7" w:rsidRDefault="001777F7" w:rsidP="001777F7">
            <w:pPr>
              <w:jc w:val="center"/>
            </w:pPr>
            <w:r>
              <w:t>X</w:t>
            </w:r>
          </w:p>
        </w:tc>
        <w:tc>
          <w:tcPr>
            <w:tcW w:w="2340" w:type="dxa"/>
          </w:tcPr>
          <w:p w14:paraId="227269A8" w14:textId="44576D39" w:rsidR="001777F7" w:rsidRDefault="001777F7" w:rsidP="001777F7">
            <w:pPr>
              <w:jc w:val="center"/>
            </w:pPr>
            <w:r>
              <w:t>X</w:t>
            </w:r>
          </w:p>
        </w:tc>
        <w:tc>
          <w:tcPr>
            <w:tcW w:w="2155" w:type="dxa"/>
          </w:tcPr>
          <w:p w14:paraId="16B33B70" w14:textId="760C6D4D" w:rsidR="001777F7" w:rsidRDefault="001777F7" w:rsidP="001777F7">
            <w:pPr>
              <w:jc w:val="center"/>
            </w:pPr>
            <w:r>
              <w:t>X</w:t>
            </w:r>
          </w:p>
        </w:tc>
      </w:tr>
    </w:tbl>
    <w:p w14:paraId="354A6161" w14:textId="77777777" w:rsidR="00845323" w:rsidRDefault="00845323">
      <w:pPr>
        <w:rPr>
          <w:sz w:val="24"/>
          <w:szCs w:val="24"/>
        </w:rPr>
      </w:pPr>
    </w:p>
    <w:p w14:paraId="498BE9F8" w14:textId="772BB586" w:rsidR="003C518E" w:rsidRDefault="00845323">
      <w:pPr>
        <w:rPr>
          <w:sz w:val="24"/>
          <w:szCs w:val="24"/>
        </w:rPr>
      </w:pPr>
      <w:r>
        <w:rPr>
          <w:sz w:val="24"/>
          <w:szCs w:val="24"/>
        </w:rPr>
        <w:t>The experiments with the greatest potential for accuracy also required the greatest attention to setup and precision. Referring to A2 and B1, great care was needed to ensure that the laser beams were parallel with each other as well as with the principal axis of the mirror/lens.  Any deviation was a source of error. Other sources of error include</w:t>
      </w:r>
      <w:r w:rsidR="007413F7">
        <w:rPr>
          <w:sz w:val="24"/>
          <w:szCs w:val="24"/>
        </w:rPr>
        <w:t>d</w:t>
      </w:r>
      <w:r>
        <w:rPr>
          <w:sz w:val="24"/>
          <w:szCs w:val="24"/>
        </w:rPr>
        <w:t xml:space="preserve"> misperception of when images came into best focus </w:t>
      </w:r>
      <w:r w:rsidR="009C262E">
        <w:rPr>
          <w:sz w:val="24"/>
          <w:szCs w:val="24"/>
        </w:rPr>
        <w:t xml:space="preserve">(methods A3, B2, B3) and misperception while comparing object and image size (method A1). </w:t>
      </w:r>
      <w:r w:rsidR="007413F7">
        <w:rPr>
          <w:sz w:val="24"/>
          <w:szCs w:val="24"/>
        </w:rPr>
        <w:t xml:space="preserve">These errors were accounted for by taking the delta of the maximum and minimum lengths at which the perceptual changes were barely noticeable. </w:t>
      </w:r>
    </w:p>
    <w:p w14:paraId="70985089" w14:textId="4FC37579" w:rsidR="009C262E" w:rsidRDefault="009C262E">
      <w:pPr>
        <w:rPr>
          <w:sz w:val="24"/>
          <w:szCs w:val="24"/>
        </w:rPr>
      </w:pPr>
      <w:r>
        <w:rPr>
          <w:sz w:val="24"/>
          <w:szCs w:val="24"/>
        </w:rPr>
        <w:t>As discussed in more detail in “Discussion Part A”, the “accepted” value for the focal length of the concave mirror, obtained in A4, had a 10% uncertainty. As such, the percent differences should only be regarded as percent difference with respect to technique A4</w:t>
      </w:r>
      <w:r w:rsidR="00B22ACD">
        <w:rPr>
          <w:sz w:val="24"/>
          <w:szCs w:val="24"/>
        </w:rPr>
        <w:t xml:space="preserve"> and not to an exact value</w:t>
      </w:r>
      <w:r>
        <w:rPr>
          <w:sz w:val="24"/>
          <w:szCs w:val="24"/>
        </w:rPr>
        <w:t xml:space="preserve">. The experiment could be improved by having an exact accepted value provided for both the mirror and lens. </w:t>
      </w:r>
    </w:p>
    <w:p w14:paraId="364312ED" w14:textId="21116CEB" w:rsidR="009C262E" w:rsidRDefault="009C262E">
      <w:pPr>
        <w:rPr>
          <w:sz w:val="24"/>
          <w:szCs w:val="24"/>
        </w:rPr>
      </w:pPr>
      <w:r>
        <w:rPr>
          <w:sz w:val="24"/>
          <w:szCs w:val="24"/>
        </w:rPr>
        <w:t>Technique B2 could be improved by using the Sun as the distant light source instead of a light bulb</w:t>
      </w:r>
      <w:r w:rsidR="009C4A68">
        <w:rPr>
          <w:sz w:val="24"/>
          <w:szCs w:val="24"/>
        </w:rPr>
        <w:t xml:space="preserve"> in order to ensure that the instance rays are parallel with the lens. (This would essentially be the same concept as a focused beam from a magnifying glass us</w:t>
      </w:r>
      <w:bookmarkStart w:id="0" w:name="_GoBack"/>
      <w:bookmarkEnd w:id="0"/>
      <w:r w:rsidR="009C4A68">
        <w:rPr>
          <w:sz w:val="24"/>
          <w:szCs w:val="24"/>
        </w:rPr>
        <w:t>ed by kids to burn leaves and ants.)</w:t>
      </w:r>
    </w:p>
    <w:p w14:paraId="7C8203CB" w14:textId="22D88DAA" w:rsidR="0001464D" w:rsidRDefault="0001464D">
      <w:pPr>
        <w:rPr>
          <w:sz w:val="24"/>
          <w:szCs w:val="24"/>
        </w:rPr>
      </w:pPr>
    </w:p>
    <w:p w14:paraId="68BF839A" w14:textId="1628AAC7" w:rsidR="0001464D" w:rsidRDefault="0001464D">
      <w:pPr>
        <w:rPr>
          <w:sz w:val="24"/>
          <w:szCs w:val="24"/>
        </w:rPr>
      </w:pPr>
    </w:p>
    <w:sectPr w:rsidR="0001464D" w:rsidSect="003C51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A2"/>
    <w:rsid w:val="0001464D"/>
    <w:rsid w:val="001777F7"/>
    <w:rsid w:val="003C518E"/>
    <w:rsid w:val="005635CF"/>
    <w:rsid w:val="00583DB1"/>
    <w:rsid w:val="007413F7"/>
    <w:rsid w:val="00845323"/>
    <w:rsid w:val="00883773"/>
    <w:rsid w:val="009C262E"/>
    <w:rsid w:val="009C4A68"/>
    <w:rsid w:val="00B22ACD"/>
    <w:rsid w:val="00DF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F7A6"/>
  <w15:chartTrackingRefBased/>
  <w15:docId w15:val="{27C72140-1702-4C7B-AB8B-D659BB50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6</cp:revision>
  <dcterms:created xsi:type="dcterms:W3CDTF">2019-03-11T14:57:00Z</dcterms:created>
  <dcterms:modified xsi:type="dcterms:W3CDTF">2019-03-11T15:46:00Z</dcterms:modified>
</cp:coreProperties>
</file>