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4868" w14:textId="3AC1153C" w:rsidR="00E5188E" w:rsidRPr="001A3D87" w:rsidRDefault="001A3D87">
      <w:pPr>
        <w:rPr>
          <w:b/>
          <w:sz w:val="32"/>
          <w:szCs w:val="32"/>
        </w:rPr>
      </w:pPr>
      <w:r w:rsidRPr="001A3D87">
        <w:rPr>
          <w:b/>
          <w:sz w:val="32"/>
          <w:szCs w:val="32"/>
        </w:rPr>
        <w:t>Conclusion</w:t>
      </w:r>
    </w:p>
    <w:p w14:paraId="1C58703F" w14:textId="0F65A707" w:rsidR="001A3D87" w:rsidRDefault="001A3D87"/>
    <w:tbl>
      <w:tblPr>
        <w:tblStyle w:val="TableGrid"/>
        <w:tblW w:w="0" w:type="auto"/>
        <w:tblLayout w:type="fixed"/>
        <w:tblLook w:val="04A0" w:firstRow="1" w:lastRow="0" w:firstColumn="1" w:lastColumn="0" w:noHBand="0" w:noVBand="1"/>
      </w:tblPr>
      <w:tblGrid>
        <w:gridCol w:w="625"/>
        <w:gridCol w:w="2033"/>
        <w:gridCol w:w="2033"/>
        <w:gridCol w:w="2033"/>
        <w:gridCol w:w="2033"/>
        <w:gridCol w:w="2033"/>
      </w:tblGrid>
      <w:tr w:rsidR="0060426E" w14:paraId="3771654A" w14:textId="77777777" w:rsidTr="0060426E">
        <w:tc>
          <w:tcPr>
            <w:tcW w:w="625" w:type="dxa"/>
          </w:tcPr>
          <w:p w14:paraId="19344A69" w14:textId="11434F8D" w:rsidR="0060426E" w:rsidRDefault="0060426E">
            <w:r>
              <w:t>Exp.</w:t>
            </w:r>
          </w:p>
        </w:tc>
        <w:tc>
          <w:tcPr>
            <w:tcW w:w="2033" w:type="dxa"/>
          </w:tcPr>
          <w:p w14:paraId="06175F90" w14:textId="275B8C02" w:rsidR="0060426E" w:rsidRDefault="0060426E">
            <m:oMathPara>
              <m:oMath>
                <m:sSub>
                  <m:sSubPr>
                    <m:ctrlPr>
                      <w:rPr>
                        <w:rFonts w:ascii="Cambria Math" w:hAnsi="Cambria Math"/>
                        <w:i/>
                      </w:rPr>
                    </m:ctrlPr>
                  </m:sSubPr>
                  <m:e>
                    <m:r>
                      <w:rPr>
                        <w:rFonts w:ascii="Cambria Math" w:hAnsi="Cambria Math"/>
                      </w:rPr>
                      <m:t>f</m:t>
                    </m:r>
                  </m:e>
                  <m:sub>
                    <m:r>
                      <w:rPr>
                        <w:rFonts w:ascii="Cambria Math" w:hAnsi="Cambria Math"/>
                      </w:rPr>
                      <m:t>theoretical</m:t>
                    </m:r>
                  </m:sub>
                </m:sSub>
                <m:r>
                  <w:rPr>
                    <w:rFonts w:ascii="Cambria Math" w:eastAsiaTheme="minorEastAsia" w:hAnsi="Cambria Math"/>
                  </w:rPr>
                  <m:t xml:space="preserve"> (cm)</m:t>
                </m:r>
              </m:oMath>
            </m:oMathPara>
          </w:p>
        </w:tc>
        <w:tc>
          <w:tcPr>
            <w:tcW w:w="2033" w:type="dxa"/>
          </w:tcPr>
          <w:p w14:paraId="6BB68E90" w14:textId="73C28542" w:rsidR="0060426E" w:rsidRDefault="0060426E">
            <m:oMathPara>
              <m:oMath>
                <m:sSub>
                  <m:sSubPr>
                    <m:ctrlPr>
                      <w:rPr>
                        <w:rFonts w:ascii="Cambria Math" w:hAnsi="Cambria Math"/>
                        <w:i/>
                      </w:rPr>
                    </m:ctrlPr>
                  </m:sSubPr>
                  <m:e>
                    <m:r>
                      <w:rPr>
                        <w:rFonts w:ascii="Cambria Math" w:hAnsi="Cambria Math"/>
                      </w:rPr>
                      <m:t>f</m:t>
                    </m:r>
                  </m:e>
                  <m:sub>
                    <m:r>
                      <w:rPr>
                        <w:rFonts w:ascii="Cambria Math" w:hAnsi="Cambria Math"/>
                      </w:rPr>
                      <m:t>experimental</m:t>
                    </m:r>
                  </m:sub>
                </m:sSub>
                <m:r>
                  <w:rPr>
                    <w:rFonts w:ascii="Cambria Math" w:hAnsi="Cambria Math"/>
                  </w:rPr>
                  <m:t xml:space="preserve"> (cm)</m:t>
                </m:r>
              </m:oMath>
            </m:oMathPara>
          </w:p>
        </w:tc>
        <w:tc>
          <w:tcPr>
            <w:tcW w:w="2033" w:type="dxa"/>
          </w:tcPr>
          <w:p w14:paraId="49B9BA61" w14:textId="55C5232E" w:rsidR="0060426E" w:rsidRDefault="0060426E">
            <m:oMathPara>
              <m:oMath>
                <m:r>
                  <w:rPr>
                    <w:rFonts w:ascii="Cambria Math" w:hAnsi="Cambria Math"/>
                  </w:rPr>
                  <m:t>% Uncertainty</m:t>
                </m:r>
              </m:oMath>
            </m:oMathPara>
          </w:p>
        </w:tc>
        <w:tc>
          <w:tcPr>
            <w:tcW w:w="2033" w:type="dxa"/>
          </w:tcPr>
          <w:p w14:paraId="752FF560" w14:textId="7F84BB63" w:rsidR="0060426E" w:rsidRDefault="0060426E">
            <m:oMathPara>
              <m:oMath>
                <m:r>
                  <w:rPr>
                    <w:rFonts w:ascii="Cambria Math" w:hAnsi="Cambria Math"/>
                  </w:rPr>
                  <m:t>% Difference</m:t>
                </m:r>
              </m:oMath>
            </m:oMathPara>
          </w:p>
        </w:tc>
        <w:tc>
          <w:tcPr>
            <w:tcW w:w="2033" w:type="dxa"/>
          </w:tcPr>
          <w:p w14:paraId="4BE5516B" w14:textId="417229F4" w:rsidR="0060426E" w:rsidRDefault="0060426E">
            <m:oMathPara>
              <m:oMath>
                <m:r>
                  <w:rPr>
                    <w:rFonts w:ascii="Cambria Math" w:hAnsi="Cambria Math"/>
                  </w:rPr>
                  <m:t>Within Error Margin?</m:t>
                </m:r>
              </m:oMath>
            </m:oMathPara>
          </w:p>
        </w:tc>
      </w:tr>
      <w:tr w:rsidR="0060426E" w14:paraId="0F8DDD82" w14:textId="77777777" w:rsidTr="0060426E">
        <w:tc>
          <w:tcPr>
            <w:tcW w:w="625" w:type="dxa"/>
          </w:tcPr>
          <w:p w14:paraId="1447A58C" w14:textId="6842E1DE" w:rsidR="0060426E" w:rsidRDefault="0060426E">
            <w:r>
              <w:t>A</w:t>
            </w:r>
          </w:p>
        </w:tc>
        <w:tc>
          <w:tcPr>
            <w:tcW w:w="2033" w:type="dxa"/>
          </w:tcPr>
          <w:p w14:paraId="1BA6A149" w14:textId="4C50683D" w:rsidR="0060426E" w:rsidRDefault="0060426E" w:rsidP="0060426E">
            <w:pPr>
              <w:jc w:val="center"/>
            </w:pPr>
            <w:r>
              <w:t>12</w:t>
            </w:r>
          </w:p>
        </w:tc>
        <w:tc>
          <w:tcPr>
            <w:tcW w:w="2033" w:type="dxa"/>
          </w:tcPr>
          <w:p w14:paraId="619D9540" w14:textId="136BB969" w:rsidR="0060426E" w:rsidRDefault="0060426E" w:rsidP="0060426E">
            <w:pPr>
              <w:jc w:val="center"/>
            </w:pPr>
            <w:r>
              <w:t>12</w:t>
            </w:r>
          </w:p>
        </w:tc>
        <w:tc>
          <w:tcPr>
            <w:tcW w:w="2033" w:type="dxa"/>
          </w:tcPr>
          <w:p w14:paraId="6286348D" w14:textId="441C409F" w:rsidR="0060426E" w:rsidRDefault="0060426E" w:rsidP="0060426E">
            <w:pPr>
              <w:jc w:val="center"/>
            </w:pPr>
            <w:r>
              <w:t>4%</w:t>
            </w:r>
          </w:p>
        </w:tc>
        <w:tc>
          <w:tcPr>
            <w:tcW w:w="2033" w:type="dxa"/>
          </w:tcPr>
          <w:p w14:paraId="519AE68E" w14:textId="0141FFB6" w:rsidR="0060426E" w:rsidRDefault="0060426E" w:rsidP="0060426E">
            <w:pPr>
              <w:jc w:val="center"/>
            </w:pPr>
            <w:r>
              <w:t>0%</w:t>
            </w:r>
          </w:p>
        </w:tc>
        <w:tc>
          <w:tcPr>
            <w:tcW w:w="2033" w:type="dxa"/>
          </w:tcPr>
          <w:p w14:paraId="3E8BAD8D" w14:textId="78AF5C13" w:rsidR="0060426E" w:rsidRDefault="0060426E" w:rsidP="0060426E">
            <w:pPr>
              <w:jc w:val="center"/>
            </w:pPr>
            <w:r>
              <w:t>YES</w:t>
            </w:r>
          </w:p>
        </w:tc>
      </w:tr>
      <w:tr w:rsidR="0060426E" w14:paraId="6D805144" w14:textId="77777777" w:rsidTr="0060426E">
        <w:tc>
          <w:tcPr>
            <w:tcW w:w="625" w:type="dxa"/>
          </w:tcPr>
          <w:p w14:paraId="50776B30" w14:textId="68E00153" w:rsidR="0060426E" w:rsidRDefault="0060426E">
            <w:r>
              <w:t>B</w:t>
            </w:r>
          </w:p>
        </w:tc>
        <w:tc>
          <w:tcPr>
            <w:tcW w:w="2033" w:type="dxa"/>
          </w:tcPr>
          <w:p w14:paraId="1057FBAA" w14:textId="028359DB" w:rsidR="0060426E" w:rsidRDefault="0060426E" w:rsidP="0060426E">
            <w:pPr>
              <w:jc w:val="center"/>
            </w:pPr>
            <w:r>
              <w:t>-15</w:t>
            </w:r>
          </w:p>
        </w:tc>
        <w:tc>
          <w:tcPr>
            <w:tcW w:w="2033" w:type="dxa"/>
          </w:tcPr>
          <w:p w14:paraId="70AC4C03" w14:textId="60D46D1C" w:rsidR="0060426E" w:rsidRDefault="0060426E" w:rsidP="0060426E">
            <w:pPr>
              <w:jc w:val="center"/>
            </w:pPr>
            <w:r>
              <w:t>-15</w:t>
            </w:r>
          </w:p>
        </w:tc>
        <w:tc>
          <w:tcPr>
            <w:tcW w:w="2033" w:type="dxa"/>
          </w:tcPr>
          <w:p w14:paraId="1A5E5977" w14:textId="420C6D78" w:rsidR="0060426E" w:rsidRDefault="0060426E" w:rsidP="0060426E">
            <w:pPr>
              <w:jc w:val="center"/>
            </w:pPr>
            <w:r>
              <w:t>33%</w:t>
            </w:r>
          </w:p>
        </w:tc>
        <w:tc>
          <w:tcPr>
            <w:tcW w:w="2033" w:type="dxa"/>
          </w:tcPr>
          <w:p w14:paraId="309AE041" w14:textId="62D35962" w:rsidR="0060426E" w:rsidRDefault="0060426E" w:rsidP="0060426E">
            <w:pPr>
              <w:jc w:val="center"/>
            </w:pPr>
            <w:r>
              <w:t>0%</w:t>
            </w:r>
          </w:p>
        </w:tc>
        <w:tc>
          <w:tcPr>
            <w:tcW w:w="2033" w:type="dxa"/>
          </w:tcPr>
          <w:p w14:paraId="4099F607" w14:textId="2ECF6D4D" w:rsidR="0060426E" w:rsidRDefault="0060426E" w:rsidP="0060426E">
            <w:pPr>
              <w:jc w:val="center"/>
            </w:pPr>
            <w:r>
              <w:t>YES</w:t>
            </w:r>
          </w:p>
        </w:tc>
      </w:tr>
      <w:tr w:rsidR="0060426E" w14:paraId="293F5259" w14:textId="77777777" w:rsidTr="0060426E">
        <w:tc>
          <w:tcPr>
            <w:tcW w:w="625" w:type="dxa"/>
          </w:tcPr>
          <w:p w14:paraId="4739CB1E" w14:textId="7C0119BA" w:rsidR="0060426E" w:rsidRDefault="0060426E">
            <w:r>
              <w:t>-</w:t>
            </w:r>
          </w:p>
        </w:tc>
        <w:tc>
          <w:tcPr>
            <w:tcW w:w="2033" w:type="dxa"/>
          </w:tcPr>
          <w:p w14:paraId="0F32150B" w14:textId="5144EC15" w:rsidR="0060426E" w:rsidRDefault="0060426E" w:rsidP="0060426E">
            <w:pPr>
              <w:jc w:val="center"/>
            </w:pPr>
            <w:r>
              <w:t>-</w:t>
            </w:r>
          </w:p>
        </w:tc>
        <w:tc>
          <w:tcPr>
            <w:tcW w:w="2033" w:type="dxa"/>
          </w:tcPr>
          <w:p w14:paraId="0F5E03FE" w14:textId="5C21B0AD" w:rsidR="0060426E" w:rsidRDefault="0060426E" w:rsidP="0060426E">
            <w:pPr>
              <w:jc w:val="center"/>
            </w:pPr>
            <w:r>
              <w:t>-</w:t>
            </w:r>
          </w:p>
        </w:tc>
        <w:tc>
          <w:tcPr>
            <w:tcW w:w="2033" w:type="dxa"/>
          </w:tcPr>
          <w:p w14:paraId="24CBD535" w14:textId="1383CEE4" w:rsidR="0060426E" w:rsidRDefault="0060426E" w:rsidP="0060426E">
            <w:pPr>
              <w:jc w:val="center"/>
            </w:pPr>
            <w:r>
              <w:t>-</w:t>
            </w:r>
          </w:p>
        </w:tc>
        <w:tc>
          <w:tcPr>
            <w:tcW w:w="2033" w:type="dxa"/>
          </w:tcPr>
          <w:p w14:paraId="3ABF12FE" w14:textId="42A4C5D6" w:rsidR="0060426E" w:rsidRDefault="0060426E" w:rsidP="0060426E">
            <w:pPr>
              <w:jc w:val="center"/>
            </w:pPr>
            <w:r>
              <w:t>-</w:t>
            </w:r>
          </w:p>
        </w:tc>
        <w:tc>
          <w:tcPr>
            <w:tcW w:w="2033" w:type="dxa"/>
          </w:tcPr>
          <w:p w14:paraId="4F4871B7" w14:textId="7BD380CC" w:rsidR="0060426E" w:rsidRDefault="0060426E" w:rsidP="0060426E">
            <w:pPr>
              <w:jc w:val="center"/>
            </w:pPr>
            <w:r>
              <w:t>-</w:t>
            </w:r>
          </w:p>
        </w:tc>
      </w:tr>
      <w:tr w:rsidR="0060426E" w14:paraId="63FFDDB0" w14:textId="77777777" w:rsidTr="0060426E">
        <w:tc>
          <w:tcPr>
            <w:tcW w:w="625" w:type="dxa"/>
          </w:tcPr>
          <w:p w14:paraId="5FF15630" w14:textId="464687BF" w:rsidR="0060426E" w:rsidRDefault="0060426E">
            <w:r>
              <w:t>-</w:t>
            </w:r>
          </w:p>
        </w:tc>
        <w:tc>
          <w:tcPr>
            <w:tcW w:w="2033" w:type="dxa"/>
          </w:tcPr>
          <w:p w14:paraId="4884587D" w14:textId="0A60F252" w:rsidR="0060426E" w:rsidRDefault="0060426E" w:rsidP="0060426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theoretical</m:t>
                    </m:r>
                  </m:sub>
                </m:sSub>
              </m:oMath>
            </m:oMathPara>
          </w:p>
        </w:tc>
        <w:tc>
          <w:tcPr>
            <w:tcW w:w="2033" w:type="dxa"/>
          </w:tcPr>
          <w:p w14:paraId="18438037" w14:textId="674EC80A" w:rsidR="0060426E" w:rsidRDefault="0060426E" w:rsidP="0060426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experimental</m:t>
                    </m:r>
                  </m:sub>
                </m:sSub>
              </m:oMath>
            </m:oMathPara>
          </w:p>
        </w:tc>
        <w:tc>
          <w:tcPr>
            <w:tcW w:w="2033" w:type="dxa"/>
          </w:tcPr>
          <w:p w14:paraId="709A786C" w14:textId="1AD27E89" w:rsidR="0060426E" w:rsidRDefault="0060426E" w:rsidP="0060426E">
            <w:pPr>
              <w:jc w:val="center"/>
            </w:pPr>
            <w:r>
              <w:t>-</w:t>
            </w:r>
          </w:p>
        </w:tc>
        <w:tc>
          <w:tcPr>
            <w:tcW w:w="2033" w:type="dxa"/>
          </w:tcPr>
          <w:p w14:paraId="710ABB25" w14:textId="184D0093" w:rsidR="0060426E" w:rsidRDefault="0060426E" w:rsidP="0060426E">
            <w:pPr>
              <w:jc w:val="center"/>
            </w:pPr>
            <w:r>
              <w:t>-</w:t>
            </w:r>
          </w:p>
        </w:tc>
        <w:tc>
          <w:tcPr>
            <w:tcW w:w="2033" w:type="dxa"/>
          </w:tcPr>
          <w:p w14:paraId="43BA7AA5" w14:textId="0CBD5153" w:rsidR="0060426E" w:rsidRDefault="0060426E" w:rsidP="0060426E">
            <w:pPr>
              <w:jc w:val="center"/>
            </w:pPr>
            <w:r>
              <w:t>-</w:t>
            </w:r>
            <w:bookmarkStart w:id="0" w:name="_GoBack"/>
            <w:bookmarkEnd w:id="0"/>
          </w:p>
        </w:tc>
      </w:tr>
      <w:tr w:rsidR="0060426E" w14:paraId="76526F52" w14:textId="77777777" w:rsidTr="0060426E">
        <w:tc>
          <w:tcPr>
            <w:tcW w:w="625" w:type="dxa"/>
          </w:tcPr>
          <w:p w14:paraId="6EBA9F07" w14:textId="749FBAC5" w:rsidR="0060426E" w:rsidRDefault="0060426E">
            <w:r>
              <w:t>C</w:t>
            </w:r>
          </w:p>
        </w:tc>
        <w:tc>
          <w:tcPr>
            <w:tcW w:w="2033" w:type="dxa"/>
          </w:tcPr>
          <w:p w14:paraId="0873BD2B" w14:textId="136F5E32" w:rsidR="0060426E" w:rsidRDefault="0060426E" w:rsidP="0060426E">
            <w:pPr>
              <w:jc w:val="center"/>
            </w:pPr>
            <w:r>
              <w:t>2</w:t>
            </w:r>
          </w:p>
        </w:tc>
        <w:tc>
          <w:tcPr>
            <w:tcW w:w="2033" w:type="dxa"/>
          </w:tcPr>
          <w:p w14:paraId="4BEF5352" w14:textId="49931B89" w:rsidR="0060426E" w:rsidRDefault="0060426E" w:rsidP="0060426E">
            <w:pPr>
              <w:jc w:val="center"/>
            </w:pPr>
            <w:r>
              <w:t>1.95</w:t>
            </w:r>
          </w:p>
        </w:tc>
        <w:tc>
          <w:tcPr>
            <w:tcW w:w="2033" w:type="dxa"/>
          </w:tcPr>
          <w:p w14:paraId="5B2CC434" w14:textId="70671357" w:rsidR="0060426E" w:rsidRDefault="0060426E" w:rsidP="0060426E">
            <w:pPr>
              <w:jc w:val="center"/>
            </w:pPr>
            <w:r>
              <w:t>2%</w:t>
            </w:r>
          </w:p>
        </w:tc>
        <w:tc>
          <w:tcPr>
            <w:tcW w:w="2033" w:type="dxa"/>
          </w:tcPr>
          <w:p w14:paraId="5F6FF7D3" w14:textId="5534663E" w:rsidR="0060426E" w:rsidRDefault="0060426E" w:rsidP="0060426E">
            <w:pPr>
              <w:jc w:val="center"/>
            </w:pPr>
            <w:r>
              <w:t>3%</w:t>
            </w:r>
          </w:p>
        </w:tc>
        <w:tc>
          <w:tcPr>
            <w:tcW w:w="2033" w:type="dxa"/>
          </w:tcPr>
          <w:p w14:paraId="658339EF" w14:textId="6BE44076" w:rsidR="0060426E" w:rsidRDefault="0060426E" w:rsidP="0060426E">
            <w:pPr>
              <w:jc w:val="center"/>
            </w:pPr>
            <w:r>
              <w:t>NO</w:t>
            </w:r>
          </w:p>
        </w:tc>
      </w:tr>
    </w:tbl>
    <w:p w14:paraId="2494E7AE" w14:textId="77777777" w:rsidR="0060426E" w:rsidRDefault="0060426E"/>
    <w:p w14:paraId="5668F524" w14:textId="3B47A0E1" w:rsidR="001A3D87" w:rsidRPr="001A3D87" w:rsidRDefault="001A3D87">
      <w:pPr>
        <w:rPr>
          <w:b/>
        </w:rPr>
      </w:pPr>
      <w:r w:rsidRPr="001A3D87">
        <w:rPr>
          <w:b/>
        </w:rPr>
        <w:t>Experiment A:</w:t>
      </w:r>
    </w:p>
    <w:p w14:paraId="45F39BC6" w14:textId="598DDA60" w:rsidR="001A3D87" w:rsidRDefault="001A3D87">
      <w:r>
        <w:t xml:space="preserve">The equivalent focal length of two combined lenses, one with focal length 20cm and the other with focal length 30cm, was found to be 12cm with a 4% uncertainty. The percent difference from the theoretical value of 12cm is 0%, which is within the margin of error. The experiment required great precision to be taken, ensuring that the two laser beams were parallel with each other and with the principal axis of the lenses. Because of the small diameter of the lenses, it was difficult to position the lasers close enough together </w:t>
      </w:r>
      <w:r w:rsidR="00730089">
        <w:t xml:space="preserve">without having interference from the surrounding apparatus. The experiment could be improved by using a beam splitter with a single laser. </w:t>
      </w:r>
    </w:p>
    <w:p w14:paraId="474C9E7C" w14:textId="6168E5D1" w:rsidR="001A3D87" w:rsidRDefault="001A3D87"/>
    <w:p w14:paraId="10457CEA" w14:textId="16FAE05E" w:rsidR="001A3D87" w:rsidRPr="001A3D87" w:rsidRDefault="001A3D87">
      <w:pPr>
        <w:rPr>
          <w:b/>
        </w:rPr>
      </w:pPr>
      <w:r w:rsidRPr="001A3D87">
        <w:rPr>
          <w:b/>
        </w:rPr>
        <w:t>Experiment B:</w:t>
      </w:r>
    </w:p>
    <w:p w14:paraId="317E2E1F" w14:textId="69CE82CF" w:rsidR="001A3D87" w:rsidRDefault="00730089">
      <w:r>
        <w:t xml:space="preserve">The focal length of the diverging lens was found to be -15cm with a 33% uncertainty. The uncertainty was obtained by error propagation and is surprisingly high at first glance. With closer observation, however, </w:t>
      </w:r>
      <w:r w:rsidR="00542F74">
        <w:t>the high value</w:t>
      </w:r>
      <w:r>
        <w:t xml:space="preserve"> makes sense when comparing the ratio of absolute error (0.5cm) </w:t>
      </w:r>
      <w:r w:rsidR="00542F74">
        <w:t>to</w:t>
      </w:r>
      <w:r>
        <w:t xml:space="preserve"> the distance between</w:t>
      </w:r>
      <w:r w:rsidR="00542F74">
        <w:t xml:space="preserve"> the virtual</w:t>
      </w:r>
      <w:r>
        <w:t xml:space="preserve"> object and</w:t>
      </w:r>
      <w:r w:rsidR="00542F74">
        <w:t xml:space="preserve"> final</w:t>
      </w:r>
      <w:r>
        <w:t xml:space="preserve"> image (2.5cm). </w:t>
      </w:r>
      <w:r w:rsidR="00542F74">
        <w:t xml:space="preserve"> The percent difference from the theoretical value of -15cm is 0%, which is within the margin of error. The experiment could be improved by using</w:t>
      </w:r>
      <w:r w:rsidR="00FC55E4">
        <w:t xml:space="preserve"> different</w:t>
      </w:r>
      <w:r w:rsidR="00542F74">
        <w:t xml:space="preserve"> lenses </w:t>
      </w:r>
      <w:r w:rsidR="00417191">
        <w:t>and</w:t>
      </w:r>
      <w:r w:rsidR="001B0AE2">
        <w:t>/or</w:t>
      </w:r>
      <w:r w:rsidR="00417191">
        <w:t xml:space="preserve"> repositioning the apparatus such </w:t>
      </w:r>
      <w:r w:rsidR="00542F74">
        <w:t>that the distance between the virtual object and final image</w:t>
      </w:r>
      <w:r w:rsidR="00417191">
        <w:t xml:space="preserve"> is increased</w:t>
      </w:r>
      <w:r w:rsidR="00542F74">
        <w:t xml:space="preserve">. This could be achieved by </w:t>
      </w:r>
      <w:r w:rsidR="00407371">
        <w:t>simply moving the diverging lens closer to the converging lens</w:t>
      </w:r>
      <w:r w:rsidR="001B0AE2">
        <w:t xml:space="preserve">, making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B0AE2">
        <w:rPr>
          <w:rFonts w:eastAsiaTheme="minorEastAsia"/>
        </w:rPr>
        <w:t xml:space="preserve">  -10cm instead of -5cm.</w:t>
      </w:r>
    </w:p>
    <w:p w14:paraId="7FF9C9BE" w14:textId="77777777" w:rsidR="00730089" w:rsidRDefault="00730089"/>
    <w:p w14:paraId="5CC62476" w14:textId="5CE798FE" w:rsidR="001A3D87" w:rsidRPr="001A3D87" w:rsidRDefault="001A3D87">
      <w:pPr>
        <w:rPr>
          <w:b/>
        </w:rPr>
      </w:pPr>
      <w:r w:rsidRPr="001A3D87">
        <w:rPr>
          <w:b/>
        </w:rPr>
        <w:t>Experiment C:</w:t>
      </w:r>
    </w:p>
    <w:p w14:paraId="636E37F4" w14:textId="7580C4F9" w:rsidR="001A3D87" w:rsidRDefault="00B965AD">
      <w:r>
        <w:t xml:space="preserve">The magnification of the beam expander was experimentally found to be 1.95 with a 2% uncertainty. The percent difference from the theoretical value of 2 is 3%, which is not within the margin of error. While diameters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were measured with a</w:t>
      </w:r>
      <w:r w:rsidR="001A068F">
        <w:rPr>
          <w:rFonts w:eastAsiaTheme="minorEastAsia"/>
        </w:rPr>
        <w:t xml:space="preserve"> very accurate tool, it was difficult to properly measure the final expanded beam</w:t>
      </w:r>
      <w:r w:rsidR="00D77086">
        <w:rPr>
          <w:rFonts w:eastAsiaTheme="minorEastAsia"/>
        </w:rPr>
        <w:t>.</w:t>
      </w:r>
      <w:r w:rsidR="001A068F">
        <w:rPr>
          <w:rFonts w:eastAsiaTheme="minorEastAsia"/>
        </w:rPr>
        <w:t xml:space="preserve"> </w:t>
      </w:r>
      <w:r w:rsidR="00D77086">
        <w:rPr>
          <w:rFonts w:eastAsiaTheme="minorEastAsia"/>
        </w:rPr>
        <w:t xml:space="preserve">Also, </w:t>
      </w:r>
      <w:r w:rsidR="001A068F">
        <w:rPr>
          <w:rFonts w:eastAsiaTheme="minorEastAsia"/>
        </w:rPr>
        <w:t>with the small magnitude of magnification, the ratio of absolute error to measured value is high. The experiment could be improved by using an iris with a larger diameter, or by using different lenses and/or repositioning the apparatus to produce a larger final beam</w:t>
      </w:r>
      <w:r w:rsidR="00D77086">
        <w:rPr>
          <w:rFonts w:eastAsiaTheme="minorEastAsia"/>
        </w:rPr>
        <w:t>, thus reducing the error to measured value ratio</w:t>
      </w:r>
      <w:r w:rsidR="001A068F">
        <w:rPr>
          <w:rFonts w:eastAsiaTheme="minorEastAsia"/>
        </w:rPr>
        <w:t xml:space="preserve">.  </w:t>
      </w:r>
    </w:p>
    <w:p w14:paraId="4DF26ED3" w14:textId="77777777" w:rsidR="001A3D87" w:rsidRDefault="001A3D87"/>
    <w:p w14:paraId="5A2A4819" w14:textId="77777777" w:rsidR="001A3D87" w:rsidRDefault="001A3D87"/>
    <w:sectPr w:rsidR="001A3D87" w:rsidSect="001A3D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87"/>
    <w:rsid w:val="001A068F"/>
    <w:rsid w:val="001A3D87"/>
    <w:rsid w:val="001B0AE2"/>
    <w:rsid w:val="00407371"/>
    <w:rsid w:val="00417191"/>
    <w:rsid w:val="004F0C04"/>
    <w:rsid w:val="00542F74"/>
    <w:rsid w:val="00583DB1"/>
    <w:rsid w:val="0060426E"/>
    <w:rsid w:val="00730089"/>
    <w:rsid w:val="00883773"/>
    <w:rsid w:val="00B965AD"/>
    <w:rsid w:val="00D77086"/>
    <w:rsid w:val="00FC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0EF1"/>
  <w15:chartTrackingRefBased/>
  <w15:docId w15:val="{544B825E-9DD3-40D5-BCB7-5C796C8B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AE2"/>
    <w:rPr>
      <w:color w:val="808080"/>
    </w:rPr>
  </w:style>
  <w:style w:type="table" w:styleId="TableGrid">
    <w:name w:val="Table Grid"/>
    <w:basedOn w:val="TableNormal"/>
    <w:uiPriority w:val="39"/>
    <w:rsid w:val="0060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6</cp:revision>
  <dcterms:created xsi:type="dcterms:W3CDTF">2019-03-16T18:06:00Z</dcterms:created>
  <dcterms:modified xsi:type="dcterms:W3CDTF">2019-03-17T22:59:00Z</dcterms:modified>
</cp:coreProperties>
</file>