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EERSTE TRIMESTER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Trilling Markus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instrumentjazz--lichte-muziek-pianokeyboard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Marc Sperber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6.8/100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illing-marku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