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759" w:rsidRPr="00AB3759" w:rsidRDefault="00AB3759" w:rsidP="00AB37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3759">
        <w:rPr>
          <w:rFonts w:ascii="Calibri" w:eastAsia="Times New Roman" w:hAnsi="Calibri" w:cs="Calibri"/>
          <w:b/>
          <w:bCs/>
          <w:sz w:val="23"/>
          <w:szCs w:val="23"/>
          <w:shd w:val="clear" w:color="auto" w:fill="FF6900"/>
          <w:lang w:eastAsia="en-GB"/>
        </w:rPr>
        <w:t>PROGRAM PUTOVANJA:</w:t>
      </w:r>
    </w:p>
    <w:p w:rsidR="00AB3759" w:rsidRPr="00AB3759" w:rsidRDefault="00AB3759" w:rsidP="00AB37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3759">
        <w:rPr>
          <w:rFonts w:ascii="Calibri" w:eastAsia="Times New Roman" w:hAnsi="Calibri" w:cs="Calibri"/>
          <w:b/>
          <w:bCs/>
          <w:sz w:val="24"/>
          <w:szCs w:val="24"/>
          <w:lang w:eastAsia="en-GB"/>
        </w:rPr>
        <w:t xml:space="preserve">01.dan (22.maj) Beograd – Sankt </w:t>
      </w:r>
      <w:proofErr w:type="spellStart"/>
      <w:r w:rsidRPr="00AB3759">
        <w:rPr>
          <w:rFonts w:ascii="Calibri" w:eastAsia="Times New Roman" w:hAnsi="Calibri" w:cs="Calibri"/>
          <w:b/>
          <w:bCs/>
          <w:sz w:val="24"/>
          <w:szCs w:val="24"/>
          <w:lang w:eastAsia="en-GB"/>
        </w:rPr>
        <w:t>Peterburg</w:t>
      </w:r>
      <w:proofErr w:type="spellEnd"/>
      <w:r w:rsidRPr="00AB375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Sastanak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grupe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dva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sata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pre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poletanja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na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aerodromu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“Nikola Tesla”. Let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avio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kompanije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Turkish Airlines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za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Istanbul u 16.00h. (let TK1080).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Sletanje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u 18.50h.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Nastavak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putovanja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za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Sankt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Peterburg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u 20.25h (let TK403),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dolazak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na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aerodrom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u 00.05h. Transfer do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hotela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.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Noćenje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.</w:t>
      </w:r>
      <w:r w:rsidRPr="00AB375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B3759">
        <w:rPr>
          <w:rFonts w:ascii="Calibri" w:eastAsia="Times New Roman" w:hAnsi="Calibri" w:cs="Calibri"/>
          <w:b/>
          <w:bCs/>
          <w:sz w:val="24"/>
          <w:szCs w:val="24"/>
          <w:lang w:eastAsia="en-GB"/>
        </w:rPr>
        <w:t xml:space="preserve">02.dan (23.maj) Sankt </w:t>
      </w:r>
      <w:proofErr w:type="spellStart"/>
      <w:r w:rsidRPr="00AB3759">
        <w:rPr>
          <w:rFonts w:ascii="Calibri" w:eastAsia="Times New Roman" w:hAnsi="Calibri" w:cs="Calibri"/>
          <w:b/>
          <w:bCs/>
          <w:sz w:val="24"/>
          <w:szCs w:val="24"/>
          <w:lang w:eastAsia="en-GB"/>
        </w:rPr>
        <w:t>Peterburg</w:t>
      </w:r>
      <w:proofErr w:type="spellEnd"/>
      <w:r w:rsidRPr="00AB375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Doručak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.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Panoramsko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razgledanje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grada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autobusom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: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Nevski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prospekt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,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Kazanjski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sabor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,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Dvorski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trg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,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Admiralitet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,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Vasiljevsko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ostrvo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,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Ermitaž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,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Isakijevska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saborna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crkva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,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Bronzani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konjanik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(bez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ulaska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u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objekte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). U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nastavku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,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posle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pauze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fakultativna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poseta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Petropavlovskoj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tvrđavi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,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istorijskom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jezgru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grada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,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unutar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čijih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zidina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se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nalaze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Petropavlovska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saborna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crkva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u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kojoj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su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sahranjeni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svi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ruski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imperatori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(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počev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od Petra I)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Istorijski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muzej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Sankt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Peterburga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,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kao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i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čuvene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tamnice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.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Slobodno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vreme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.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Noćenje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.</w:t>
      </w:r>
      <w:r w:rsidRPr="00AB375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B3759">
        <w:rPr>
          <w:rFonts w:ascii="Calibri" w:eastAsia="Times New Roman" w:hAnsi="Calibri" w:cs="Calibri"/>
          <w:b/>
          <w:bCs/>
          <w:sz w:val="24"/>
          <w:szCs w:val="24"/>
          <w:lang w:eastAsia="en-GB"/>
        </w:rPr>
        <w:t xml:space="preserve">03.dan (24.maj) Sankt </w:t>
      </w:r>
      <w:proofErr w:type="spellStart"/>
      <w:r w:rsidRPr="00AB3759">
        <w:rPr>
          <w:rFonts w:ascii="Calibri" w:eastAsia="Times New Roman" w:hAnsi="Calibri" w:cs="Calibri"/>
          <w:b/>
          <w:bCs/>
          <w:sz w:val="24"/>
          <w:szCs w:val="24"/>
          <w:lang w:eastAsia="en-GB"/>
        </w:rPr>
        <w:t>Peterburg</w:t>
      </w:r>
      <w:proofErr w:type="spellEnd"/>
      <w:r w:rsidRPr="00AB375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Doručak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.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Fakultativni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program: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Ermitaž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,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obilazak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jednog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od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najvećih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muzeja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na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svetu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, u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zdanju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Zimskog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dvorca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,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sa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preko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3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miliona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eksponata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.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Njegova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neprocenjiva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zbirka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izložena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je u 6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zgrada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raspoređenih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na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Dvorskom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trgu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i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duž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reke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Neve.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Glavna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zgrada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je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Zimski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dvorac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koji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je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nekada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bio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rezidencija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ruskih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careva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, a u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njegovoj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bogatoj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zbirci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izdvajaju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se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remek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dela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Leonarda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gram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Da</w:t>
      </w:r>
      <w:proofErr w:type="gram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Vinčija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,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Ticijana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,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Rembranta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,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Mikelanđela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i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drugih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.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Muzej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je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poznat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i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po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arheološkoj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zbirci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,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zbirci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skulptura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,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zbirci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srednjevekovne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evropske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umetnosti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,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ali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i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po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svom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baroknom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izgledu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i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arhitekturi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.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Vožnja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kanalima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u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Nevom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,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specifičnim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niskim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borodovima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prilagođenim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za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prolazak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kroz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kanale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i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ispod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niskih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mostova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,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zbog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kojih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je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ovaj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grad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i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dobio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naziv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‘’Severna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Venecija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’’.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Pogled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na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znamenitosti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grada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i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njegovu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arhitekturu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sa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legendardne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reke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Neve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i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nekih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od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mnoštva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kanala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,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ostavlja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jedinstven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utisak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i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sećanje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.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Slobodno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vreme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.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Noćenje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.</w:t>
      </w:r>
      <w:r w:rsidRPr="00AB375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B3759">
        <w:rPr>
          <w:rFonts w:ascii="Calibri" w:eastAsia="Times New Roman" w:hAnsi="Calibri" w:cs="Calibri"/>
          <w:b/>
          <w:bCs/>
          <w:sz w:val="24"/>
          <w:szCs w:val="24"/>
          <w:lang w:eastAsia="en-GB"/>
        </w:rPr>
        <w:t xml:space="preserve">04.dan (25.maj) Sankt </w:t>
      </w:r>
      <w:proofErr w:type="spellStart"/>
      <w:r w:rsidRPr="00AB3759">
        <w:rPr>
          <w:rFonts w:ascii="Calibri" w:eastAsia="Times New Roman" w:hAnsi="Calibri" w:cs="Calibri"/>
          <w:b/>
          <w:bCs/>
          <w:sz w:val="24"/>
          <w:szCs w:val="24"/>
          <w:lang w:eastAsia="en-GB"/>
        </w:rPr>
        <w:t>Peterburg</w:t>
      </w:r>
      <w:proofErr w:type="spellEnd"/>
      <w:r w:rsidRPr="00AB375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Doručak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.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Fakultativni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program: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Peterhof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-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Ruski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Versaj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,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letnju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carsku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rezidenciju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Petra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Velikog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,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nastalu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u XVIII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veku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po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nalogu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samog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cara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prema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uzoru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na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Versaj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.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Obilazak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obuhvata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šetnju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kroz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veličanstven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park,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razgledanje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čuvenih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fontana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sa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250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pozlaćenih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skulptura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i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izlazak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na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obalu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Finskog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zaliva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sa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kojeg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se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pruža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veličanstven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pogled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na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zaliv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,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Kronštat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i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Sankt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Peterburg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.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Puškin-Carsko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Selo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,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letnja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rezidencija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Ekaterine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Velike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,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prekrasan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dvorac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i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park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površine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107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hektara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.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Enterijer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dvorca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fascinira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sjajem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umetničkih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predmeta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od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poludragog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kamena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,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zlata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,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portretima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dinastije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Romanovih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.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Povodom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300-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godišnjice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osnivanja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Sankt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Peterburga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završena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je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obnova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čuvene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Ćilibarske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dvorane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,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koja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je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Ekatarininom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dvorcu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vratila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stari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sjaj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.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Slobodno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vreme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.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Noćenje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.</w:t>
      </w:r>
      <w:r w:rsidRPr="00AB375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B3759">
        <w:rPr>
          <w:rFonts w:ascii="Calibri" w:eastAsia="Times New Roman" w:hAnsi="Calibri" w:cs="Calibri"/>
          <w:b/>
          <w:bCs/>
          <w:sz w:val="24"/>
          <w:szCs w:val="24"/>
          <w:lang w:eastAsia="en-GB"/>
        </w:rPr>
        <w:t xml:space="preserve">05.dan (26.maj) Sankt </w:t>
      </w:r>
      <w:proofErr w:type="spellStart"/>
      <w:r w:rsidRPr="00AB3759">
        <w:rPr>
          <w:rFonts w:ascii="Calibri" w:eastAsia="Times New Roman" w:hAnsi="Calibri" w:cs="Calibri"/>
          <w:b/>
          <w:bCs/>
          <w:sz w:val="24"/>
          <w:szCs w:val="24"/>
          <w:lang w:eastAsia="en-GB"/>
        </w:rPr>
        <w:t>Peterburg</w:t>
      </w:r>
      <w:proofErr w:type="spellEnd"/>
      <w:r w:rsidRPr="00AB3759">
        <w:rPr>
          <w:rFonts w:ascii="Calibri" w:eastAsia="Times New Roman" w:hAnsi="Calibri" w:cs="Calibri"/>
          <w:b/>
          <w:bCs/>
          <w:sz w:val="24"/>
          <w:szCs w:val="24"/>
          <w:lang w:eastAsia="en-GB"/>
        </w:rPr>
        <w:t xml:space="preserve"> </w:t>
      </w:r>
      <w:r w:rsidRPr="00AB375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Doručak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.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Slobodno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vreme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za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individualne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aktivnosti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ili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fakultativni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celodnevni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izlet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u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Veliki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Novgorod,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prvu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prestonicu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Rusije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,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gde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je 862.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godine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bila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osnovana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prvobitna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ruska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država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.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Istorijski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spomenici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Novgoroda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se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nalaze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na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Uneskovoj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listi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svetske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baštine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.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Obilazak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obuhvata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razgledanje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kompleksa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Novgorodskog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Kremlja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(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Sofijski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sabor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iz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11.v.,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starinska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zvona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16-</w:t>
      </w:r>
      <w:proofErr w:type="gram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7.v</w:t>
      </w:r>
      <w:proofErr w:type="gram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,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bronzana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Magdeburška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vrata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12.v,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Vladićanski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dvor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). U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nastavku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-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spomenik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1000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godišnjice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Rusije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,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Jaroslavljevo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dvorišće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Sveto-Jurijev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manastir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iz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11.v.,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Georgijevski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sabor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12.v.,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etno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selo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Vitoslavlici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-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muzej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drvene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arhitekture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na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otvorenom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.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Povratak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u Sankt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Peterburg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.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Noćenje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.</w:t>
      </w:r>
      <w:r w:rsidRPr="00AB375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B3759">
        <w:rPr>
          <w:rFonts w:ascii="Calibri" w:eastAsia="Times New Roman" w:hAnsi="Calibri" w:cs="Calibri"/>
          <w:b/>
          <w:bCs/>
          <w:sz w:val="24"/>
          <w:szCs w:val="24"/>
          <w:lang w:eastAsia="en-GB"/>
        </w:rPr>
        <w:t xml:space="preserve">06.dan (27.maj) Sankt </w:t>
      </w:r>
      <w:proofErr w:type="spellStart"/>
      <w:r w:rsidRPr="00AB3759">
        <w:rPr>
          <w:rFonts w:ascii="Calibri" w:eastAsia="Times New Roman" w:hAnsi="Calibri" w:cs="Calibri"/>
          <w:b/>
          <w:bCs/>
          <w:sz w:val="24"/>
          <w:szCs w:val="24"/>
          <w:lang w:eastAsia="en-GB"/>
        </w:rPr>
        <w:t>Peterburg</w:t>
      </w:r>
      <w:proofErr w:type="spellEnd"/>
      <w:r w:rsidRPr="00AB375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Doručak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.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Slobodno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vreme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za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individualne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aktivnosti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ili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fakultativne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posete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Isakijevskoj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lastRenderedPageBreak/>
        <w:t>sabornoj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crkvi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i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crkvi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Spasa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na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krvi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.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Isakijevska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saborna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crkva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,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najveća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pravoslavna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crkva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u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Rusiji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,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ali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i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jedna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od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najlepših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građevina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Sankt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Peterburga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kako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zbog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svoje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spoljne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tako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i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unutrašnje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dekoracije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.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Zvanični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naziv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je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Sabor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prepodobnog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Isakija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Dalmatskog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, a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građena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je od 1815. do 1858.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godine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,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prema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projektu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arhitekte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Ogista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Menferana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.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Hram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Spas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na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Krvi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je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podignut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na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mestu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,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gde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je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ubijen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ruski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car Aleksandar II, 1881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godine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.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Sagrađen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je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krajem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XIX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veka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i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jedan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je od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glavnih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simbola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Sankt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Peterburga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.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Enterijer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hrama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je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ukrašen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je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mozaičnim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freskama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, a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zidovi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i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svodovi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uralskim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poludragim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kamenom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i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italijanskim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mermerom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 xml:space="preserve">. </w:t>
      </w:r>
      <w:proofErr w:type="spellStart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Noćenje</w:t>
      </w:r>
      <w:proofErr w:type="spellEnd"/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t>.</w:t>
      </w:r>
      <w:r w:rsidRPr="00AB375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B375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B3759">
        <w:rPr>
          <w:rFonts w:ascii="Calibri" w:eastAsia="Times New Roman" w:hAnsi="Calibri" w:cs="Calibri"/>
          <w:b/>
          <w:bCs/>
          <w:sz w:val="23"/>
          <w:szCs w:val="23"/>
          <w:shd w:val="clear" w:color="auto" w:fill="FF6900"/>
          <w:lang w:eastAsia="en-GB"/>
        </w:rPr>
        <w:t xml:space="preserve">U CENU ARANŽMANA JE UKLJUČENO: </w:t>
      </w:r>
      <w:r w:rsidRPr="00AB375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•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Avionski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prevoz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letovima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Turkish Airlines;</w:t>
      </w:r>
      <w:r w:rsidRPr="00AB375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•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Troškovi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aerodromskih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taksi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;</w:t>
      </w:r>
      <w:r w:rsidRPr="00AB375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•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Smeštaj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u Sankt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Peterburgu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u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dvokrevetnim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sobama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sa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doručkom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;</w:t>
      </w:r>
      <w:r w:rsidRPr="00AB375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•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Gradske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komunalne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i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boravišne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takse</w:t>
      </w:r>
      <w:proofErr w:type="spellEnd"/>
      <w:r w:rsidRPr="00AB375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•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Transfere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prema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programu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;</w:t>
      </w:r>
      <w:r w:rsidRPr="00AB375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•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Turistički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program: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panoramsko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razgledanje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Sankt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Peterburga</w:t>
      </w:r>
      <w:proofErr w:type="spellEnd"/>
      <w:r w:rsidRPr="00AB375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•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Usluge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pratioca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grupe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i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stručnih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lokalnih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vodiča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;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Troškove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organizacije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aranžmana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.</w:t>
      </w:r>
      <w:r w:rsidRPr="00AB375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B3759">
        <w:rPr>
          <w:rFonts w:ascii="Calibri" w:eastAsia="Times New Roman" w:hAnsi="Calibri" w:cs="Calibri"/>
          <w:b/>
          <w:bCs/>
          <w:sz w:val="23"/>
          <w:szCs w:val="23"/>
          <w:shd w:val="clear" w:color="auto" w:fill="FF6900"/>
          <w:lang w:eastAsia="en-GB"/>
        </w:rPr>
        <w:t xml:space="preserve">U CENU ARANŽMANA NIJE UKLJUČENO: </w:t>
      </w:r>
      <w:r w:rsidRPr="00AB375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•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Putno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zdravstveno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osiguranje</w:t>
      </w:r>
      <w:proofErr w:type="spellEnd"/>
      <w:r w:rsidRPr="00AB375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•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Fakultativni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program u Sankt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Peterburgu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i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Moskvi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;</w:t>
      </w:r>
      <w:r w:rsidRPr="00AB375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•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Individualne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troškove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.</w:t>
      </w:r>
      <w:r w:rsidRPr="00AB375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B375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B3759">
        <w:rPr>
          <w:rFonts w:ascii="Calibri" w:eastAsia="Times New Roman" w:hAnsi="Calibri" w:cs="Calibri"/>
          <w:b/>
          <w:bCs/>
          <w:sz w:val="23"/>
          <w:szCs w:val="23"/>
          <w:shd w:val="clear" w:color="auto" w:fill="FF6900"/>
          <w:lang w:eastAsia="en-GB"/>
        </w:rPr>
        <w:t>FAKULTATIVNI IZLET</w:t>
      </w:r>
      <w:r w:rsidRPr="00AB3759">
        <w:rPr>
          <w:rFonts w:ascii="Calibri" w:eastAsia="Times New Roman" w:hAnsi="Calibri" w:cs="Calibri"/>
          <w:sz w:val="23"/>
          <w:szCs w:val="23"/>
          <w:shd w:val="clear" w:color="auto" w:fill="FF6900"/>
          <w:lang w:eastAsia="en-GB"/>
        </w:rPr>
        <w:t>I</w:t>
      </w:r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(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plaćanje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u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agenciji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):</w:t>
      </w:r>
    </w:p>
    <w:p w:rsidR="00AB3759" w:rsidRPr="00AB3759" w:rsidRDefault="00AB3759" w:rsidP="00AB37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3759">
        <w:rPr>
          <w:rFonts w:ascii="Calibri" w:eastAsia="Times New Roman" w:hAnsi="Calibri" w:cs="Calibri"/>
          <w:b/>
          <w:bCs/>
          <w:sz w:val="23"/>
          <w:szCs w:val="23"/>
          <w:u w:val="single"/>
          <w:lang w:eastAsia="en-GB"/>
        </w:rPr>
        <w:t xml:space="preserve">Sankt </w:t>
      </w:r>
      <w:proofErr w:type="spellStart"/>
      <w:r w:rsidRPr="00AB3759">
        <w:rPr>
          <w:rFonts w:ascii="Calibri" w:eastAsia="Times New Roman" w:hAnsi="Calibri" w:cs="Calibri"/>
          <w:b/>
          <w:bCs/>
          <w:sz w:val="23"/>
          <w:szCs w:val="23"/>
          <w:u w:val="single"/>
          <w:lang w:eastAsia="en-GB"/>
        </w:rPr>
        <w:t>Peterburg</w:t>
      </w:r>
      <w:proofErr w:type="spellEnd"/>
      <w:r w:rsidRPr="00AB375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•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Petropavlovska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tvrđava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40 EUR</w:t>
      </w:r>
      <w:r w:rsidRPr="00AB375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•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Ermitaž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50 EUR</w:t>
      </w:r>
      <w:r w:rsidRPr="00AB375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•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Vožnja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kanalima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i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Nevom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40 EUR</w:t>
      </w:r>
      <w:r w:rsidRPr="00AB375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•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Peterhof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, park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sa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fontanama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55 EUR</w:t>
      </w:r>
      <w:r w:rsidRPr="00AB375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•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Puškin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(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Carsko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selo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) </w:t>
      </w:r>
      <w:r w:rsidRPr="00AB3759">
        <w:rPr>
          <w:rFonts w:ascii="Calibri" w:eastAsia="Times New Roman" w:hAnsi="Calibri" w:cs="Calibri"/>
          <w:b/>
          <w:bCs/>
          <w:sz w:val="23"/>
          <w:szCs w:val="23"/>
          <w:lang w:eastAsia="en-GB"/>
        </w:rPr>
        <w:t>65 EUR *</w:t>
      </w:r>
    </w:p>
    <w:p w:rsidR="00AB3759" w:rsidRPr="00AB3759" w:rsidRDefault="00AB3759" w:rsidP="00AB3759">
      <w:pPr>
        <w:shd w:val="clear" w:color="auto" w:fill="FFFFFF"/>
        <w:rPr>
          <w:rFonts w:ascii="Arial Narrow" w:eastAsia="Times New Roman" w:hAnsi="Arial Narrow" w:cs="Times New Roman"/>
          <w:color w:val="F58138"/>
          <w:sz w:val="21"/>
          <w:szCs w:val="21"/>
          <w:lang w:eastAsia="en-GB"/>
        </w:rPr>
      </w:pPr>
      <w:r w:rsidRPr="00AB375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NAPOMENA: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Lokalna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turistička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agencija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(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organizator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fakultativnih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izleta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)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zadržava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pravo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promene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cene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, dana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realizacije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i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minimalnog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broja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putnika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za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realizaciju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izleta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.</w:t>
      </w:r>
      <w:r w:rsidRPr="00AB375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B375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B3759">
        <w:rPr>
          <w:rFonts w:ascii="Calibri" w:eastAsia="Times New Roman" w:hAnsi="Calibri" w:cs="Calibri"/>
          <w:b/>
          <w:bCs/>
          <w:sz w:val="23"/>
          <w:szCs w:val="23"/>
          <w:shd w:val="clear" w:color="auto" w:fill="FF6900"/>
          <w:lang w:eastAsia="en-GB"/>
        </w:rPr>
        <w:t xml:space="preserve">USLOVI PLAĆANJA: </w:t>
      </w:r>
      <w:r w:rsidRPr="00AB375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Cene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su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izražene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u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Eurima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(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osim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ako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drugačije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nije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definisano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programom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putovanja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).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Plaćanje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se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vrši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u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dinarima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prema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srednjem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kursu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NBS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na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dan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rezervacije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. U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slučaju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poremećaja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na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tržištu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roba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i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usluga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,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organizator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zadržava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pravo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korigovanja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cena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za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neplaćeni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deo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aranžmana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.</w:t>
      </w:r>
      <w:r w:rsidRPr="00AB375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1. UPLATA DO POLASKA –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prilikom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rezervacije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uplaćuje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se 40%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akontacije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od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cene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aranžmana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, a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ostatak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najkasnije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21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dan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pre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polaska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.</w:t>
      </w:r>
      <w:r w:rsidRPr="00AB375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2. PLATNIM KARTICAMA - Visa, Visa Electron, Master, Maestro, Dina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i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American Express.</w:t>
      </w:r>
      <w:r w:rsidRPr="00AB375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3. PLAĆANJE NA RATE – bez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kamate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,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kreditnim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karticama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Banca Intesa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i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Komercijalne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banke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(do 6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mesečnih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rata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prilikom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rezervacije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).</w:t>
      </w:r>
      <w:r w:rsidRPr="00AB375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4. UPLATA ČEKOVIMA GRAĐANA U VIŠE RATA –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uplata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akontacije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od 40%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prilikom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rezervacije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,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ostatak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uplate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čekovima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građana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do 6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mesečnih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rata,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koje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je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potrebno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deponovati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organizatoru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prilikom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uplate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avansa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. Rate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dospevaju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svakog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01/10/20.umesecu.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Konkretan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dogovor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u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agenciji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.</w:t>
      </w:r>
      <w:r w:rsidRPr="00AB375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lastRenderedPageBreak/>
        <w:t xml:space="preserve">5. PREKO RAČUNA –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uplata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na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račun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Odeon World Travel-a.</w:t>
      </w:r>
      <w:r w:rsidRPr="00AB375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6 ADMINISTRATIVNOM ZABRANOM –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sa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firmama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sa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kojima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Odeon World Travel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ima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ugovor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.</w:t>
      </w:r>
      <w:r w:rsidRPr="00AB375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7. TURISTIČKIM KREDITOM –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sa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izdatim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predračunom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od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strane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Odeon World Travel,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klijent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aplicira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za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kredit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u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banci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.</w:t>
      </w:r>
      <w:r w:rsidRPr="00AB375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Odeon World Travel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zadržava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pravo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da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propiše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i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drugačije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uslove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plaćanja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za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pojedine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ponude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.</w:t>
      </w:r>
      <w:r w:rsidRPr="00AB375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B375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B3759">
        <w:rPr>
          <w:rFonts w:ascii="Calibri" w:eastAsia="Times New Roman" w:hAnsi="Calibri" w:cs="Calibri"/>
          <w:b/>
          <w:bCs/>
          <w:sz w:val="23"/>
          <w:szCs w:val="23"/>
          <w:shd w:val="clear" w:color="auto" w:fill="FF6900"/>
          <w:lang w:eastAsia="en-GB"/>
        </w:rPr>
        <w:t xml:space="preserve">OSIGURANJE: </w:t>
      </w:r>
      <w:r w:rsidRPr="00AB375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Prodavac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na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ovlašćenom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prodajnom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mestu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dužan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je da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ponudi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putniku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zdravstveno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putno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osiguranje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i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informiše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ga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o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postojanju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osiguranja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od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otkaza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aranžmana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prema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uslovima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i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tarifama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osiguravača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. U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poslovnicama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Odeon World travel-a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moguće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je,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uz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fotokopiju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prve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strane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pasoša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,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pribaviti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polisu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osiguravača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koja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pokriva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, u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slučaju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potrebe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, od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prvog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do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poslednjeg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dana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putovanja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troškove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lečenja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i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bolničke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troškove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do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iznosa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od 35 000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evra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. U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slučaju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nastanka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osiguranog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slučaja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, u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toku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putovanja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,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dovoljno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je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prezentovati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pasoš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i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pomenutu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polisu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za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pokriće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svih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troškova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u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roku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utvrđenim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uslovima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zdravstvenog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putnog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osiguranja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.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Ukoliko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putnik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poseduje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neku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drugu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individualnu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polisu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zdravstvenog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putnog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osiguranja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,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molimo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da se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kod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te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osiguravajuće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kompanije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informiše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o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proceduri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aktiviranja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iste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.</w:t>
      </w:r>
      <w:r w:rsidRPr="00AB375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B375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B3759">
        <w:rPr>
          <w:rFonts w:ascii="Calibri" w:eastAsia="Times New Roman" w:hAnsi="Calibri" w:cs="Calibri"/>
          <w:b/>
          <w:bCs/>
          <w:sz w:val="23"/>
          <w:szCs w:val="23"/>
          <w:shd w:val="clear" w:color="auto" w:fill="FF6900"/>
          <w:lang w:eastAsia="en-GB"/>
        </w:rPr>
        <w:t xml:space="preserve">HOTELSKI SMEŠTAJ: </w:t>
      </w:r>
      <w:r w:rsidRPr="00AB375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U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najvećem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broju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hotela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ulazak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u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sobe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je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posle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14.00 h, a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iste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se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napuštaju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najkasnije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do 10.00 h.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Ukoliko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gost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želi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da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zadrži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duže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sobu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,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obavezan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je da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izvrši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najavu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recepciji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hotela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,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kao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i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da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sam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plati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ovu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dodatnu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uslugu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.</w:t>
      </w:r>
      <w:r w:rsidRPr="00AB375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B375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B3759">
        <w:rPr>
          <w:rFonts w:ascii="Calibri" w:eastAsia="Times New Roman" w:hAnsi="Calibri" w:cs="Calibri"/>
          <w:b/>
          <w:bCs/>
          <w:sz w:val="23"/>
          <w:szCs w:val="23"/>
          <w:shd w:val="clear" w:color="auto" w:fill="FF6900"/>
          <w:lang w:eastAsia="en-GB"/>
        </w:rPr>
        <w:t xml:space="preserve">VIZA I PUTNA DOKUMENTA: </w:t>
      </w:r>
      <w:r w:rsidRPr="00AB375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Putnici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koji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nisu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državljani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Srbije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u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obavezi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su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da se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sami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upoznaju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sa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viznim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režimom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zemlje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u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koju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putuju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kao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i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zemalja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kroz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koje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prolaze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.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Maloletnoj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deci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koja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putuju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bez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jednog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roditelja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potrebna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je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saglasnost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drugog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roditelja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za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prelazak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granice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ili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ukoliko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putuju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bez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pratnje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roditelja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moraju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imati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punoletnog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pratioca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i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overenu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saglasnost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oba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roditelja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pri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prelasku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granice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.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Izjava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saglasnosti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roditelja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mora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biti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overena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u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sudu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ili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opštini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.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Preporučuje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se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putnicima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da se o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uslovima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ulaska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u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zemlje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EU (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potrebna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novčana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sredstva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za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boravak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,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zdravstveno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osiguranje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,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potvrde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o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smeštaju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)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informišu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na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sajtu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Delegacije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EU u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Srbiji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www.europa.rs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ili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u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konzulatu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zemlje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u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koju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putuju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.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Agencija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ne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snosi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odgovornost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u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slučaju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da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pogranične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vlasti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onemoguće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putniku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ulaz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na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teritoriju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EU.</w:t>
      </w:r>
      <w:r w:rsidRPr="00AB375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B375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Organizator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putovanja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nije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ovlašćen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i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ne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ceni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valjanost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putnih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i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drugih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isprava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.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Pasoš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mora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biti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važnosti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minimum 6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meseci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nakon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povratka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sa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putovanja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(minimum 180 dana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nakon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povratka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).</w:t>
      </w:r>
      <w:r w:rsidRPr="00AB375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B375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POTVRDA REZERVACIJE HOTELA SE DOBIJA 48 SATI PO UPLATI AKONTACIJE.</w:t>
      </w:r>
      <w:r w:rsidRPr="00AB375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U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slučaju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ne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dobijanja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potvrde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,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putnik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ima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pravo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na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povraćaj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celokupnog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iznosa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uplaćenog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avansa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.</w:t>
      </w:r>
      <w:r w:rsidRPr="00AB375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B375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B3759">
        <w:rPr>
          <w:rFonts w:ascii="Calibri" w:eastAsia="Times New Roman" w:hAnsi="Calibri" w:cs="Calibri"/>
          <w:b/>
          <w:bCs/>
          <w:sz w:val="23"/>
          <w:szCs w:val="23"/>
          <w:shd w:val="clear" w:color="auto" w:fill="FF6900"/>
          <w:lang w:eastAsia="en-GB"/>
        </w:rPr>
        <w:t xml:space="preserve">NAPOMENA: </w:t>
      </w:r>
      <w:r w:rsidRPr="00AB375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U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slučaju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neadekvatnog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smeštaja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ili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bilo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kog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drugog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problema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, mole se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putnici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da o tome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obaveste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ORGANIZATORA PUTOVANJA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prvog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dana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boravka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.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Napominjemo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da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reklamacije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za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koje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agencija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sazna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poslednjeg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dana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boravka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ili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po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povratku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putnika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neće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biti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razmatrane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.</w:t>
      </w:r>
      <w:r w:rsidRPr="00AB375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Molimo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vas da se u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slučaju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bilo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kakve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incidentne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situacije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(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krađa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,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tuča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,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saobraćajna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nezgoda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,…)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obratite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nadležnim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organima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domicilne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zemlje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.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Organizator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putovanja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je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jedino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ovlašćen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da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vam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lastRenderedPageBreak/>
        <w:t>pomogne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u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posredovanju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između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vas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i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nadležnih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organa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.</w:t>
      </w:r>
      <w:r w:rsidRPr="00AB375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B375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Ukoliko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broj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putnika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bude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manji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,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putovanje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je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moguće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realizovati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uz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doplatu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.</w:t>
      </w:r>
      <w:r w:rsidRPr="00AB375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B375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OTP br. 114/2021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od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19.11.2021.god,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kategorija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licence A </w:t>
      </w:r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br/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Garancija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putovanja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broj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2702416,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važi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od 20.02.2025. god.</w:t>
      </w:r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br/>
        <w:t>Odeon World Travel d.o.o.</w:t>
      </w:r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br/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Kneza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Miloša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br. 84, Beograd, Tel: +381 11 366 02 22, +381 11 366 09 99 Fax:+ 381 11 366 02 25 </w:t>
      </w:r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br/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Beogradska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br. 71, Beograd, Tel: +381 11 323 80 04 Fax: +381 11 323 81 30 Bul. </w:t>
      </w:r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br/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Crvene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</w:t>
      </w:r>
      <w:proofErr w:type="spellStart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>armije</w:t>
      </w:r>
      <w:proofErr w:type="spellEnd"/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t xml:space="preserve"> br. 9b, Beograd, Tel: +381 60 0240 123</w:t>
      </w:r>
      <w:r w:rsidRPr="00AB3759">
        <w:rPr>
          <w:rFonts w:ascii="Calibri" w:eastAsia="Times New Roman" w:hAnsi="Calibri" w:cs="Calibri"/>
          <w:sz w:val="23"/>
          <w:szCs w:val="23"/>
          <w:lang w:eastAsia="en-GB"/>
        </w:rPr>
        <w:br/>
      </w:r>
      <w:r w:rsidRPr="00AB3759">
        <w:rPr>
          <w:rFonts w:ascii="Calibri" w:eastAsia="Times New Roman" w:hAnsi="Calibri" w:cs="Calibri"/>
          <w:sz w:val="24"/>
          <w:szCs w:val="24"/>
          <w:lang w:eastAsia="en-GB"/>
        </w:rPr>
        <w:br/>
      </w:r>
      <w:r w:rsidRPr="00AB3759">
        <w:rPr>
          <w:rFonts w:ascii="Arial Narrow" w:eastAsia="Times New Roman" w:hAnsi="Arial Narrow" w:cs="Times New Roman"/>
          <w:color w:val="F58138"/>
          <w:sz w:val="39"/>
          <w:szCs w:val="39"/>
          <w:lang w:eastAsia="en-GB"/>
        </w:rPr>
        <w:t>999</w:t>
      </w:r>
      <w:r w:rsidRPr="00AB3759">
        <w:rPr>
          <w:rFonts w:ascii="Arial Narrow" w:eastAsia="Times New Roman" w:hAnsi="Arial Narrow" w:cs="Times New Roman"/>
          <w:color w:val="F58138"/>
          <w:sz w:val="27"/>
          <w:szCs w:val="27"/>
          <w:lang w:eastAsia="en-GB"/>
        </w:rPr>
        <w:t>,00</w:t>
      </w:r>
      <w:r w:rsidRPr="00AB3759">
        <w:rPr>
          <w:rFonts w:ascii="Arial Narrow" w:eastAsia="Times New Roman" w:hAnsi="Arial Narrow" w:cs="Times New Roman"/>
          <w:color w:val="F58138"/>
          <w:sz w:val="21"/>
          <w:szCs w:val="21"/>
          <w:lang w:eastAsia="en-GB"/>
        </w:rPr>
        <w:t> </w:t>
      </w:r>
      <w:r w:rsidRPr="00AB3759">
        <w:rPr>
          <w:rFonts w:ascii="Arial Narrow" w:eastAsia="Times New Roman" w:hAnsi="Arial Narrow" w:cs="Times New Roman"/>
          <w:color w:val="F58138"/>
          <w:sz w:val="18"/>
          <w:szCs w:val="18"/>
          <w:lang w:eastAsia="en-GB"/>
        </w:rPr>
        <w:t>EUR</w:t>
      </w:r>
    </w:p>
    <w:p w:rsidR="00AB3759" w:rsidRPr="00AB3759" w:rsidRDefault="00AB3759" w:rsidP="00AB3759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545454"/>
          <w:sz w:val="21"/>
          <w:szCs w:val="21"/>
          <w:lang w:eastAsia="en-GB"/>
        </w:rPr>
      </w:pPr>
      <w:r w:rsidRPr="00AB3759">
        <w:rPr>
          <w:rFonts w:ascii="Arial Narrow" w:eastAsia="Times New Roman" w:hAnsi="Arial Narrow" w:cs="Times New Roman"/>
          <w:color w:val="545454"/>
          <w:sz w:val="21"/>
          <w:szCs w:val="21"/>
          <w:lang w:eastAsia="en-GB"/>
        </w:rPr>
        <w:t>BED AND BREAKFAST</w:t>
      </w:r>
    </w:p>
    <w:p w:rsidR="00AB3759" w:rsidRPr="00AB3759" w:rsidRDefault="00AB3759" w:rsidP="00AB3759">
      <w:pPr>
        <w:shd w:val="clear" w:color="auto" w:fill="FFFFFF"/>
        <w:spacing w:after="75" w:line="240" w:lineRule="auto"/>
        <w:rPr>
          <w:rFonts w:ascii="Arial Narrow" w:eastAsia="Times New Roman" w:hAnsi="Arial Narrow" w:cs="Times New Roman"/>
          <w:color w:val="545454"/>
          <w:sz w:val="21"/>
          <w:szCs w:val="21"/>
          <w:lang w:eastAsia="en-GB"/>
        </w:rPr>
      </w:pPr>
      <w:proofErr w:type="spellStart"/>
      <w:r w:rsidRPr="00AB3759">
        <w:rPr>
          <w:rFonts w:ascii="Arial Narrow" w:eastAsia="Times New Roman" w:hAnsi="Arial Narrow" w:cs="Times New Roman"/>
          <w:color w:val="545454"/>
          <w:sz w:val="21"/>
          <w:szCs w:val="21"/>
          <w:lang w:eastAsia="en-GB"/>
        </w:rPr>
        <w:t>Uključeno</w:t>
      </w:r>
      <w:proofErr w:type="spellEnd"/>
    </w:p>
    <w:p w:rsidR="00AB3759" w:rsidRPr="00AB3759" w:rsidRDefault="00AB3759" w:rsidP="00AB3759">
      <w:pPr>
        <w:shd w:val="clear" w:color="auto" w:fill="FFFFFF"/>
        <w:spacing w:after="75" w:line="240" w:lineRule="auto"/>
        <w:rPr>
          <w:rFonts w:ascii="Arial Narrow" w:eastAsia="Times New Roman" w:hAnsi="Arial Narrow" w:cs="Times New Roman"/>
          <w:color w:val="545454"/>
          <w:sz w:val="21"/>
          <w:szCs w:val="21"/>
          <w:lang w:eastAsia="en-GB"/>
        </w:rPr>
      </w:pPr>
      <w:r w:rsidRPr="00AB3759">
        <w:rPr>
          <w:rFonts w:ascii="Arial Narrow" w:eastAsia="Times New Roman" w:hAnsi="Arial Narrow" w:cs="Times New Roman"/>
          <w:color w:val="545454"/>
          <w:sz w:val="21"/>
          <w:szCs w:val="21"/>
          <w:lang w:eastAsia="en-GB"/>
        </w:rPr>
        <w:t xml:space="preserve">22.05.2025 - 6 </w:t>
      </w:r>
      <w:proofErr w:type="spellStart"/>
      <w:r w:rsidRPr="00AB3759">
        <w:rPr>
          <w:rFonts w:ascii="Arial Narrow" w:eastAsia="Times New Roman" w:hAnsi="Arial Narrow" w:cs="Times New Roman"/>
          <w:color w:val="545454"/>
          <w:sz w:val="21"/>
          <w:szCs w:val="21"/>
          <w:lang w:eastAsia="en-GB"/>
        </w:rPr>
        <w:t>Noći</w:t>
      </w:r>
      <w:proofErr w:type="spellEnd"/>
    </w:p>
    <w:p w:rsidR="00AB3759" w:rsidRPr="00AB3759" w:rsidRDefault="00AB3759" w:rsidP="00AB3759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545454"/>
          <w:sz w:val="21"/>
          <w:szCs w:val="21"/>
          <w:lang w:eastAsia="en-GB"/>
        </w:rPr>
      </w:pPr>
      <w:proofErr w:type="spellStart"/>
      <w:r w:rsidRPr="00AB3759">
        <w:rPr>
          <w:rFonts w:ascii="Arial Narrow" w:eastAsia="Times New Roman" w:hAnsi="Arial Narrow" w:cs="Times New Roman"/>
          <w:color w:val="545454"/>
          <w:sz w:val="21"/>
          <w:szCs w:val="21"/>
          <w:lang w:eastAsia="en-GB"/>
        </w:rPr>
        <w:t>po</w:t>
      </w:r>
      <w:proofErr w:type="spellEnd"/>
      <w:r w:rsidRPr="00AB3759">
        <w:rPr>
          <w:rFonts w:ascii="Arial Narrow" w:eastAsia="Times New Roman" w:hAnsi="Arial Narrow" w:cs="Times New Roman"/>
          <w:color w:val="545454"/>
          <w:sz w:val="21"/>
          <w:szCs w:val="21"/>
          <w:lang w:eastAsia="en-GB"/>
        </w:rPr>
        <w:t xml:space="preserve"> </w:t>
      </w:r>
      <w:proofErr w:type="spellStart"/>
      <w:r w:rsidRPr="00AB3759">
        <w:rPr>
          <w:rFonts w:ascii="Arial Narrow" w:eastAsia="Times New Roman" w:hAnsi="Arial Narrow" w:cs="Times New Roman"/>
          <w:color w:val="545454"/>
          <w:sz w:val="21"/>
          <w:szCs w:val="21"/>
          <w:lang w:eastAsia="en-GB"/>
        </w:rPr>
        <w:t>osobi</w:t>
      </w:r>
      <w:proofErr w:type="spellEnd"/>
    </w:p>
    <w:p w:rsidR="00D11968" w:rsidRDefault="00D11968" w:rsidP="00AB3759">
      <w:bookmarkStart w:id="0" w:name="_GoBack"/>
      <w:bookmarkEnd w:id="0"/>
    </w:p>
    <w:sectPr w:rsidR="00D11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60F"/>
    <w:rsid w:val="00AB3759"/>
    <w:rsid w:val="00D11968"/>
    <w:rsid w:val="00EF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841BAE-8407-451A-A798-4895ED0FF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3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price-number">
    <w:name w:val="price-number"/>
    <w:basedOn w:val="DefaultParagraphFont"/>
    <w:rsid w:val="00AB3759"/>
  </w:style>
  <w:style w:type="character" w:customStyle="1" w:styleId="price-penny">
    <w:name w:val="price-penny"/>
    <w:basedOn w:val="DefaultParagraphFont"/>
    <w:rsid w:val="00AB3759"/>
  </w:style>
  <w:style w:type="character" w:customStyle="1" w:styleId="price-currency">
    <w:name w:val="price-currency"/>
    <w:basedOn w:val="DefaultParagraphFont"/>
    <w:rsid w:val="00AB3759"/>
  </w:style>
  <w:style w:type="character" w:customStyle="1" w:styleId="service-list-text">
    <w:name w:val="service-list-text"/>
    <w:basedOn w:val="DefaultParagraphFont"/>
    <w:rsid w:val="00AB37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7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9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3012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99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7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1417</Words>
  <Characters>8083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Milijana Pantić</dc:creator>
  <cp:keywords/>
  <dc:description/>
  <cp:lastModifiedBy>Milijana Pantić</cp:lastModifiedBy>
  <cp:revision>2</cp:revision>
  <dcterms:created xsi:type="dcterms:W3CDTF">2025-04-24T11:47:00Z</dcterms:created>
  <dcterms:modified xsi:type="dcterms:W3CDTF">2025-04-24T11:47:00Z</dcterms:modified>
</cp:coreProperties>
</file>