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3C0" w:rsidRPr="00E973C0" w:rsidRDefault="00E973C0" w:rsidP="00E973C0">
      <w:pPr>
        <w:spacing w:before="100" w:beforeAutospacing="1" w:after="100" w:afterAutospacing="1" w:line="240" w:lineRule="auto"/>
        <w:rPr>
          <w:rFonts w:ascii="Times New Roman" w:eastAsia="Times New Roman" w:hAnsi="Times New Roman" w:cs="Times New Roman"/>
          <w:sz w:val="24"/>
          <w:szCs w:val="24"/>
          <w:lang w:eastAsia="en-GB"/>
        </w:rPr>
      </w:pPr>
      <w:r w:rsidRPr="00E973C0">
        <w:rPr>
          <w:rFonts w:ascii="Calibri" w:eastAsia="Times New Roman" w:hAnsi="Calibri" w:cs="Calibri"/>
          <w:color w:val="0C0C0C"/>
          <w:sz w:val="24"/>
          <w:szCs w:val="24"/>
          <w:lang w:eastAsia="en-GB"/>
        </w:rPr>
        <w:t>PUTEVIMA KINESKIH IMPERATORA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GUANGDŽOU – ŠI AN – PEKING – ŠANGAJ</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Grupni polazak 10.oktobar 2025.</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10 dana / 9 noćenja, avionom, vozom i autobusom</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Svi obilasci uključeni u cenu aranžmana!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Direktni letovi kompanije AIR SERBIA</w:t>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Kina – biser dalekog istoka, zemlja kontrasta, mesto susreta istorije i modernog doba, treća je po veličini država sveta, iza Indije druga najmnogoljudnija zemlja na svetu. Teritorija obuhvata 22 provincije, 5 autonomnih pokrajina, 4 opštine i 2 posebna administrativna centra (Hong Kong i Makao). Peking (Beijing) je glavni grad Narodne Republike Kine, ali ne i najveći. Sa svojih skoro 15 miliona stanovnika zauzima drugu poziciju po veličini, odmah iza Šangaja. Zahvaljujući Velikom Kineskom zidu, građevini koja se vidi iz svemira, dugoj 8851 m, visine 10 – 16m, danas mnogo turista iz čitavog sveta dolazi i posećuje Peking. Zid kao takav predstavlja najveći odbrambeni objekat u svetu. Osim Velikog Kineskog zida, na mapi turista uvek se nađe Zabranjeni grad – nekadašnja carska palata dinastije Ming i Ćing, a danas muzej koji se prostire na 720 000 m2, 890 zgrada i 9 999 prostorija. Šangaj (Shanghai) je prvi po veličini grad u Kini, broji oko 29 miliona stanovnika. Razmere ovog grada su zaista ravne fantastici. Grad koji ima 19 linija metroa, čiji je dnevni kapacitet prevoza 10 miliona ljudi, ovakva mreža podzemnog saobraćaja je najveća u svetu. Osim toga poseduje 2 internacionalna aerodroma, 4 železničke stanice, najbrži voz na svetu – Šangajski maglev, koji zapravo ne ide šinama već lebdi iznad njih zahvaljujući elektromagnetnom polju, tri ring roud-a, najveći broj zgrada izgrađenih u stilu Art Deco... i puno drugih zanimljivosti vas očekuje u Šangaju. Ši An (Xi’An) je grad u kontinentalnom delu Kine. Drevna imperijalna prestonica i istočna polazna tačka Puta svile, nekadašnji Čang An, dugo je bio važno raskršće Kine, Centralne Azije i Bliskog istoka. Danas najveću atrakciju predstavlja Muzej Terakota ratnika, Bell Tower, Muslimanska četvrt-bazar, Antički zid i brojne druge lepote koje obilaze turisti iz čitavog sveta. Guangdžou (Guangzhou) koji se nalazi na obalama reke Zhu, što u prevodu znači biser, pa bi se reka prevela kao Biserna reka. Guangdžou nije samo centar razvijene trgovine, već prijatan grad koji odaje utisak da ste negde na Mediteranu. Grad parkova, vrtova, prelepog zelenila, sjajno uređenog cvetnog ambijenta, uostalom kao i čitava provincija koja zahvalnost duguje klimatskim uslovima. U pratnji iskusnih vodiča agencije Odeon World Travel, započinjemo kinesku avanturu. Kupovinom turističkog aranžmana za Kinu ne kupujete putovanje! Kupujete iskustvo koje transformiše život. Huanjing (Huānyíng) – u prevodu dobrodošli!</w:t>
      </w:r>
    </w:p>
    <w:p w:rsidR="00D11968" w:rsidRDefault="00E973C0" w:rsidP="00E973C0">
      <w:r w:rsidRPr="00E973C0">
        <w:rPr>
          <w:rFonts w:ascii="Calibri" w:eastAsia="Times New Roman" w:hAnsi="Calibri" w:cs="Calibri"/>
          <w:b/>
          <w:bCs/>
          <w:color w:val="0C0C0C"/>
          <w:sz w:val="24"/>
          <w:szCs w:val="24"/>
          <w:shd w:val="clear" w:color="auto" w:fill="FF6900"/>
          <w:lang w:eastAsia="en-GB"/>
        </w:rPr>
        <w:t>Program putovanja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lang w:eastAsia="en-GB"/>
        </w:rPr>
        <w:t xml:space="preserve">1.dan/10.Oktobar Beograd – Guangdžou </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xml:space="preserve">Okupljanje na aerodromu u noći između 09. i 10.oktobra i sastanak sa vodičem koji će boraviti sa grupom tokom putovanja. Preuzimanje putne dokumentacije. Let na liniji JU 988 u 00:45 za Guangdžou. Dolazak u Guangdžou istog dana u 17:35. Let traje 10 sati i 50 minuta. Po dolasku u Guangdžou, prolasku pasoških i carinskih formalnosti, sledi transfer do restorana gde je predviđena večera dobrodošlice. Nakon večere sledi transfer do hotela, smeštaj, noćenje. </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lang w:eastAsia="en-GB"/>
        </w:rPr>
        <w:t>2.dan/11.Oktobar Guangdžou</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xml:space="preserve">Doručak. Polazak na celodnevni izlet i razgledanje Guangdžoa. Obilazak Čen klan akademije </w:t>
      </w:r>
      <w:r w:rsidRPr="00E973C0">
        <w:rPr>
          <w:rFonts w:ascii="Calibri" w:eastAsia="Times New Roman" w:hAnsi="Calibri" w:cs="Calibri"/>
          <w:color w:val="0C0C0C"/>
          <w:sz w:val="24"/>
          <w:szCs w:val="24"/>
          <w:lang w:eastAsia="en-GB"/>
        </w:rPr>
        <w:lastRenderedPageBreak/>
        <w:t>(Chen Clan Academy), muzejski kompleks narodne umetnosti Guangdžoa, biser arhitektonske umetnosti Lingnana, dvorana predaka Čen klana, najveća i najveličanstvenija ukrašena dvorana predaka u Guangdžou. U ovoj palati umetnosti se mogu videti razni pravci poput rezbarenja u drvetu, u kamenu, u cigli, grnčarske figure, livenje gvožđa i bakra kao i brojni crteži u boji. Nastavak do Huačeng trga (Huacheng square) – cvetnog trga, najveći trg Guangdžoa. Pokriva ukupnu površinu od 560 000 m2, poseduje veštačko jezero, veliku fontanu, 600 stabala, cveće, opremljen je sistemom za hlađenje i predstavlja pravu atrakciju. Nastavak ka Šamijan ostrvu (Shamian island), još jednoj živopisnoj četvrti grada. Ime ostrva u prevodu znači peščana površina. Ostrvo ima veliki istorijski značaj dinastije Ćing. Služio je kao važna luka za spoljnu trgovinu, zatim je postao strateška tačka za odbranu grada u vreme Opijumskih ratova (1856 – 1860 god). Godine 1859-e je teritorija podeljena na dve koncesije – Francusku i Britansku. Danas je ovo prelep deo grada, sa božanstvenim primerima gotičke, barokne i neoklasične arhitekture. Brojni mostići, ugostiteljski objekti, zelenilo koje ovom gradu ne nedostaje, iznenadiće vas prijatnim ambijentom u koji ćete poželeti da se vratite. Nastavak ka Ksiguan kućama (Xiguan House), starim velikim kućama koje su zidale plemićke porodice i bogati trgovci u Guangdžou na kraju dinastije Ćing. Nekada ih je bio 800, od kojih danas svega 10 funkcioniše u pristojnim uslovima. Nastavak puta nas vodi do Jong Ćing Fanga (Yongquing Fang), izuzetnog primerka kombinacije tradicije i modernog doba. U pitanju je istorijska ulica koja je nekad bila mesto okupljanja mnogih umetnika, književnika, glumaca, operskih pevača, tako da u sebi nosi notu lokalne istorije i kulture. Danas ona nudi brojne restorane, trgovine, muzeje, smeštajne kapacitete, prostor za kulturne i umetničke izvedbe itd. Slobodno vreme. U večernjim satima sledi krstarenje Bisernom rekom u trajanju oko sat vremena. Pogled na grad sa vode kada dobija svoj pun sjaj zahvaljujući dekorativnoj rasveti. Povratak u hotel, noćenje.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lang w:eastAsia="en-GB"/>
        </w:rPr>
        <w:t>3.dan/12.Oktobar Guangdžou – Ši An</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Doručak. Odjava iz hotela, transfer na aerodrom. Let za Ši An (trajanje leta oko 2 sata i 40 minuta). Po dolasku u Ši An (Xi’ An) sledi transfer do hotela. Smeštaj. Ši An je glavni grad pokrijine Šansi, nalazi se na južnoj obali reke Vej. Nekada je ovo bio najvažniji region u istoriji Kine kao i prestonica vladajuće dinastije Tang. Osim toga, bio je istočni kraj Puta svile koji je povezivao Kinu sa Mediteranom. Do pre samo 15-tak godina Ši An je postojao samo u okviru gradskih zidina koje danas svedoče od čuvenim dinastijama Tang i Ming. Zid je kao i svi drugi imao za ulogu odbranu od spoljnih neprijatelja. Ulaz u grad je moguć kroz četiri kapije koje u prevodu znače sledeće: zapadna kapija koja se zove Harmonija i mir, istočna – Večna radost, severna – Večna harmonija i južna – Večni mir. Danas je Ši An nezaobilazna tačka na turističkoj mapi Kine, drevan i moderan grad. Slobodno vreme predviđeno za samostalno istraživanje grada. Predlažemo odlazak do Velike pagode (Giant Wild Goose pagoda). Velika pagoda divljih gusaka je monumentalna budistička građevina sagrađena tokom dinastije Tang 652. godine. Obnovljena je tokom 704-e godine za vreme jedinog ženskog vladara – carice Vu Zetijan, dok je kasnije spoljašnjost pagode urađena od cigle za vreme dinastije Ming. Pagoda se nalazi na UNESCO-voj listi Svetske kulturne baštine. U večernjim satima sledi odlazak u restoran – teatar na večeru uz muzički i plesni performans koji priča priču dinastije Tang. Osim fantastičnih zvukova, kostima, plesnih koraka, imaćete priliku da degustirate vino od pirinča i druge specijalite ove regije. Po završetku programa sledi povratak u hotel. Noćenje.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lang w:eastAsia="en-GB"/>
        </w:rPr>
        <w:lastRenderedPageBreak/>
        <w:t xml:space="preserve">4.dan/13.Oktobar Ši An </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Doručak. Polazak na celodnevni izlet. Najvažnije zdanje grada su svakako antički zid koji opasuje grad i koji je u dobroj meri sačuvan, restauriran, Bell i Drum Tower. U blizini tornjeva smeštena je Muslimanska četvrt, živopisni kraj grada u sklopu kojeg je pijaca na kojoj možete videti i probati mnoge lokalne specijalitete, pazariti suvenire, kineske rukotvorine... U distriktu je Velika Džamija, sagrađena 742. godine i jedna od najočuvanijih džamija na teritoriji Kine. Džamija predstavlja spoj islamske i budističke arhitekture. Nastavak ka Muzeju terakota ratnika koji se nalazi izvan grada. Terakota ratnici – ratnici urađeni od terakote za vreme vladavine prvog kineskog cara Ćin Ši Haunga (Qin Shi Huang). Svaki ratnik je urađen u prirodnoj veličini. Ovo je jedno od najvažnijih arheoloških nalazišta u svetu, slučajno otkriveno 1974-e godine kada su lokalni meštani kopali bunar. Pronalazak je bio toliko važan da je među mnogima imenovan za Osmo Svetsko čudo, što zvanično nije, ali jeste dodat na UNESCO-vu listu Svetske kulturne baštine. Tokom svog života kineski car Ćin je patio od straha od smrti. Čitavog života je tragao za eliksirom mladosti koji bi mu garantovao besmrtnost. Pošto nije uspeo da ga pronađe, rešio je sebi da obezbedi vladavinu u zagrobnom životu. Veruje se da je na izgradnji grobnice radilo oko 700 000 radnika i da je sama izgradnja trajala skoro 20 godina. Stručnjaci procenjuju da ima više od 8000 ratnika, 130 kočija i 630 konja. Izrazi lica su realno prikazani i odgovaraju izrazima lica današnjih Kineza. Nakon obilaska muzeja sledi povratak u hotel u Ši Anu. Noćenje.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lang w:eastAsia="en-GB"/>
        </w:rPr>
        <w:t>5.dan/14.Oktobar Ši An – Peking</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Doručak. Napuštanje hotela i polazak ka železničkoj stanici. Vožnja brzim vozom (bullet train) do Pekinga koji je udaljen oko 1100km. Očekivani polazak iz Ši Ana u 10:09h. Vožnja vozom traje 4 sata i 17 minuta, sedišta II klase (soft seat). U vozu je moguće kupiti obrok i piće u bifeu. Planirani dolazak u Peking u 14:26h. Po dolasku odlazak do Nebeskog hrama (Temple of Heaven) koji je od 1998-e godine pod zaštitom UNESCO-a. Nebeski hram, napravljen od strane dinastije Ming 1420-e godine, predstavlja kompleks verskih građevina smeštenih u lepo uređenim vrtovima, okružen borovom šumom. Simbolizuje vezu između zemlje i neba, odnosno ljudskog i Božanskog sveta. Ovde su se dinastije Ming i Ćing molile za što bolje useve, žetve i prinose. Najimpresivniji deo kompleksa je sala za molitve, kružna građevina na tri nivoa, napravljena od drveta i mermera kojim dominiraju razne nijanse plave boje. Ovde bi jednom godišnje vladar dolazio da se moli za obilne prinose. Čitav ritual molitve bi morao da bude izveden savršeno, u suprotnom godina neće biti plodonosna. U blizini se nalazi Carski nebeski svod, izgrađen u sličnom stilu kao i sala za molitve. Ovde bi vladar postio i prinosio darove Bogovima pre samog glavnog rituala molitve. U južnom delu kompleksa nalazi se Nebeski oltar, napravljen od mermera koji se pruža na tri nivoa. Ovde bi bio namešten tron vladara, na koga se gledalo kao u Sina Nebeskog kome je dodeljen Nebeski mandat. Nakon razgledanja transfer do hotela, smeštaj i noćenje.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lang w:eastAsia="en-GB"/>
        </w:rPr>
        <w:t>6.dan/15.Oktobar Peking</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xml:space="preserve">Doručak. Polazak na celodnevno razgledanje Pekinga: Tjenanmen trg (Tian’ anmen Square), Zabranjeni grad (Forbidden City) i Hutong tura. Trg Tjenanmen je gradski trg u centru Pekinga, najveći u svetu koji se prostire na 40ha površine. Na trgu se nalazi Spomenik Narodnim herojima, Velika dvorana naroda, Nacionani muzej Kine i Mauzolej Mao Čedunga koji je 1.oktobra 1949-e godine proglasio osnivanje Narodne Republike Kine. Van granica Kine ovaj trg je poznat po masovnim demonstracijama studenata i radničke klase protiv </w:t>
      </w:r>
      <w:r w:rsidRPr="00E973C0">
        <w:rPr>
          <w:rFonts w:ascii="Calibri" w:eastAsia="Times New Roman" w:hAnsi="Calibri" w:cs="Calibri"/>
          <w:color w:val="0C0C0C"/>
          <w:sz w:val="24"/>
          <w:szCs w:val="24"/>
          <w:lang w:eastAsia="en-GB"/>
        </w:rPr>
        <w:lastRenderedPageBreak/>
        <w:t>tadašnjeg vladajućeg režima gde su mnogi ljudi izgubili živote u pokušaju da uguše demonstracije. Ovaj događaj je poznat kao veliki masakr. O tadašnjim događajima bilo je zabranjeno izveštavati u okviru granica zemlje. Ovaj Trg se još naziva i Trg Nebeskog mira, ime duguje istoimenim vratima koja su ulaz u Zabranjeni grad, nekadašnju carsku palatu. Zabranjeni grad se pruža na 720 000 m2 i sastoji se od 890 zgrada i 9 999 prostorija. Ime je dobio po tome što dugo vremena niko osim članova carske porodice i njihovih sluga nije mogao da uđe unutra, tako da su “obični” ljudi imali priliku da vide Zabranjeni grad tek u XX veku. Izgradnja kompleksa je trajala 15 godina i u njoj je učestvovalo 200 000 radnika od kojih su mnogi izgubili živote usled teških uslova rada. Ovo je inače najposećeniji muzej u svetu sa skoro 20 miliona posetilaca godišnje. Kompleks se pruža na 72ha površine, deli se na dve sekcije – severni gde su boravili car, porodica i posluga i južni u kojem su rešavana državna pitanja. Ovde je boravilo ukupno 24 cara sve do 1912-e godine kada je carstvo zvanično ukinuto. Od 1987-e godine UNESCO je Muzej uvrstio na listu Svetske kulturne baštine. Veličina ovog kompleksa svakog turistu impresionira. Nastavak ture vodi ka Hutong obilasku. Hutonzi su tradicionalne uzane ulice koje se vezuju za severne gradove Kine, naročito za Peking. U Pekingu hutonzi su ulice koje formiraju nizovi sihejuana, tradicionalnih dvorišnih rezidencija. Šetnja naseljem, uzanim uličicama i vožnja rikšama među tradicionalnim kućicama u kojima žive ljudi i danas. Kuće su popločane sivim pločicama, većina ih je srušena tokom XX veka, dok preostali hutonzi su zaštićeni Zakonom od strane Vlade NRK. Nakon obilaska transfer ka hotelu, smeštaj, noćenje.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lang w:eastAsia="en-GB"/>
        </w:rPr>
        <w:t>7.dan/16.Oktobar Peking</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Doručak. Polazak na celodnevni izlet i obilazak Velikog Kineskog zida, najveće građevine na svetu koja se proteže dužinom od 8851 km, visinom od 10 – 16m i širinom od 8m. Vožnja gondolom. Ovo je najveća formacija ovog tipa koja je imala najpre odbrambenu svrhu i jedina koja je vidljliva iz svemira. Napravljen je od kamena, cigle, drveta, zemlje i drugih materijala. Izgrdnja je počela u V veku pre nove ere, međutim ozbiljnije se pristupilo u periodu od 220 – 206. godine pre nove ere za vreme prvog kineskog cara Ćin Ši Huanga, dinastija Ćin. Kineski zid je jedno od sedam svetskih čuda. Nakon obilaska Kineskog zida nastavljamo ka Letnjoj palati, koja se nalazi na UNESCO-voj listi Svetske kulturne baštine. Letnja palata, nekadašnja rezidencija careva, zapravo čini kompleks jezera, vrtova i palata u Pekingu. Bio je to carski vrt za vreme dinastije Ćin, unutra se nalazi brdo dugovečnosti, jezero Kunming i most sa sadamnaest rupa. Nakon obilaska sledi povratak u hotel. Noćenje.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xml:space="preserve">8.dan/17.oktobar Peking – Šangaj </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Doručak. Odjava iz hotela i transfer ka železničkoj stanici. Vožnja brzim vozom do Šangaja, sedišta II klase (soft seat). Očekivano vreme polaska je u 09:00 ujutru, očekivano vreme dolaska u Šangaj je 13:37h. U vozu je moguće kupiti obrok i piće u bifeu. Po dolasku sledi odlazak do Banda (The Bund) odakle se pruža fascinantan pogled na nebodere Šangaja. Ovo je najslikanija tačka ovog grada. Nastavak preko Nanjing Road-a, pešačke ulice ispunjene restoranima, prodavnicama kako domaćih tako i uvoznih brendova. Dolazak do Narodnog parka – javni park u centralnoj zoni Šangaja koji je nastao 1952-e godine. U sastavu parka se nalazi istorijski muzej Šangaja, Muzej savremene umetnosti... Na sam park se naslanja zgrada Šangajskog teatra, kultna znamenitost u kojoj se održavaju razne predstave, opere, baleti i simfonijski orkestri. Nakon obilaska transfer do hotela. Noćenje.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lang w:eastAsia="en-GB"/>
        </w:rPr>
        <w:t>9.dan/18.Oktobar Šangaj</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lastRenderedPageBreak/>
        <w:t xml:space="preserve">Doručak. Polazak na celodnevni izlet. Obilazak Yu Gardena, Yuyuan bazara, Francuske koncesije i Šangajskog tornja. </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Yu garden (Yu Yuan), vrt nastao u vreme dinastije Ming, pre oko 400 godina na oko 20 000 m2. Sam kompleks je doveden do savršenstva, prepoznatljiv je po bonsai drveću, jezercima, mostićima, paviljonima sa tipično izvijenim krovovima na gore. Središte bašte je stena od nefrita koja je prema legendi trebala da bude deo Carske palate u Pekingu. Kako je brod koji ga je prevozio potonuo, stena je spašena i smeštena zauvek u Yu garden. Danas je park pod zaštitom države. Nastavak do Jujuan bazara (Yuyuan bazaar) koji se naslanja na Yu garden. U sklopu bazara se nalaze brojne tradicionalne kineske građevine koje danas služe u komercijalne svrhe, te su upravo ovde smeštene prodavnice lokalnih proizvoda, nakita, suvenira ali i mesta sa ponudom hrane lokalne kuhinje. Ovde imate priliku da probate ukusnu domaću hranu poput punjenje lepinje Nan Xiang koja važi za najbolju u Kini. Osim punjene lepinje ovde se mogu jesti rakovi na pari, hrskava pržena torta, kolač od pirinča i mnogi drugi. Nastavak ka Francuskoj koncesiji. Francuska koncesija je oblast Šangaja koja je nekada bila podređena Francuzima. Prometna ulica sa građevinama i lokalima izgrađenim u francuskom stilu. Vukang Lu je prelepa ulica sa kafićima na otvorenom gde možete uživati u prijatnim vinskim barovima ili dobroj šoljici kafe. Razgledanje se završava na Šangajskom TV tornju – zgradi visine 468 metara. Do 2007-e godine je to bila najviša zgrada Kine. Sa visine se pruža fantastičan pogled na okruženje i svetla Šangaja. Boravak na vrhu radi fotografisanja. Nakon razgledanja sledi povratak u hotel. Noćenje.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lang w:eastAsia="en-GB"/>
        </w:rPr>
        <w:t>10.dan/19.Oktobar Šangaj – Beograd</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Rano jutarnji doručak i odjava iz hotela. Transfer na aerodrom. Let za Beograd na liniji JU987 u 09:00. Let traje 12 sati i 50 minuta. Dolazak u Beograd u 15:50h. Završetak usluge.</w:t>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shd w:val="clear" w:color="auto" w:fill="FF6900"/>
          <w:lang w:eastAsia="en-GB"/>
        </w:rPr>
        <w:t>Opisi hotela: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Hoteli su komforni, predviđeni za smeštaj turističkih grupa. Svaka soba ima kupatilo, mini frižider, klima uređaj, TV, telefon. Planiran smeštaj u hotelima iz nastavka ili sličnim:</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Days Hotel Guangzhou Stadium 4*, 2 noćenja, Guangdžou.</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Xi’An Bell Tower Hotel 4*, 2 noćenja, Ši An.</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Beijing Dong Fang Hotel 4*, 3 noćenja, Peking.</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Golden Tulip Shanghai Rainbow, 2 noćenja, Šangaj.</w:t>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shd w:val="clear" w:color="auto" w:fill="FF6900"/>
          <w:lang w:eastAsia="en-GB"/>
        </w:rPr>
        <w:t>CENA UKLJUČUJE: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-Avio prevoz na navedenim relacijama sa svim pripadajućim taksama (53eur)</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- 2 noćenja sa doručkom u hotelu 4* u Guangdžou</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- 2 noćenja sa doručkom u otelu 4* u Ši Anu</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- 3 noćenja sa doručkom u hotelu 4* u Pekingu</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- 2 noćenja sa doručkom u hotelu 4* u Šangaju</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Večera dobrodošlice u restoranu prvog dana boravka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Večera sa muzičkim i plesnim performansom u restoranu-teatru dinastije Tang</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Obilaske navedene programom putovanja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Usluge lokalnih vodiča na engleskom jeziku</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Ulaznice za lokalitete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Prevoz brzim vozovima na relaciji Ši An – Peking – Šangaj , II klasa (soft seats)</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lastRenderedPageBreak/>
        <w:t>- Usluge vodiča na srpskom jeziku</w:t>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shd w:val="clear" w:color="auto" w:fill="FF6900"/>
          <w:lang w:eastAsia="en-GB"/>
        </w:rPr>
        <w:t>CENA NE UKLJUČUJE: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Međunarodno putno osiguranje (okvirno 2eur po osobi/danu)</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Obroke koji nisu navedeni programom putovanja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Obavezan bakšiš koji se plaća vozačima i lokalnim vodičima (preporučena suma 5€ po osobi/danu za lokalne vodiče i 3€ po osobi/danu za vozače).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Programom nepomenute usluge</w:t>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shd w:val="clear" w:color="auto" w:fill="FF6900"/>
          <w:lang w:eastAsia="en-GB"/>
        </w:rPr>
        <w:t>VIZA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Viza za državljane RS nije potrebna za turistički boravak do 30 dana. Potrebno je da pasoš važi minimum 6 meseci od momenta povratka sa putovanja. Molimo putnike koji nisu državljani RS da se sami raspitaju o uslovima ulaska i boravka u Kini/Hog Kongu i Makau.</w:t>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shd w:val="clear" w:color="auto" w:fill="FF6900"/>
          <w:lang w:eastAsia="en-GB"/>
        </w:rPr>
        <w:t>KORISNO JE ZNATI</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Glavni grad: PEKING (Beijing)</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Najveći grad : ŠANGAJ (Shanghai)</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xml:space="preserve">Površina: 9,6 milionakm² </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xml:space="preserve">Stanovništvo: 1 411 000 000 stanovnika </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Valuta: Kineski juan</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xml:space="preserve">1€ = 7,65 CNY ; 1USD = 7,29 CNY </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Jezik: Mandarin</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Pozivnibroj: + 86</w:t>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shd w:val="clear" w:color="auto" w:fill="FF6900"/>
          <w:lang w:eastAsia="en-GB"/>
        </w:rPr>
        <w:t>KORISNE INFORMACIJE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U Kini važe posebni uslovi plaćanja. Gotov novac možete poneti, ali često je na destinaciji neupotrebljiv. Savetujemo putnicima da uoči polaska na putovanje instaliraju aplikacije WeChat ili Ali Pay. U pitanju su kineske aplikacije u koje se uz prethodno registrovan profil učita kreditna kartica i na destinaciji plaća uz pomoć aplikacije i QR koda. Za plaćanje potreban je internet kako bi aplikacija radila. Poželjno je da putnici obezbede internet dodatak kod lokalnih mobilnih operatera ili kupe e sim karticu. Molimo putnike da se kod svojih banaka informišu da li imaju bilo kakve bezbedonosne, restriktivne mere u plaćanjima (dnevni limit i slično). Pasoš je potrebno nositi sve vreme sa sobom tokom putovanja. Aplikacije Viber, Whatsapp, Facebook, Instagram u Kini ne funkcionišu, osim ako ne posedujete VPN ili e sim karticu registrovanu na teritoriji van NRK. Google aplikacije nisu pouzdane tokom boravka u Kini. Za sva dodatna pitanja, putnici više informacija mogu dobiti u turističkoj agenciji Odeon World Travel.</w:t>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shd w:val="clear" w:color="auto" w:fill="FF6900"/>
          <w:lang w:eastAsia="en-GB"/>
        </w:rPr>
        <w:t>USLOVI PLAĆANJA: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Cene su izražene u Eurima. Plaćanje se vrši u dinarima prema srednjem kursu NBS na dan rezervacije. U slučaju poremećaja na tržištu roba i usluga, organizator zadržava pravo korigovanja cena za neplaćeni deo aranžmana.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1. UPLATA DO POLASKA – prilikom rezervacije uplaćuje se 40% akontacije od cene aranžmana, a ostatak najkasnije</w:t>
      </w:r>
      <w:r w:rsidRPr="00E973C0">
        <w:rPr>
          <w:rFonts w:ascii="Calibri" w:eastAsia="Times New Roman" w:hAnsi="Calibri" w:cs="Calibri"/>
          <w:b/>
          <w:bCs/>
          <w:color w:val="0C0C0C"/>
          <w:sz w:val="24"/>
          <w:szCs w:val="24"/>
          <w:lang w:eastAsia="en-GB"/>
        </w:rPr>
        <w:t xml:space="preserve"> 30 dana pre polaska.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lastRenderedPageBreak/>
        <w:t>2. PLATNIM KARTICAMA - Visa, Visa Electron, Master, Maestro, Dina i American Express.</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3. PLAĆANJE NA RATE – bez kamate, kreditnim karticama Banca Intesa i Komercijalne banke (do 6 mesečnih rata prilikom rezervacije).</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4. UPLATA ČEKOVIMA GRAĐANA U VIŠE RATA – uplata akontacije od 40% prilikom rezervacije, ostatak uplate čekovima građana do 6 mesečnih rata, koje je potrebno deponovati organizatoru prilikom uplate avansa. Rate dospevaju svakog 01/10/20.umesecu. Konkretan dogovor u agenciji.</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5. PREKO RAČUNA – uplata na račun Odeon World Travel-a.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6. ADMINISTRATIVNOM ZABRANOM – sa firmama sa kojima Odeon World Travel ima ugovor.</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7. TURISTIČKIM KREDITOM – sa izdatim predračunom od strane Odeon World Travel, klijent aplicira za kredit u banci.</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Odeon World Travel zadržava pravo da propiše i drugačije uslove plaćanja za pojedine ponude.</w:t>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Calibri" w:eastAsia="Times New Roman" w:hAnsi="Calibri" w:cs="Calibri"/>
          <w:b/>
          <w:bCs/>
          <w:color w:val="0C0C0C"/>
          <w:sz w:val="24"/>
          <w:szCs w:val="24"/>
          <w:shd w:val="clear" w:color="auto" w:fill="FF6900"/>
          <w:lang w:eastAsia="en-GB"/>
        </w:rPr>
        <w:t>NAPOMENA: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 xml:space="preserve">U slučaju neadekvatnog smeštaja ili bilo kog drugog problema, mole se putnici da o tome obaveste pratioca grupe i predstavnika lokalne partnerske agencije odmah po smeštaju. Molimo putnike da se u slučaju bilo kakve incidentne situacije (krađa, tuča, saobraćajna nezgoda…) obrate nadležnim organima domicilne zemlje. Organizator putovanja je jedino ovlašćen da vam pomogne u posredovanju između putnika i nadležnih organa. </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Važna napomena: u slučaju objektivniih okolnosti koje su van moći Organizatora putovanja, agencija zadržava pravo da promeni redosled servisa na destinaciji. Pod objektivnim okolnostima se smatraju viša sila, vremenske prilike, eventualna promene reda polazaka/letenja na avionu ili železničkim polascima.</w:t>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MINIMALAN BROJ PUTNIKA ZA REALIZACIJU PROGRAMA JE 20.</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KRAJNJI ROK ZA OBAVEŠTAVANJE PUTNIKA ZA SLUČAJ OTKAZIVANJA ILI PROMENE TERMINA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OD STRANE AGENCIJE JE 7 DANA PRE POČETKA PUTOVANJA</w:t>
      </w:r>
      <w:r w:rsidRPr="00E973C0">
        <w:rPr>
          <w:rFonts w:ascii="Times New Roman" w:eastAsia="Times New Roman" w:hAnsi="Times New Roman" w:cs="Times New Roman"/>
          <w:sz w:val="24"/>
          <w:szCs w:val="24"/>
          <w:lang w:eastAsia="en-GB"/>
        </w:rPr>
        <w:br/>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Cenovnik br. 1 od 27.12.2024.</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OTP br. 114/2021 od 12.10.2021.god, kategorijalicence A</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Garancija putovanja broj 2702416, važi od 01.10.2024. god.</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Odeon World Travel d.o.o.</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Kneza Miloša br. 84, Beograd, Tel: +381 11 366 02 22, +381 11 366 09 99</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Beogradska br. 71, Beograd, Tel: +381 11 323 80 04</w:t>
      </w:r>
      <w:r w:rsidRPr="00E973C0">
        <w:rPr>
          <w:rFonts w:ascii="Times New Roman" w:eastAsia="Times New Roman" w:hAnsi="Times New Roman" w:cs="Times New Roman"/>
          <w:sz w:val="24"/>
          <w:szCs w:val="24"/>
          <w:lang w:eastAsia="en-GB"/>
        </w:rPr>
        <w:br/>
      </w:r>
      <w:r w:rsidRPr="00E973C0">
        <w:rPr>
          <w:rFonts w:ascii="Calibri" w:eastAsia="Times New Roman" w:hAnsi="Calibri" w:cs="Calibri"/>
          <w:color w:val="0C0C0C"/>
          <w:sz w:val="24"/>
          <w:szCs w:val="24"/>
          <w:lang w:eastAsia="en-GB"/>
        </w:rPr>
        <w:t>Bul. Crvene Armije br. 9 B, (Belvil)</w:t>
      </w:r>
      <w:r>
        <w:rPr>
          <w:rFonts w:ascii="Calibri" w:eastAsia="Times New Roman" w:hAnsi="Calibri" w:cs="Calibri"/>
          <w:color w:val="0C0C0C"/>
          <w:sz w:val="24"/>
          <w:szCs w:val="24"/>
          <w:lang w:eastAsia="en-GB"/>
        </w:rPr>
        <w:br/>
      </w:r>
      <w:bookmarkStart w:id="0" w:name="_GoBack"/>
      <w:bookmarkEnd w:id="0"/>
    </w:p>
    <w:p w:rsidR="00E973C0" w:rsidRPr="00E973C0" w:rsidRDefault="00E973C0" w:rsidP="00E973C0">
      <w:pPr>
        <w:shd w:val="clear" w:color="auto" w:fill="FFFFFF"/>
        <w:spacing w:after="0" w:line="240" w:lineRule="auto"/>
        <w:rPr>
          <w:rFonts w:ascii="Arial Narrow" w:eastAsia="Times New Roman" w:hAnsi="Arial Narrow" w:cs="Times New Roman"/>
          <w:color w:val="F58138"/>
          <w:sz w:val="21"/>
          <w:szCs w:val="21"/>
          <w:lang w:eastAsia="en-GB"/>
        </w:rPr>
      </w:pPr>
      <w:r w:rsidRPr="00E973C0">
        <w:rPr>
          <w:rFonts w:ascii="Arial Narrow" w:eastAsia="Times New Roman" w:hAnsi="Arial Narrow" w:cs="Times New Roman"/>
          <w:color w:val="F58138"/>
          <w:sz w:val="39"/>
          <w:szCs w:val="39"/>
          <w:lang w:eastAsia="en-GB"/>
        </w:rPr>
        <w:t>2.290</w:t>
      </w:r>
      <w:r w:rsidRPr="00E973C0">
        <w:rPr>
          <w:rFonts w:ascii="Arial Narrow" w:eastAsia="Times New Roman" w:hAnsi="Arial Narrow" w:cs="Times New Roman"/>
          <w:color w:val="F58138"/>
          <w:sz w:val="27"/>
          <w:szCs w:val="27"/>
          <w:lang w:eastAsia="en-GB"/>
        </w:rPr>
        <w:t>,00</w:t>
      </w:r>
      <w:r w:rsidRPr="00E973C0">
        <w:rPr>
          <w:rFonts w:ascii="Arial Narrow" w:eastAsia="Times New Roman" w:hAnsi="Arial Narrow" w:cs="Times New Roman"/>
          <w:color w:val="F58138"/>
          <w:sz w:val="21"/>
          <w:szCs w:val="21"/>
          <w:lang w:eastAsia="en-GB"/>
        </w:rPr>
        <w:t> </w:t>
      </w:r>
      <w:r w:rsidRPr="00E973C0">
        <w:rPr>
          <w:rFonts w:ascii="Arial Narrow" w:eastAsia="Times New Roman" w:hAnsi="Arial Narrow" w:cs="Times New Roman"/>
          <w:color w:val="F58138"/>
          <w:sz w:val="18"/>
          <w:szCs w:val="18"/>
          <w:lang w:eastAsia="en-GB"/>
        </w:rPr>
        <w:t>EUR</w:t>
      </w:r>
    </w:p>
    <w:p w:rsidR="00E973C0" w:rsidRPr="00E973C0" w:rsidRDefault="00E973C0" w:rsidP="00E973C0">
      <w:pPr>
        <w:shd w:val="clear" w:color="auto" w:fill="FFFFFF"/>
        <w:spacing w:after="0" w:line="240" w:lineRule="auto"/>
        <w:rPr>
          <w:rFonts w:ascii="Arial Narrow" w:eastAsia="Times New Roman" w:hAnsi="Arial Narrow" w:cs="Times New Roman"/>
          <w:color w:val="545454"/>
          <w:sz w:val="21"/>
          <w:szCs w:val="21"/>
          <w:lang w:eastAsia="en-GB"/>
        </w:rPr>
      </w:pPr>
      <w:r w:rsidRPr="00E973C0">
        <w:rPr>
          <w:rFonts w:ascii="Arial Narrow" w:eastAsia="Times New Roman" w:hAnsi="Arial Narrow" w:cs="Times New Roman"/>
          <w:color w:val="545454"/>
          <w:sz w:val="21"/>
          <w:szCs w:val="21"/>
          <w:lang w:eastAsia="en-GB"/>
        </w:rPr>
        <w:t>PREMA PROGRAMU</w:t>
      </w:r>
    </w:p>
    <w:p w:rsidR="00E973C0" w:rsidRPr="00E973C0" w:rsidRDefault="00E973C0" w:rsidP="00E973C0">
      <w:pPr>
        <w:shd w:val="clear" w:color="auto" w:fill="FFFFFF"/>
        <w:spacing w:after="75" w:line="240" w:lineRule="auto"/>
        <w:rPr>
          <w:rFonts w:ascii="Arial Narrow" w:eastAsia="Times New Roman" w:hAnsi="Arial Narrow" w:cs="Times New Roman"/>
          <w:color w:val="545454"/>
          <w:sz w:val="21"/>
          <w:szCs w:val="21"/>
          <w:lang w:eastAsia="en-GB"/>
        </w:rPr>
      </w:pPr>
      <w:r w:rsidRPr="00E973C0">
        <w:rPr>
          <w:rFonts w:ascii="Arial Narrow" w:eastAsia="Times New Roman" w:hAnsi="Arial Narrow" w:cs="Times New Roman"/>
          <w:color w:val="545454"/>
          <w:sz w:val="21"/>
          <w:szCs w:val="21"/>
          <w:lang w:eastAsia="en-GB"/>
        </w:rPr>
        <w:t>Uključeno</w:t>
      </w:r>
    </w:p>
    <w:p w:rsidR="00E973C0" w:rsidRPr="00E973C0" w:rsidRDefault="00E973C0" w:rsidP="00E973C0">
      <w:pPr>
        <w:shd w:val="clear" w:color="auto" w:fill="FFFFFF"/>
        <w:spacing w:after="75" w:line="240" w:lineRule="auto"/>
        <w:rPr>
          <w:rFonts w:ascii="Arial Narrow" w:eastAsia="Times New Roman" w:hAnsi="Arial Narrow" w:cs="Times New Roman"/>
          <w:color w:val="545454"/>
          <w:sz w:val="21"/>
          <w:szCs w:val="21"/>
          <w:lang w:eastAsia="en-GB"/>
        </w:rPr>
      </w:pPr>
      <w:r w:rsidRPr="00E973C0">
        <w:rPr>
          <w:rFonts w:ascii="Arial Narrow" w:eastAsia="Times New Roman" w:hAnsi="Arial Narrow" w:cs="Times New Roman"/>
          <w:color w:val="545454"/>
          <w:sz w:val="21"/>
          <w:szCs w:val="21"/>
          <w:lang w:eastAsia="en-GB"/>
        </w:rPr>
        <w:t>10.10.2025 - 9 Noći</w:t>
      </w:r>
    </w:p>
    <w:p w:rsidR="00E973C0" w:rsidRPr="00E973C0" w:rsidRDefault="00E973C0" w:rsidP="00E973C0">
      <w:pPr>
        <w:shd w:val="clear" w:color="auto" w:fill="FFFFFF"/>
        <w:spacing w:after="0" w:line="240" w:lineRule="auto"/>
        <w:rPr>
          <w:rFonts w:ascii="Arial Narrow" w:eastAsia="Times New Roman" w:hAnsi="Arial Narrow" w:cs="Times New Roman"/>
          <w:color w:val="545454"/>
          <w:sz w:val="21"/>
          <w:szCs w:val="21"/>
          <w:lang w:eastAsia="en-GB"/>
        </w:rPr>
      </w:pPr>
      <w:r w:rsidRPr="00E973C0">
        <w:rPr>
          <w:rFonts w:ascii="Arial Narrow" w:eastAsia="Times New Roman" w:hAnsi="Arial Narrow" w:cs="Times New Roman"/>
          <w:color w:val="545454"/>
          <w:sz w:val="21"/>
          <w:szCs w:val="21"/>
          <w:lang w:eastAsia="en-GB"/>
        </w:rPr>
        <w:t>po osobi</w:t>
      </w:r>
    </w:p>
    <w:p w:rsidR="00E973C0" w:rsidRDefault="00E973C0" w:rsidP="00E973C0"/>
    <w:sectPr w:rsidR="00E97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20"/>
    <w:rsid w:val="001A0C20"/>
    <w:rsid w:val="00D11968"/>
    <w:rsid w:val="00E97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1CDD"/>
  <w15:chartTrackingRefBased/>
  <w15:docId w15:val="{C6A51182-B1D6-4310-BC94-687C9896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3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ce-number">
    <w:name w:val="price-number"/>
    <w:basedOn w:val="DefaultParagraphFont"/>
    <w:rsid w:val="00E973C0"/>
  </w:style>
  <w:style w:type="character" w:customStyle="1" w:styleId="price-penny">
    <w:name w:val="price-penny"/>
    <w:basedOn w:val="DefaultParagraphFont"/>
    <w:rsid w:val="00E973C0"/>
  </w:style>
  <w:style w:type="character" w:customStyle="1" w:styleId="price-currency">
    <w:name w:val="price-currency"/>
    <w:basedOn w:val="DefaultParagraphFont"/>
    <w:rsid w:val="00E973C0"/>
  </w:style>
  <w:style w:type="character" w:customStyle="1" w:styleId="service-list-text">
    <w:name w:val="service-list-text"/>
    <w:basedOn w:val="DefaultParagraphFont"/>
    <w:rsid w:val="00E97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683788">
      <w:bodyDiv w:val="1"/>
      <w:marLeft w:val="0"/>
      <w:marRight w:val="0"/>
      <w:marTop w:val="0"/>
      <w:marBottom w:val="0"/>
      <w:divBdr>
        <w:top w:val="none" w:sz="0" w:space="0" w:color="auto"/>
        <w:left w:val="none" w:sz="0" w:space="0" w:color="auto"/>
        <w:bottom w:val="none" w:sz="0" w:space="0" w:color="auto"/>
        <w:right w:val="none" w:sz="0" w:space="0" w:color="auto"/>
      </w:divBdr>
      <w:divsChild>
        <w:div w:id="2083022815">
          <w:marLeft w:val="0"/>
          <w:marRight w:val="0"/>
          <w:marTop w:val="0"/>
          <w:marBottom w:val="0"/>
          <w:divBdr>
            <w:top w:val="none" w:sz="0" w:space="0" w:color="auto"/>
            <w:left w:val="none" w:sz="0" w:space="0" w:color="auto"/>
            <w:bottom w:val="none" w:sz="0" w:space="0" w:color="auto"/>
            <w:right w:val="none" w:sz="0" w:space="0" w:color="auto"/>
          </w:divBdr>
          <w:divsChild>
            <w:div w:id="1104958109">
              <w:marLeft w:val="0"/>
              <w:marRight w:val="0"/>
              <w:marTop w:val="0"/>
              <w:marBottom w:val="0"/>
              <w:divBdr>
                <w:top w:val="none" w:sz="0" w:space="0" w:color="auto"/>
                <w:left w:val="none" w:sz="0" w:space="0" w:color="auto"/>
                <w:bottom w:val="none" w:sz="0" w:space="0" w:color="auto"/>
                <w:right w:val="none" w:sz="0" w:space="0" w:color="auto"/>
              </w:divBdr>
            </w:div>
          </w:divsChild>
        </w:div>
        <w:div w:id="78062288">
          <w:marLeft w:val="0"/>
          <w:marRight w:val="0"/>
          <w:marTop w:val="0"/>
          <w:marBottom w:val="0"/>
          <w:divBdr>
            <w:top w:val="none" w:sz="0" w:space="0" w:color="auto"/>
            <w:left w:val="none" w:sz="0" w:space="0" w:color="auto"/>
            <w:bottom w:val="none" w:sz="0" w:space="0" w:color="auto"/>
            <w:right w:val="none" w:sz="0" w:space="0" w:color="auto"/>
          </w:divBdr>
        </w:div>
        <w:div w:id="1167288814">
          <w:marLeft w:val="0"/>
          <w:marRight w:val="0"/>
          <w:marTop w:val="0"/>
          <w:marBottom w:val="0"/>
          <w:divBdr>
            <w:top w:val="none" w:sz="0" w:space="0" w:color="auto"/>
            <w:left w:val="none" w:sz="0" w:space="0" w:color="auto"/>
            <w:bottom w:val="none" w:sz="0" w:space="0" w:color="auto"/>
            <w:right w:val="none" w:sz="0" w:space="0" w:color="auto"/>
          </w:divBdr>
          <w:divsChild>
            <w:div w:id="165680847">
              <w:marLeft w:val="0"/>
              <w:marRight w:val="0"/>
              <w:marTop w:val="0"/>
              <w:marBottom w:val="75"/>
              <w:divBdr>
                <w:top w:val="none" w:sz="0" w:space="0" w:color="auto"/>
                <w:left w:val="none" w:sz="0" w:space="0" w:color="auto"/>
                <w:bottom w:val="none" w:sz="0" w:space="0" w:color="auto"/>
                <w:right w:val="none" w:sz="0" w:space="0" w:color="auto"/>
              </w:divBdr>
            </w:div>
            <w:div w:id="475145707">
              <w:marLeft w:val="0"/>
              <w:marRight w:val="0"/>
              <w:marTop w:val="0"/>
              <w:marBottom w:val="75"/>
              <w:divBdr>
                <w:top w:val="none" w:sz="0" w:space="0" w:color="auto"/>
                <w:left w:val="none" w:sz="0" w:space="0" w:color="auto"/>
                <w:bottom w:val="none" w:sz="0" w:space="0" w:color="auto"/>
                <w:right w:val="none" w:sz="0" w:space="0" w:color="auto"/>
              </w:divBdr>
            </w:div>
          </w:divsChild>
        </w:div>
        <w:div w:id="50353352">
          <w:marLeft w:val="0"/>
          <w:marRight w:val="0"/>
          <w:marTop w:val="0"/>
          <w:marBottom w:val="0"/>
          <w:divBdr>
            <w:top w:val="none" w:sz="0" w:space="0" w:color="auto"/>
            <w:left w:val="none" w:sz="0" w:space="0" w:color="auto"/>
            <w:bottom w:val="none" w:sz="0" w:space="0" w:color="auto"/>
            <w:right w:val="none" w:sz="0" w:space="0" w:color="auto"/>
          </w:divBdr>
        </w:div>
      </w:divsChild>
    </w:div>
    <w:div w:id="154444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3266</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2</cp:revision>
  <dcterms:created xsi:type="dcterms:W3CDTF">2025-04-24T11:30:00Z</dcterms:created>
  <dcterms:modified xsi:type="dcterms:W3CDTF">2025-04-24T11:30:00Z</dcterms:modified>
</cp:coreProperties>
</file>