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Forte Control ML API</w:t>
      </w:r>
    </w:p>
    <w:p>
      <w:r>
        <w:rPr>
          <w:b w:val="0"/>
          <w:sz w:val="26"/>
        </w:rPr>
        <w:t>Вердикты доказательства и интеграция</w:t>
      </w:r>
    </w:p>
    <w:p>
      <w:r>
        <w:rPr>
          <w:b w:val="0"/>
          <w:sz w:val="18"/>
        </w:rPr>
        <w:t>Состояние кода на 18 октября 2026 года</w:t>
      </w:r>
    </w:p>
    <w:p>
      <w:r>
        <w:rPr>
          <w:b w:val="0"/>
        </w:rPr>
        <w:t>Справочник для разработчика бэкенда. Полный локальный режим reviewed_pipeline после загрузки видео ищет эпизоды, описывает действия и проверяет признаки возможных нарушений по нормативам РК. Веб и API используют один результат.</w:t>
      </w:r>
    </w:p>
    <w:p>
      <w:r>
        <w:rPr>
          <w:b/>
        </w:rPr>
        <w:t>Итог: violation или no_violation. Вывод обозначает признаки возможного нарушения, а не окончательное юридическое или дисциплинарное решение.</w:t>
      </w:r>
    </w:p>
    <w:p>
      <w:pPr>
        <w:pStyle w:val="Heading2"/>
      </w:pPr>
      <w:r>
        <w:t>Два способа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5328"/>
        <w:gridCol w:w="4896"/>
      </w:tblGrid>
      <w:tr>
        <w:trPr>
          <w:tblHeader/>
          <w:cantSplit/>
        </w:trPr>
        <w:tc>
          <w:tcPr>
            <w:tcW w:type="dxa" w:w="5328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type="dxa" w:w="4896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Авторизация и ответ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POST /api/v1/analyze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Жюри: X-API-Key, multipart file. Возвращает job_id.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GET /api/v1/jobs/{job_id}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С ключом — плоский ответ ТЗ с JPEG base64. С JWT — задача кабинета с вложенным result.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POST /api/v1/media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Кабинет: JWT, multipart file и Idempotency-Key. Анализ запускается автоматически.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GET /api/v1/media/{id}/analysis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Задача записи в кабинете; кадры по подписанным URL.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POST /api/v1/media/{id}/analyze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Повтор после сбоя или ручной запуск ранее сохранённой записи.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GET /api/v1/media/{id}/report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JSON отчёта с вердиктом и результатом анализа.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Состояния</w:t>
      </w:r>
    </w:p>
    <w:p>
      <w:r>
        <w:rPr>
          <w:b w:val="0"/>
          <w:sz w:val="20"/>
        </w:rPr>
        <w:t>Жюри: processing → done или failed. Веб дополнительно различает queued. stage показывает finding_events, затем assessing_rules. До готовности result в кабинете равен null.</w:t>
      </w:r>
    </w:p>
    <w:p>
      <w:r>
        <w:rPr>
          <w:b w:val="0"/>
          <w:sz w:val="20"/>
        </w:rPr>
        <w:t>Сбой модели не считается отсутствием нарушений. Если нет ни одного успешно проверенного окна и валидного нарушения, задача завершается failed. Частичное покрытие явно помечается.</w:t>
      </w:r>
    </w:p>
    <w:p>
      <w:r>
        <w:rPr>
          <w:b w:val="0"/>
          <w:sz w:val="20"/>
        </w:rPr>
        <w:t>Старые objects, dense_vlm и reviewed_temporal возвращают наблюдения с requires_review. Они не соответствуют бинарному контракту жюри и не подменяют текущий полный режим.</w:t>
      </w:r>
    </w:p>
    <w:p>
      <w:pPr>
        <w:pStyle w:val="Heading1"/>
        <w:pageBreakBefore/>
      </w:pPr>
      <w:r>
        <w:t>Коды наблюдаемых действий</w:t>
      </w:r>
    </w:p>
    <w:p>
      <w:r>
        <w:rPr>
          <w:b w:val="0"/>
          <w:sz w:val="20"/>
        </w:rPr>
        <w:t>В объединённом режиме reviewed_pipeline эти коды находятся в observations[].kind; в отдельном dense_vlm — в events[].kind. Названия подходят для интерфейса. Наличие кода не гарантирует качество распознавания.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5328"/>
        <w:gridCol w:w="4896"/>
      </w:tblGrid>
      <w:tr>
        <w:trPr>
          <w:tblHeader/>
          <w:cantSplit/>
        </w:trPr>
        <w:tc>
          <w:tcPr>
            <w:tcW w:type="dxa" w:w="5328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kind</w:t>
            </w:r>
          </w:p>
        </w:tc>
        <w:tc>
          <w:tcPr>
            <w:tcW w:type="dxa" w:w="4896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Название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cash_handling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Действия с наличными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cash_on_work_surface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Наличные на рабочей поверхности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object_handover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Передача предмета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object_moved_toward_clothing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Перемещение предмета к одежде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object_moved_into_bag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Перемещение предмета в сумку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cabinet_door_opening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Открывание дверцы шкафа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cabinet_door_closing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Закрывание дверцы шкафа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person_leaves_work_area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Уход из видимой рабочей зоны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document_presented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Предъявление документа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other_visible_action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Другое наблюдаемое действие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visibility_insufficient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Недостаточный обзор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object_opening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Открывание предмета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object_closing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Закрывание предмета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object_placed_inside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Помещение предмета внутрь другого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object_removed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Извлечение предмета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object_placed_on_surface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Размещение предмета на поверхности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object_shown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Показ предмета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object_held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Удержание предмета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object_lifted_and_replaced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Подъём и возвращение предмета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sz w:val="20"/>
        </w:rPr>
        <w:t>document_presented не уточняет, что показано именно удостоверение личности. Перемещение предмета к одежде не подтверждает кражу. Закрытая дверца не означает запертый замок.</w:t>
      </w:r>
    </w:p>
    <w:p>
      <w:r>
        <w:rPr>
          <w:b w:val="0"/>
          <w:sz w:val="20"/>
        </w:rPr>
        <w:t>Последние восемь кодов описывают общие действия из внешнего набора для обучения. Они не являются классами банковских нарушений.</w:t>
      </w:r>
    </w:p>
    <w:p>
      <w:pPr>
        <w:pStyle w:val="Heading1"/>
        <w:pageBreakBefore/>
      </w:pPr>
      <w:r>
        <w:t>Объекты и события детектора</w:t>
      </w:r>
    </w:p>
    <w:p>
      <w:r>
        <w:rPr>
          <w:b w:val="0"/>
          <w:sz w:val="20"/>
        </w:rPr>
        <w:t>objects — альтернативный режим YOLO, сохранённый в Linux Docker. Поле engine в его текущем ответе может отсутствовать. Детектор возвращает объекты и события по их положению и движению.</w:t>
      </w:r>
    </w:p>
    <w:p>
      <w:pPr>
        <w:pStyle w:val="Heading2"/>
      </w:pPr>
      <w:r>
        <w:t>Классы объектов YOLO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792"/>
        <w:gridCol w:w="3672"/>
        <w:gridCol w:w="5760"/>
      </w:tblGrid>
      <w:tr>
        <w:trPr>
          <w:tblHeader/>
          <w:cantSplit/>
        </w:trPr>
        <w:tc>
          <w:tcPr>
            <w:tcW w:type="dxa" w:w="792"/>
            <w:vAlign w:val="center"/>
            <w:shd w:fill="DCEAF1"/>
          </w:tcPr>
          <w:p>
            <w:pPr>
              <w:spacing w:after="0" w:line="254" w:lineRule="auto"/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67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label</w:t>
            </w:r>
          </w:p>
        </w:tc>
        <w:tc>
          <w:tcPr>
            <w:tcW w:type="dxa" w:w="5760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Название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person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Человек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</w:t>
            </w:r>
          </w:p>
        </w:tc>
        <w:tc>
          <w:tcPr>
            <w:tcW w:type="dxa" w:w="5760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Рука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cash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Наличные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6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bag</w:t>
            </w:r>
          </w:p>
        </w:tc>
        <w:tc>
          <w:tcPr>
            <w:tcW w:type="dxa" w:w="5760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Сумка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0" w:line="254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6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storage_cabinet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Шкаф для хранения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sz w:val="20"/>
        </w:rPr>
        <w:t>Объект в frames[].boxes содержит class_id, label, confidence и xyxy = [x1, y1, x2, y2]. Координаты заданы в пикселях исходного кадра. confidence относится к распознаванию объекта, а не к вероятности нарушения.</w:t>
      </w:r>
    </w:p>
    <w:p>
      <w:pPr>
        <w:pStyle w:val="Heading2"/>
      </w:pPr>
      <w:r>
        <w:t>События режима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5328"/>
        <w:gridCol w:w="4896"/>
      </w:tblGrid>
      <w:tr>
        <w:trPr>
          <w:tblHeader/>
          <w:cantSplit/>
        </w:trPr>
        <w:tc>
          <w:tcPr>
            <w:tcW w:type="dxa" w:w="5328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kind</w:t>
            </w:r>
          </w:p>
        </w:tc>
        <w:tc>
          <w:tcPr>
            <w:tcW w:type="dxa" w:w="4896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Название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cash_detected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Деньги видны в кадре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hand_near_cash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Рука рядом с деньгами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hand_near_cabinet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Рука рядом со шкафом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hand_motion_left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Движение руки влево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hand_motion_right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Движение руки вправо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hand_motion_up</w:t>
            </w:r>
          </w:p>
        </w:tc>
        <w:tc>
          <w:tcPr>
            <w:tcW w:type="dxa" w:w="48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Движение руки вверх</w:t>
            </w:r>
          </w:p>
        </w:tc>
      </w:tr>
      <w:tr>
        <w:trPr>
          <w:cantSplit/>
        </w:trPr>
        <w:tc>
          <w:tcPr>
            <w:tcW w:type="dxa" w:w="5328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9"/>
              </w:rPr>
              <w:t>hand_motion_down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Движение руки вниз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Различия полей события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3672"/>
        <w:gridCol w:w="3096"/>
        <w:gridCol w:w="3456"/>
      </w:tblGrid>
      <w:tr>
        <w:trPr>
          <w:tblHeader/>
          <w:cantSplit/>
        </w:trPr>
        <w:tc>
          <w:tcPr>
            <w:tcW w:type="dxa" w:w="367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3096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objects</w:t>
            </w:r>
          </w:p>
        </w:tc>
        <w:tc>
          <w:tcPr>
            <w:tcW w:type="dxa" w:w="3456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dense_vlm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kind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Код из таблицы выше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Код действия со страницы 2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start_sec и end_sec</w:t>
            </w:r>
          </w:p>
        </w:tc>
        <w:tc>
          <w:tcPr>
            <w:tcW w:type="dxa" w:w="30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Интервал в секундах</w:t>
            </w:r>
          </w:p>
        </w:tc>
        <w:tc>
          <w:tcPr>
            <w:tcW w:type="dxa" w:w="345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Интервал в секундах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description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Не гарантируется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Непустое описание действия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mean_detector_confidence</w:t>
            </w:r>
          </w:p>
        </w:tc>
        <w:tc>
          <w:tcPr>
            <w:tcW w:type="dxa" w:w="30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Число от 0 до 1</w:t>
            </w:r>
          </w:p>
        </w:tc>
        <w:tc>
          <w:tcPr>
            <w:tcW w:type="dxa" w:w="345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null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evidence_indices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Не гарантируется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Индексы общего массива кадров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requires_human_review</w:t>
            </w:r>
          </w:p>
        </w:tc>
        <w:tc>
          <w:tcPr>
            <w:tcW w:type="dxa" w:w="309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Не гарантируется</w:t>
            </w:r>
          </w:p>
        </w:tc>
        <w:tc>
          <w:tcPr>
            <w:tcW w:type="dxa" w:w="3456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true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sz w:val="20"/>
        </w:rPr>
        <w:t>В режиме dense_vlm боксы пустые. Не подставляйте выдуманные координаты или confidence. Для неизвестного kind интерфейс может показывать сам код.</w:t>
      </w:r>
    </w:p>
    <w:p>
      <w:pPr>
        <w:pStyle w:val="Heading1"/>
        <w:pageBreakBefore/>
      </w:pPr>
      <w:r>
        <w:t>Нормативные правила</w:t>
      </w:r>
    </w:p>
    <w:p>
      <w:r>
        <w:rPr>
          <w:b w:val="0"/>
          <w:sz w:val="20"/>
        </w:rPr>
        <w:t>Рабочий реестр: ML/regulations/rules_v1.json. Источник — постановление НБРК от 29.11.2019 № 231. Полный официальный экспорт ЭКБ хранится рядом; в нём указана редакция 16.03.2026. SHA-256 снимка проверяется при запуске.</w:t>
      </w:r>
    </w:p>
    <w:p>
      <w:r>
        <w:rPr>
          <w:b w:val="0"/>
          <w:sz w:val="20"/>
        </w:rPr>
        <w:t>https://adilet.zan.kz/rus/docs/V1900019680</w:t>
      </w:r>
    </w:p>
    <w:p>
      <w:r>
        <w:rPr>
          <w:b w:val="0"/>
          <w:sz w:val="20"/>
        </w:rPr>
        <w:t>Формулировки условий ниже — визуальная интерпретация команды. Модель должна указать видимые факты и исключить альтернативы; код проверяет структуру ответа, но не гарантирует правильность зрения модели.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4752"/>
        <w:gridCol w:w="5472"/>
      </w:tblGrid>
      <w:tr>
        <w:trPr>
          <w:tblHeader/>
          <w:cantSplit/>
        </w:trPr>
        <w:tc>
          <w:tcPr>
            <w:tcW w:type="dxa" w:w="475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rule_id</w:t>
            </w:r>
          </w:p>
        </w:tc>
        <w:tc>
          <w:tcPr>
            <w:tcW w:type="dxa" w:w="547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Пункт и предмет проверки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personal_belongings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 — Личные вещи в кассовом узле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cash_count_without_customer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20 — Пересчёт принятых денег без клиента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previous_cash_left_on_desk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20 — Ранее принятые деньги оставлены на рабочей поверхности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cash_to_personal_storage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20 — Ранее принятые наличные перемещены в одежду или личную сумку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cash_storage_left_open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20 — Хранилище с принятыми деньгами оставлено открытым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cashier_leaves_customer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22 — Кассир покинул место до завершения обслуживания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Условия которые нельзя установить по видео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4752"/>
        <w:gridCol w:w="5472"/>
      </w:tblGrid>
      <w:tr>
        <w:trPr>
          <w:tblHeader/>
          <w:cantSplit/>
        </w:trPr>
        <w:tc>
          <w:tcPr>
            <w:tcW w:type="dxa" w:w="475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Отключённое правило</w:t>
            </w:r>
          </w:p>
        </w:tc>
        <w:tc>
          <w:tcPr>
            <w:tcW w:type="dxa" w:w="547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Причина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id_check_not_visible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Проверка личности допустима через цифровые документы.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receipt_not_visible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Возможны электронная выдача или перекрытый обзор.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counting_without_controller</w:t>
            </w:r>
          </w:p>
        </w:tc>
        <w:tc>
          <w:tcPr>
            <w:tcW w:type="dxa" w:w="547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Неизвестны роли людей и присутствие вне кадра.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key_handover</w:t>
            </w:r>
          </w:p>
        </w:tc>
        <w:tc>
          <w:tcPr>
            <w:tcW w:type="dxa" w:w="547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Нужны внутренние правила и сведения о полномочиях.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sz w:val="20"/>
        </w:rPr>
        <w:t>Открывание шкафа во время работы само по себе допустимо. Закрытая дверь не доказывает запертый замок. Рука у одежды не доказывает перемещение наличных, а дрожь рук не предсказывает кражу.</w:t>
      </w:r>
    </w:p>
    <w:p>
      <w:r>
        <w:rPr>
          <w:b/>
          <w:sz w:val="20"/>
        </w:rPr>
        <w:t>Без нормативного сопоставления положительный прогноз R3D сохраняется как unclassified: тип не определён, rule=null. Требования к типу и нормативному обоснованию такого эпизода ещё не выполнены.</w:t>
      </w:r>
    </w:p>
    <w:p>
      <w:r>
        <w:rPr>
          <w:b w:val="0"/>
          <w:sz w:val="20"/>
        </w:rPr>
        <w:t>FAQ 9: type — свободное название. Новое действие может соответствовать известной норме независимо от классов обучения. Неизвестные нормативы не выдумываются; реестр требуется расширять и проверять.</w:t>
      </w:r>
    </w:p>
    <w:p>
      <w:r>
        <w:rPr>
          <w:b w:val="0"/>
          <w:sz w:val="18"/>
        </w:rPr>
        <w:t>Сверка всех последующих редакций после даты снимка ещё не завершена. Ограничения получения источника и его проверки: ML/regulations/README.md.</w:t>
      </w:r>
    </w:p>
    <w:p>
      <w:pPr>
        <w:pStyle w:val="Heading1"/>
        <w:pageBreakBefore/>
      </w:pPr>
      <w:r>
        <w:t>Ответ API жюри</w:t>
      </w:r>
    </w:p>
    <w:p>
      <w:r>
        <w:rPr>
          <w:b w:val="0"/>
          <w:sz w:val="20"/>
        </w:rPr>
        <w:t>Пример условный. Все таймкоды и описания ниже иллюстрируют формат и не относятся к банковской записи.</w:t>
      </w:r>
    </w:p>
    <w:p>
      <w:pPr>
        <w:spacing w:after="160" w:line="246" w:lineRule="exact"/>
      </w:pPr>
      <w:r>
        <w:rPr>
          <w:rFonts w:ascii="Courier New" w:hAnsi="Courier New"/>
          <w:sz w:val="20"/>
        </w:rPr>
        <w:t>{</w:t>
        <w:br/>
        <w:t xml:space="preserve">  "job_id": "example-job",</w:t>
        <w:br/>
        <w:t xml:space="preserve">  "status": "done",</w:t>
        <w:br/>
        <w:t xml:space="preserve">  "verdict": "violation",</w:t>
        <w:br/>
        <w:t xml:space="preserve">  "violations": [</w:t>
        <w:br/>
        <w:t xml:space="preserve">    {</w:t>
        <w:br/>
        <w:t xml:space="preserve">      "type": "Уход до завершения обслуживания",</w:t>
        <w:br/>
        <w:t xml:space="preserve">      "timecode_sec": 8.033,</w:t>
        <w:br/>
        <w:t xml:space="preserve">      "description": "Видимое действие и объяснение связи с правилом.",</w:t>
        <w:br/>
        <w:t xml:space="preserve">      "evidence_frames": [</w:t>
        <w:br/>
        <w:t xml:space="preserve">        {</w:t>
        <w:br/>
        <w:t xml:space="preserve">          "timestamp_sec": 8.033,</w:t>
        <w:br/>
        <w:t xml:space="preserve">          "image_base64": "/9j/…",</w:t>
        <w:br/>
        <w:t xml:space="preserve">          "explanation": "Что подтверждает именно этот кадр."</w:t>
        <w:br/>
        <w:t xml:space="preserve">        }</w:t>
        <w:br/>
        <w:t xml:space="preserve">      ],</w:t>
        <w:br/>
        <w:t xml:space="preserve">      "rule": {</w:t>
        <w:br/>
        <w:t xml:space="preserve">        "title": "Постановление НБРК № 231",</w:t>
        <w:br/>
        <w:t xml:space="preserve">        "section": "22",</w:t>
        <w:br/>
        <w:t xml:space="preserve">        "url": "https://adilet.zan.kz/rus/docs/V1900019680",</w:t>
        <w:br/>
        <w:t xml:space="preserve">        "revision": "16.03.2026"</w:t>
        <w:br/>
        <w:t xml:space="preserve">      }</w:t>
        <w:br/>
        <w:t xml:space="preserve">    }</w:t>
        <w:br/>
        <w:t xml:space="preserve">  ],</w:t>
        <w:br/>
        <w:t xml:space="preserve">  "coverage_status": "done",</w:t>
        <w:br/>
        <w:t xml:space="preserve">  "decision_scope": "visible_signs_of_possible_violations"</w:t>
        <w:br/>
        <w:t>}</w:t>
      </w:r>
    </w:p>
    <w:p>
      <w:r>
        <w:rPr>
          <w:b w:val="0"/>
          <w:sz w:val="20"/>
        </w:rPr>
        <w:t>Для classification_status=unclassified поле rule равно null. Это положительный сигнал обученного классификатора без установленного типа и норматива; кадры показывают его интервал и пик.</w:t>
      </w:r>
    </w:p>
    <w:p>
      <w:r>
        <w:rPr>
          <w:b w:val="0"/>
          <w:sz w:val="20"/>
        </w:rPr>
        <w:t>В каждом нарушении 1–3 JPEG в base64. timecode_sec совпадает с таймкодом одного из выбранных кадров. evidence_frames относятся только к этому эпизоду и имеют отдельное объяснение.</w:t>
      </w:r>
    </w:p>
    <w:p>
      <w:r>
        <w:rPr>
          <w:b w:val="0"/>
          <w:sz w:val="20"/>
        </w:rPr>
        <w:t>При no_violation массив violations пуст. coverage_status=partial означает неполную оценку; отрицательный ответ относится к проверенным фрагментам. При технической ошибке status=failed, бинарного вердикта нет.</w:t>
      </w:r>
    </w:p>
    <w:p>
      <w:r>
        <w:rPr>
          <w:b w:val="0"/>
          <w:sz w:val="20"/>
        </w:rPr>
        <w:t>type не является enum обучающих классов или синонимом observations[].kind. rule заполняется сервером из нормативного реестра; ссылка и пункт не принимаются от модели в свободной форме.</w:t>
      </w:r>
    </w:p>
    <w:p>
      <w:pPr>
        <w:pStyle w:val="Heading1"/>
        <w:pageBreakBefore/>
      </w:pPr>
      <w:r>
        <w:t>Запуск и ошибки API</w:t>
      </w:r>
    </w:p>
    <w:p>
      <w:r>
        <w:rPr>
          <w:b w:val="0"/>
          <w:sz w:val="20"/>
        </w:rPr>
        <w:t>Полная связка работает нативно на Mac Apple Silicon. Из корня проекта:</w:t>
      </w:r>
    </w:p>
    <w:p>
      <w:pPr>
        <w:spacing w:after="160" w:line="246" w:lineRule="exact"/>
      </w:pPr>
      <w:r>
        <w:rPr>
          <w:rFonts w:ascii="Courier New" w:hAnsi="Courier New"/>
          <w:sz w:val="20"/>
        </w:rPr>
        <w:t>ML/.venv/bin/python scripts/run_local_pipeline.py</w:t>
      </w:r>
    </w:p>
    <w:p>
      <w:r>
        <w:rPr>
          <w:b w:val="0"/>
          <w:sz w:val="20"/>
        </w:rPr>
        <w:t>Frontend: cd frontend &amp;&amp; npm start. API: http://127.0.0.1:6767. Скрипт проверяет модели, применяет миграции и поднимает API с worker. Ctrl+C останавливает оба процесса. Публичный адрес автоматически не создаётся.</w:t>
      </w:r>
    </w:p>
    <w:p>
      <w:pPr>
        <w:pStyle w:val="Heading2"/>
      </w:pPr>
      <w:r>
        <w:t>Доступ жюри</w:t>
      </w:r>
    </w:p>
    <w:p>
      <w:r>
        <w:rPr>
          <w:b w:val="0"/>
          <w:sz w:val="20"/>
        </w:rPr>
        <w:t>Задайте JURY_API_KEY окружением либо JURY_API_KEY_FILE. При первом запуске Mac-скрипт создаёт случайный ключ в backend/instance/jury-api-key.txt с правами 0600. Каталог исключён из Git. Не помещайте ключ во frontend, URL и логи.</w:t>
      </w:r>
    </w:p>
    <w:p>
      <w:pPr>
        <w:spacing w:after="160" w:line="246" w:lineRule="exact"/>
      </w:pPr>
      <w:r>
        <w:rPr>
          <w:rFonts w:ascii="Courier New" w:hAnsi="Courier New"/>
          <w:sz w:val="20"/>
        </w:rPr>
        <w:t>POST /api/v1/analyze</w:t>
        <w:br/>
        <w:t>X-API-Key: &lt;локальный секрет&gt;</w:t>
        <w:br/>
        <w:t>Content-Type: multipart/form-data</w:t>
        <w:br/>
        <w:t>file: &lt;video.mov&gt;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1440"/>
        <w:gridCol w:w="8784"/>
      </w:tblGrid>
      <w:tr>
        <w:trPr>
          <w:tblHeader/>
          <w:cantSplit/>
        </w:trPr>
        <w:tc>
          <w:tcPr>
            <w:tcW w:type="dxa" w:w="1440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HTTP</w:t>
            </w:r>
          </w:p>
        </w:tc>
        <w:tc>
          <w:tcPr>
            <w:tcW w:type="dxa" w:w="8784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200 / 202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Существующая или новая задача.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401</w:t>
            </w:r>
          </w:p>
        </w:tc>
        <w:tc>
          <w:tcPr>
            <w:tcW w:type="dxa" w:w="8784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Ключ неверен или отсутствует; JWT не заменяет X-API-Key.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Задача не существует или принадлежит другому ключу/аккаунту.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415 / 422</w:t>
            </w:r>
          </w:p>
        </w:tc>
        <w:tc>
          <w:tcPr>
            <w:tcW w:type="dxa" w:w="8784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Неподдерживаемое либо пустое видео.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429</w:t>
            </w:r>
          </w:p>
        </w:tc>
        <w:tc>
          <w:tcPr>
            <w:tcW w:type="dxa" w:w="8784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Worker занят или лимит загрузок исчерпан. Повторить позже.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503</w:t>
            </w:r>
          </w:p>
        </w:tc>
        <w:tc>
          <w:tcPr>
            <w:tcW w:type="dxa" w:w="8784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Модель, проверка правил или хранилище недоступны.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 w:val="0"/>
          <w:sz w:val="20"/>
        </w:rPr>
        <w:t>Кабинет использует ту же очередь, но JWT-сессию и проверку владельца. Подписанные image_url живут 15 минут; обновить их можно повторным GET задачи. Ключ жюри не даёт доступа к частным загрузкам веба.</w:t>
      </w:r>
    </w:p>
    <w:p>
      <w:r>
        <w:rPr>
          <w:b w:val="0"/>
          <w:sz w:val="20"/>
        </w:rPr>
        <w:t>Лимит инференса — 300 секунд; загрузка и ожидание добавляют время. Пяти минут на все входные ролики пока нельзя гарантировать. Длинная очередь жюри не принимается.</w:t>
      </w:r>
    </w:p>
    <w:p>
      <w:r>
        <w:rPr>
          <w:b w:val="0"/>
          <w:sz w:val="20"/>
        </w:rPr>
        <w:t>Linux Docker сохраняет objects. Для Qwen на Linux/CUDA потребуется другой runtime. Установка весов и окружений описана в docs/ML_INTEGRATION.md.</w:t>
      </w:r>
    </w:p>
    <w:p>
      <w:pPr>
        <w:pStyle w:val="Heading1"/>
        <w:pageBreakBefore/>
      </w:pPr>
      <w:r>
        <w:t>Структура результата кабинета</w:t>
      </w:r>
    </w:p>
    <w:p>
      <w:r>
        <w:rPr>
          <w:b w:val="0"/>
          <w:sz w:val="20"/>
        </w:rPr>
        <w:t>reviewed_pipeline последовательно освобождает процессы R3D и Qwen. Qwen выполняет отдельное описание и отдельную проверку правил на тех же кадрах. Анализ не обучается на загруженной записи.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2" w:type="dxa"/>
          <w:bottom w:w="72" w:type="dxa"/>
          <w:left w:w="105" w:type="dxa"/>
          <w:right w:w="105" w:type="dxa"/>
        </w:tblCellMar>
      </w:tblPr>
      <w:tblGrid>
        <w:gridCol w:w="4032"/>
        <w:gridCol w:w="6192"/>
      </w:tblGrid>
      <w:tr>
        <w:trPr>
          <w:tblHeader/>
          <w:cantSplit/>
        </w:trPr>
        <w:tc>
          <w:tcPr>
            <w:tcW w:type="dxa" w:w="403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Поле result</w:t>
            </w:r>
          </w:p>
        </w:tc>
        <w:tc>
          <w:tcPr>
            <w:tcW w:type="dxa" w:w="6192"/>
            <w:vAlign w:val="center"/>
            <w:shd w:fill="DCEAF1"/>
          </w:tcPr>
          <w:p>
            <w:pPr>
              <w:spacing w:after="0" w:line="254" w:lineRule="auto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verdict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violation или no_violation после выполненной проверки правил.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violations</w:t>
            </w:r>
          </w:p>
        </w:tc>
        <w:tc>
          <w:tcPr>
            <w:tcW w:type="dxa" w:w="619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Выводы по правилам с индивидуальными доказательствами.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violations[].evidence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Индекс общего кадра, timestamp_sec и объяснение.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violations[].evidence_frames</w:t>
            </w:r>
          </w:p>
        </w:tc>
        <w:tc>
          <w:tcPr>
            <w:tcW w:type="dxa" w:w="619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Подписанные image_url и объяснения для веба.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events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R3D-кандидаты bank_event_candidate; не готовые нарушения.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observations</w:t>
            </w:r>
          </w:p>
        </w:tc>
        <w:tc>
          <w:tcPr>
            <w:tcW w:type="dxa" w:w="619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Обычные видимые действия с кодами со страницы 2.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rule_evaluation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performed в новом полном режиме.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assessment_coverage</w:t>
            </w:r>
          </w:p>
        </w:tc>
        <w:tc>
          <w:tcPr>
            <w:tcW w:type="dxa" w:w="619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done или partial: полнота нормативной проверки.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coverage_windows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Состояние описания и assessment_status каждого окна.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candidate_status</w:t>
            </w:r>
          </w:p>
        </w:tc>
        <w:tc>
          <w:tcPr>
            <w:tcW w:type="dxa" w:w="6192"/>
            <w:vAlign w:val="center"/>
            <w:shd w:fill="F5F7F9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candidates_found, no_candidates_found, unsupported_camera.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rFonts w:ascii="Courier New" w:hAnsi="Courier New"/>
                <w:b w:val="0"/>
                <w:sz w:val="18"/>
              </w:rPr>
              <w:t>source_seen_during_training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Признак участия исходника в обучении банковской головы.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rPr>
          <w:b/>
          <w:sz w:val="20"/>
        </w:rPr>
        <w:t>Неподобранное правило не превращает положительный прогноз в no_violation. Интерфейс явно отмечает незавершённую классификацию; несвязанный норматив автоматически не подставляется.</w:t>
      </w:r>
    </w:p>
    <w:p>
      <w:r>
        <w:rPr>
          <w:b w:val="0"/>
          <w:sz w:val="20"/>
        </w:rPr>
        <w:t>Каждое нарушение содержит start_sec, end_sec, timecode_sec, type, description, visible_fact, explanation, rule_id, rule и requires_human_review=true. Последний флаг не отменяет бинарный вердикт.</w:t>
      </w:r>
    </w:p>
    <w:p>
      <w:r>
        <w:rPr>
          <w:b w:val="0"/>
          <w:sz w:val="20"/>
        </w:rPr>
        <w:t>Индексы кадров перенумеровываются при объединении стадий. Кадр выбранного эпизода обязан лежать в его интервале; timecode_sec обязан входить в выбранные доказательства. Нельзя прикреплять произвольные общие превью к нарушению.</w:t>
      </w:r>
    </w:p>
    <w:p>
      <w:r>
        <w:rPr>
          <w:b w:val="0"/>
          <w:sz w:val="20"/>
        </w:rPr>
        <w:t>Для камеры другого размера банковская голова 464×848 пропускается, но Qwen проверяет полный кадр. Перенос качества на новый ракурс отдельно не подтверждён.</w:t>
      </w:r>
    </w:p>
    <w:p>
      <w:r>
        <w:rPr>
          <w:b/>
          <w:sz w:val="20"/>
        </w:rPr>
        <w:t>65,8% development accuracy относится к прежней банковской голове, не к новой нормативной оценке. Нужна отдельная проверка точности итогового вердикта, типов и доказательств. Х-16/Х-17 не использованы в этих прогонах.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Версия от 18 октября 2026 года</w:t>
    </w:r>
    <w:r>
      <w:t xml:space="preserve">    •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FORTE CONTROL    /    СПРАВОЧНИК ДЛЯ БЭКЕНДЕРА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69" w:lineRule="auto"/>
    </w:pPr>
    <w:rPr>
      <w:rFonts w:ascii="Arial" w:hAnsi="Arial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69" w:lineRule="auto"/>
    </w:pPr>
    <w:rPr>
      <w:rFonts w:ascii="Arial" w:hAnsi="Arial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 Control ML API</dc:title>
  <dc:subject>Коды наблюдений и контракт интеграции локального ML анализа</dc:subject>
  <dc:creator>Команда Forte Control</dc:creator>
  <cp:keywords>ML, API, backend, observations, Forte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