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5" w:dyaOrig="2224">
          <v:shape id="ole_rId2" o:spid="_x0000_i1025" style="width:90.25pt;height:111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602184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B6309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81795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1.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2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3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4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3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5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_Toc94817955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6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_Toc94817956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7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_Toc94817957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5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8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3.3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_Toc94817958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6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9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3.4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_Toc94817959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0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3.5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_Toc94817960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4.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2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5.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3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6.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3D6BBC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4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7.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81795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817952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81795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81795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817955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4817956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proofErr w:type="spellStart"/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  <w:proofErr w:type="spellEnd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proofErr w:type="spellStart"/>
      <w:r w:rsidR="009C099B">
        <w:rPr>
          <w:rFonts w:ascii="Arial" w:hAnsi="Arial" w:cs="Arial"/>
          <w:sz w:val="24"/>
        </w:rPr>
        <w:t>привилегированост</w:t>
      </w:r>
      <w:proofErr w:type="spellEnd"/>
      <w:r w:rsidR="009C099B">
        <w:rPr>
          <w:rFonts w:ascii="Arial" w:hAnsi="Arial" w:cs="Arial"/>
          <w:sz w:val="24"/>
        </w:rPr>
        <w:t xml:space="preserve">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</w:t>
      </w:r>
      <w:proofErr w:type="spellStart"/>
      <w:r w:rsidR="0045553F">
        <w:rPr>
          <w:rFonts w:ascii="Arial" w:hAnsi="Arial" w:cs="Arial"/>
          <w:sz w:val="24"/>
        </w:rPr>
        <w:t>привилегированост</w:t>
      </w:r>
      <w:proofErr w:type="spellEnd"/>
      <w:r w:rsidR="0045553F">
        <w:rPr>
          <w:rFonts w:ascii="Arial" w:hAnsi="Arial" w:cs="Arial"/>
          <w:sz w:val="24"/>
        </w:rPr>
        <w:t xml:space="preserve">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</w:t>
            </w:r>
            <w:proofErr w:type="spellStart"/>
            <w:r>
              <w:t>привилегированост</w:t>
            </w:r>
            <w:proofErr w:type="spellEnd"/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481795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71747F">
        <w:rPr>
          <w:rFonts w:ascii="Arial" w:hAnsi="Arial" w:cs="Arial"/>
          <w:sz w:val="24"/>
          <w:lang w:val="en-US"/>
        </w:rPr>
        <w:t>програмата</w:t>
      </w:r>
      <w:proofErr w:type="spellEnd"/>
      <w:r w:rsidR="0071747F">
        <w:rPr>
          <w:rFonts w:ascii="Arial" w:hAnsi="Arial" w:cs="Arial"/>
          <w:sz w:val="24"/>
          <w:lang w:val="en-US"/>
        </w:rPr>
        <w:t xml:space="preserve">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EC5B76">
        <w:rPr>
          <w:rFonts w:ascii="Arial" w:hAnsi="Arial" w:cs="Arial"/>
          <w:sz w:val="24"/>
          <w:lang w:val="en-US"/>
        </w:rPr>
        <w:t>програмата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C5B76">
        <w:rPr>
          <w:rFonts w:ascii="Arial" w:hAnsi="Arial" w:cs="Arial"/>
          <w:sz w:val="24"/>
          <w:lang w:val="en-US"/>
        </w:rPr>
        <w:t>да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481795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proofErr w:type="spellStart"/>
      <w:r w:rsidR="002D78C1">
        <w:rPr>
          <w:rFonts w:ascii="Arial" w:hAnsi="Arial" w:cs="Arial"/>
          <w:sz w:val="24"/>
          <w:lang w:val="en-US"/>
        </w:rPr>
        <w:t>чрез</w:t>
      </w:r>
      <w:proofErr w:type="spellEnd"/>
      <w:r w:rsidR="002D78C1">
        <w:rPr>
          <w:rFonts w:ascii="Arial" w:hAnsi="Arial" w:cs="Arial"/>
          <w:sz w:val="24"/>
          <w:lang w:val="en-US"/>
        </w:rPr>
        <w:t xml:space="preserve">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>добавяне на нова функционалност на самото ядро, като поддръжка на нови файлови системи или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 xml:space="preserve">. Друга възможност е да се </w:t>
      </w:r>
      <w:r w:rsidR="00C93FAF">
        <w:rPr>
          <w:rFonts w:ascii="Arial" w:hAnsi="Arial" w:cs="Arial"/>
          <w:sz w:val="24"/>
        </w:rPr>
        <w:lastRenderedPageBreak/>
        <w:t>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 xml:space="preserve">за </w:t>
      </w:r>
      <w:r w:rsidR="0095248D">
        <w:rPr>
          <w:rFonts w:ascii="Arial" w:hAnsi="Arial" w:cs="Arial"/>
          <w:sz w:val="24"/>
        </w:rPr>
        <w:t>инсталиране</w:t>
      </w:r>
      <w:r w:rsidR="00C07316">
        <w:rPr>
          <w:rFonts w:ascii="Arial" w:hAnsi="Arial" w:cs="Arial"/>
          <w:sz w:val="24"/>
        </w:rPr>
        <w:t xml:space="preserve">,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или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14226F">
        <w:rPr>
          <w:rFonts w:ascii="Arial" w:hAnsi="Arial" w:cs="Arial"/>
          <w:sz w:val="24"/>
        </w:rPr>
        <w:t xml:space="preserve">Самото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доста по-сложен </w:t>
      </w:r>
      <w:r w:rsidR="00B76787">
        <w:rPr>
          <w:rFonts w:ascii="Arial" w:hAnsi="Arial" w:cs="Arial"/>
          <w:sz w:val="24"/>
        </w:rPr>
        <w:t xml:space="preserve">процес и съществува по-голям шанс </w:t>
      </w:r>
      <w:r w:rsidR="00145367">
        <w:rPr>
          <w:rFonts w:ascii="Arial" w:hAnsi="Arial" w:cs="Arial"/>
          <w:sz w:val="24"/>
        </w:rPr>
        <w:t xml:space="preserve">при него </w:t>
      </w:r>
      <w:r w:rsidR="00B76787">
        <w:rPr>
          <w:rFonts w:ascii="Arial" w:hAnsi="Arial" w:cs="Arial"/>
          <w:sz w:val="24"/>
        </w:rPr>
        <w:t xml:space="preserve">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ги засече. 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>изпълняващите се 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 xml:space="preserve">прикрива процесите и на друг </w:t>
      </w:r>
      <w:r w:rsidR="00E34769">
        <w:rPr>
          <w:rFonts w:ascii="Arial" w:hAnsi="Arial" w:cs="Arial"/>
          <w:sz w:val="24"/>
        </w:rPr>
        <w:lastRenderedPageBreak/>
        <w:t>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9213E6" w:rsidRPr="00542577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Съществуват и варианти на този тип </w:t>
      </w:r>
      <w:r w:rsidR="003E0BCE">
        <w:rPr>
          <w:rFonts w:ascii="Arial" w:hAnsi="Arial" w:cs="Arial"/>
          <w:sz w:val="24"/>
          <w:lang w:val="en-US"/>
        </w:rPr>
        <w:t>rootkit</w:t>
      </w:r>
      <w:r w:rsidR="003E0BCE"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По-конкретно става въпрос за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 w:rsidR="003E0BCE">
        <w:rPr>
          <w:rFonts w:ascii="Arial" w:hAnsi="Arial" w:cs="Arial"/>
          <w:sz w:val="24"/>
        </w:rPr>
        <w:t xml:space="preserve"> </w:t>
      </w:r>
      <w:r w:rsidR="003E0BCE"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  <w:lang w:val="en-US"/>
        </w:rPr>
        <w:t xml:space="preserve"> </w:t>
      </w:r>
      <w:r w:rsidR="00166408">
        <w:rPr>
          <w:rFonts w:ascii="Arial" w:hAnsi="Arial" w:cs="Arial"/>
          <w:sz w:val="24"/>
        </w:rPr>
        <w:t xml:space="preserve">и </w:t>
      </w:r>
      <w:proofErr w:type="spellStart"/>
      <w:r w:rsidR="00166408">
        <w:rPr>
          <w:rFonts w:ascii="Arial" w:hAnsi="Arial" w:cs="Arial"/>
          <w:sz w:val="24"/>
          <w:lang w:val="en-US"/>
        </w:rPr>
        <w:t>следващите</w:t>
      </w:r>
      <w:proofErr w:type="spellEnd"/>
      <w:r w:rsidR="00166408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66408">
        <w:rPr>
          <w:rFonts w:ascii="Arial" w:hAnsi="Arial" w:cs="Arial"/>
          <w:sz w:val="24"/>
          <w:lang w:val="en-US"/>
        </w:rPr>
        <w:t>версии</w:t>
      </w:r>
      <w:proofErr w:type="spellEnd"/>
      <w:r w:rsidR="00166408">
        <w:rPr>
          <w:rFonts w:ascii="Arial" w:hAnsi="Arial" w:cs="Arial"/>
          <w:sz w:val="24"/>
        </w:rPr>
        <w:t>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481795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bookmarkStart w:id="9" w:name="_GoBack"/>
      <w:bookmarkEnd w:id="9"/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CF218C" w:rsidRPr="001F4DFF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6A5686">
        <w:rPr>
          <w:rFonts w:ascii="Arial" w:hAnsi="Arial" w:cs="Arial"/>
          <w:sz w:val="24"/>
        </w:rPr>
        <w:t xml:space="preserve"> и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 xml:space="preserve">Joana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96656A">
        <w:rPr>
          <w:rFonts w:ascii="Arial" w:hAnsi="Arial" w:cs="Arial"/>
          <w:sz w:val="24"/>
        </w:rPr>
        <w:t xml:space="preserve"> през 2006г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Мненията за реалната приложимост на този вид </w:t>
      </w:r>
      <w:r w:rsidR="00343C96">
        <w:rPr>
          <w:rFonts w:ascii="Arial" w:hAnsi="Arial" w:cs="Arial"/>
          <w:sz w:val="24"/>
          <w:lang w:val="en-US"/>
        </w:rPr>
        <w:t xml:space="preserve">rootkit </w:t>
      </w:r>
      <w:r w:rsidR="00343C96"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</w:t>
      </w:r>
      <w:r w:rsidR="009664A6">
        <w:rPr>
          <w:rFonts w:ascii="Arial" w:hAnsi="Arial" w:cs="Arial"/>
          <w:sz w:val="24"/>
        </w:rPr>
        <w:lastRenderedPageBreak/>
        <w:t>спорове между изследователите</w:t>
      </w:r>
      <w:r w:rsidR="00343C96"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 w:rsidR="00343C96"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 w:rsidR="00343C96"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 w:rsidR="00343C96"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 w:rsidR="00343C96"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 w:rsidR="00343C96">
        <w:rPr>
          <w:rFonts w:ascii="Arial" w:hAnsi="Arial" w:cs="Arial"/>
          <w:sz w:val="24"/>
          <w:lang w:val="en-US"/>
        </w:rPr>
        <w:t>hypervisor</w:t>
      </w:r>
      <w:r w:rsidR="00343C96"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Въпреки това към днешна дата </w:t>
      </w:r>
      <w:r w:rsidR="00D411EC">
        <w:rPr>
          <w:rFonts w:ascii="Arial" w:hAnsi="Arial" w:cs="Arial"/>
          <w:sz w:val="24"/>
        </w:rPr>
        <w:t xml:space="preserve">публично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не изглежда да имат някакво развитие и въпроса дали такъв </w:t>
      </w:r>
      <w:r w:rsidR="001F4DFF">
        <w:rPr>
          <w:rFonts w:ascii="Arial" w:hAnsi="Arial" w:cs="Arial"/>
          <w:sz w:val="24"/>
          <w:lang w:val="en-US"/>
        </w:rPr>
        <w:t>rootkit</w:t>
      </w:r>
      <w:r w:rsidR="001F4DFF">
        <w:rPr>
          <w:rFonts w:ascii="Arial" w:hAnsi="Arial" w:cs="Arial"/>
          <w:sz w:val="24"/>
        </w:rPr>
        <w:t xml:space="preserve"> може да бъде приложен на практика остава без </w:t>
      </w:r>
      <w:r w:rsidR="006C2415">
        <w:rPr>
          <w:rFonts w:ascii="Arial" w:hAnsi="Arial" w:cs="Arial"/>
          <w:sz w:val="24"/>
        </w:rPr>
        <w:t xml:space="preserve">ясен </w:t>
      </w:r>
      <w:r w:rsidR="001F4DFF">
        <w:rPr>
          <w:rFonts w:ascii="Arial" w:hAnsi="Arial" w:cs="Arial"/>
          <w:sz w:val="24"/>
        </w:rPr>
        <w:t>отговор.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10" w:name="_Toc94817960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10"/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481796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11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481796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2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4817963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4817964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lastRenderedPageBreak/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BBC" w:rsidRDefault="003D6BBC" w:rsidP="00662903">
      <w:pPr>
        <w:spacing w:after="0" w:line="240" w:lineRule="auto"/>
      </w:pPr>
      <w:r>
        <w:separator/>
      </w:r>
    </w:p>
  </w:endnote>
  <w:endnote w:type="continuationSeparator" w:id="0">
    <w:p w:rsidR="003D6BBC" w:rsidRDefault="003D6BBC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BBC" w:rsidRDefault="003D6BBC" w:rsidP="00662903">
      <w:pPr>
        <w:spacing w:after="0" w:line="240" w:lineRule="auto"/>
      </w:pPr>
      <w:r>
        <w:separator/>
      </w:r>
    </w:p>
  </w:footnote>
  <w:footnote w:type="continuationSeparator" w:id="0">
    <w:p w:rsidR="003D6BBC" w:rsidRDefault="003D6BBC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0D503A">
      <w:rPr>
        <w:noProof/>
      </w:rPr>
      <w:t>9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259F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80E5A"/>
    <w:rsid w:val="00083E6B"/>
    <w:rsid w:val="00086C81"/>
    <w:rsid w:val="00087363"/>
    <w:rsid w:val="00091EB0"/>
    <w:rsid w:val="000A3036"/>
    <w:rsid w:val="000B37DD"/>
    <w:rsid w:val="000B5C83"/>
    <w:rsid w:val="000B654A"/>
    <w:rsid w:val="000C1DDE"/>
    <w:rsid w:val="000C7527"/>
    <w:rsid w:val="000D16A4"/>
    <w:rsid w:val="000D1C4C"/>
    <w:rsid w:val="000D503A"/>
    <w:rsid w:val="000D6A95"/>
    <w:rsid w:val="000E0354"/>
    <w:rsid w:val="000F0D52"/>
    <w:rsid w:val="000F2FB7"/>
    <w:rsid w:val="000F4F7E"/>
    <w:rsid w:val="0011046A"/>
    <w:rsid w:val="001126FE"/>
    <w:rsid w:val="00114B9F"/>
    <w:rsid w:val="0011679F"/>
    <w:rsid w:val="00126D9B"/>
    <w:rsid w:val="00132CEA"/>
    <w:rsid w:val="00137911"/>
    <w:rsid w:val="0014023D"/>
    <w:rsid w:val="0014045E"/>
    <w:rsid w:val="001419A7"/>
    <w:rsid w:val="0014226F"/>
    <w:rsid w:val="00142F44"/>
    <w:rsid w:val="00145367"/>
    <w:rsid w:val="00151297"/>
    <w:rsid w:val="0015227C"/>
    <w:rsid w:val="00163B4E"/>
    <w:rsid w:val="00166408"/>
    <w:rsid w:val="00166E4C"/>
    <w:rsid w:val="00176695"/>
    <w:rsid w:val="00177994"/>
    <w:rsid w:val="00177FE1"/>
    <w:rsid w:val="00182214"/>
    <w:rsid w:val="0018343F"/>
    <w:rsid w:val="0018462A"/>
    <w:rsid w:val="001851B9"/>
    <w:rsid w:val="00194959"/>
    <w:rsid w:val="00197FD6"/>
    <w:rsid w:val="001A6F90"/>
    <w:rsid w:val="001B5CF8"/>
    <w:rsid w:val="001B6946"/>
    <w:rsid w:val="001B73F1"/>
    <w:rsid w:val="001C0464"/>
    <w:rsid w:val="001C0BCF"/>
    <w:rsid w:val="001C4D10"/>
    <w:rsid w:val="001C5F07"/>
    <w:rsid w:val="001E7460"/>
    <w:rsid w:val="001F4DFF"/>
    <w:rsid w:val="0020090D"/>
    <w:rsid w:val="00200FF6"/>
    <w:rsid w:val="0020772F"/>
    <w:rsid w:val="00217132"/>
    <w:rsid w:val="00221DFC"/>
    <w:rsid w:val="002268B5"/>
    <w:rsid w:val="00227C76"/>
    <w:rsid w:val="00227FDE"/>
    <w:rsid w:val="0023043F"/>
    <w:rsid w:val="0023355D"/>
    <w:rsid w:val="00233F92"/>
    <w:rsid w:val="002346EB"/>
    <w:rsid w:val="00240909"/>
    <w:rsid w:val="00247740"/>
    <w:rsid w:val="0025294D"/>
    <w:rsid w:val="0025471D"/>
    <w:rsid w:val="00272C30"/>
    <w:rsid w:val="002756FA"/>
    <w:rsid w:val="0028618F"/>
    <w:rsid w:val="002912B3"/>
    <w:rsid w:val="002917D8"/>
    <w:rsid w:val="0029401A"/>
    <w:rsid w:val="002A23EF"/>
    <w:rsid w:val="002A54FE"/>
    <w:rsid w:val="002B25F8"/>
    <w:rsid w:val="002B7759"/>
    <w:rsid w:val="002C20A2"/>
    <w:rsid w:val="002C4832"/>
    <w:rsid w:val="002C5429"/>
    <w:rsid w:val="002D2DBE"/>
    <w:rsid w:val="002D52AC"/>
    <w:rsid w:val="002D6ECA"/>
    <w:rsid w:val="002D78C1"/>
    <w:rsid w:val="002E2363"/>
    <w:rsid w:val="002E273E"/>
    <w:rsid w:val="002E4CA7"/>
    <w:rsid w:val="002E5C71"/>
    <w:rsid w:val="0030581D"/>
    <w:rsid w:val="00307BF8"/>
    <w:rsid w:val="00324508"/>
    <w:rsid w:val="00326987"/>
    <w:rsid w:val="00326AD3"/>
    <w:rsid w:val="00331145"/>
    <w:rsid w:val="00331A21"/>
    <w:rsid w:val="00336458"/>
    <w:rsid w:val="0033651A"/>
    <w:rsid w:val="00336E09"/>
    <w:rsid w:val="00343C96"/>
    <w:rsid w:val="00345BCC"/>
    <w:rsid w:val="003522FF"/>
    <w:rsid w:val="00366C93"/>
    <w:rsid w:val="0037077C"/>
    <w:rsid w:val="00376E9A"/>
    <w:rsid w:val="00377885"/>
    <w:rsid w:val="00382AA1"/>
    <w:rsid w:val="003B38AA"/>
    <w:rsid w:val="003C55AF"/>
    <w:rsid w:val="003D4659"/>
    <w:rsid w:val="003D5A0E"/>
    <w:rsid w:val="003D6627"/>
    <w:rsid w:val="003D6BBC"/>
    <w:rsid w:val="003E0BCE"/>
    <w:rsid w:val="003E6B70"/>
    <w:rsid w:val="003E73A7"/>
    <w:rsid w:val="003F203F"/>
    <w:rsid w:val="0040003A"/>
    <w:rsid w:val="0040320F"/>
    <w:rsid w:val="00404E95"/>
    <w:rsid w:val="00405C1C"/>
    <w:rsid w:val="0041251C"/>
    <w:rsid w:val="00415666"/>
    <w:rsid w:val="00424679"/>
    <w:rsid w:val="00427F70"/>
    <w:rsid w:val="00434DC5"/>
    <w:rsid w:val="004405F7"/>
    <w:rsid w:val="0044454A"/>
    <w:rsid w:val="00450964"/>
    <w:rsid w:val="0045553F"/>
    <w:rsid w:val="0045714D"/>
    <w:rsid w:val="004615EB"/>
    <w:rsid w:val="00465336"/>
    <w:rsid w:val="00465C90"/>
    <w:rsid w:val="00465EFD"/>
    <w:rsid w:val="004719B6"/>
    <w:rsid w:val="00473C94"/>
    <w:rsid w:val="00474804"/>
    <w:rsid w:val="00474A6C"/>
    <w:rsid w:val="00483C79"/>
    <w:rsid w:val="00483DA0"/>
    <w:rsid w:val="004906BE"/>
    <w:rsid w:val="0049185E"/>
    <w:rsid w:val="00497342"/>
    <w:rsid w:val="004A164A"/>
    <w:rsid w:val="004A2DBE"/>
    <w:rsid w:val="004A55AF"/>
    <w:rsid w:val="004B36A4"/>
    <w:rsid w:val="004B4AC1"/>
    <w:rsid w:val="004B6825"/>
    <w:rsid w:val="004D7848"/>
    <w:rsid w:val="004D799E"/>
    <w:rsid w:val="004E0F4B"/>
    <w:rsid w:val="004E64DE"/>
    <w:rsid w:val="004F180B"/>
    <w:rsid w:val="004F43B6"/>
    <w:rsid w:val="004F72A3"/>
    <w:rsid w:val="005003A6"/>
    <w:rsid w:val="00503ED5"/>
    <w:rsid w:val="00516789"/>
    <w:rsid w:val="00517F56"/>
    <w:rsid w:val="0052085F"/>
    <w:rsid w:val="0052160D"/>
    <w:rsid w:val="00521D0C"/>
    <w:rsid w:val="00525C4B"/>
    <w:rsid w:val="005313DA"/>
    <w:rsid w:val="00537DFD"/>
    <w:rsid w:val="00541539"/>
    <w:rsid w:val="00542577"/>
    <w:rsid w:val="00557390"/>
    <w:rsid w:val="00560086"/>
    <w:rsid w:val="0056031B"/>
    <w:rsid w:val="00565808"/>
    <w:rsid w:val="00571795"/>
    <w:rsid w:val="00571FC0"/>
    <w:rsid w:val="00580C69"/>
    <w:rsid w:val="005906A6"/>
    <w:rsid w:val="00593782"/>
    <w:rsid w:val="00593DF7"/>
    <w:rsid w:val="00596D89"/>
    <w:rsid w:val="00597F94"/>
    <w:rsid w:val="005B722A"/>
    <w:rsid w:val="005C33E1"/>
    <w:rsid w:val="005C3BC8"/>
    <w:rsid w:val="005C508C"/>
    <w:rsid w:val="005C6567"/>
    <w:rsid w:val="005C695A"/>
    <w:rsid w:val="005D1FB3"/>
    <w:rsid w:val="005D328E"/>
    <w:rsid w:val="005E4730"/>
    <w:rsid w:val="005E538E"/>
    <w:rsid w:val="005E7989"/>
    <w:rsid w:val="005F64CE"/>
    <w:rsid w:val="005F6B77"/>
    <w:rsid w:val="005F6EEE"/>
    <w:rsid w:val="006056F8"/>
    <w:rsid w:val="00605F7C"/>
    <w:rsid w:val="00611B60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325D"/>
    <w:rsid w:val="006476E2"/>
    <w:rsid w:val="00651436"/>
    <w:rsid w:val="006604BB"/>
    <w:rsid w:val="00662903"/>
    <w:rsid w:val="00671491"/>
    <w:rsid w:val="006720EC"/>
    <w:rsid w:val="006A5686"/>
    <w:rsid w:val="006B346E"/>
    <w:rsid w:val="006C2415"/>
    <w:rsid w:val="006C25BB"/>
    <w:rsid w:val="006C3F3E"/>
    <w:rsid w:val="006C47EF"/>
    <w:rsid w:val="006E1023"/>
    <w:rsid w:val="006E2AFE"/>
    <w:rsid w:val="006E5D4A"/>
    <w:rsid w:val="006E6684"/>
    <w:rsid w:val="006E7A76"/>
    <w:rsid w:val="006F1CE9"/>
    <w:rsid w:val="006F2C6D"/>
    <w:rsid w:val="007018E8"/>
    <w:rsid w:val="0070349F"/>
    <w:rsid w:val="00714796"/>
    <w:rsid w:val="0071747F"/>
    <w:rsid w:val="00717FED"/>
    <w:rsid w:val="00720BD0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38F1"/>
    <w:rsid w:val="00765CF0"/>
    <w:rsid w:val="007665AF"/>
    <w:rsid w:val="00774B62"/>
    <w:rsid w:val="00774D91"/>
    <w:rsid w:val="0077580E"/>
    <w:rsid w:val="00781A9A"/>
    <w:rsid w:val="00784340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B20BA"/>
    <w:rsid w:val="007B2F86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D51A6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13649"/>
    <w:rsid w:val="008209BA"/>
    <w:rsid w:val="0082403C"/>
    <w:rsid w:val="008339E0"/>
    <w:rsid w:val="00833B5C"/>
    <w:rsid w:val="00835B69"/>
    <w:rsid w:val="0084236B"/>
    <w:rsid w:val="00843E87"/>
    <w:rsid w:val="00852D8E"/>
    <w:rsid w:val="0085798A"/>
    <w:rsid w:val="0086101F"/>
    <w:rsid w:val="008635AE"/>
    <w:rsid w:val="008652A1"/>
    <w:rsid w:val="00870DB3"/>
    <w:rsid w:val="00872BEF"/>
    <w:rsid w:val="00874351"/>
    <w:rsid w:val="008852A8"/>
    <w:rsid w:val="00891664"/>
    <w:rsid w:val="00892D75"/>
    <w:rsid w:val="00897506"/>
    <w:rsid w:val="008A565D"/>
    <w:rsid w:val="008A64A7"/>
    <w:rsid w:val="008A6A85"/>
    <w:rsid w:val="008A779F"/>
    <w:rsid w:val="008B4382"/>
    <w:rsid w:val="008C0A45"/>
    <w:rsid w:val="008C793B"/>
    <w:rsid w:val="008D0463"/>
    <w:rsid w:val="008D1847"/>
    <w:rsid w:val="008D6642"/>
    <w:rsid w:val="008E2BB9"/>
    <w:rsid w:val="008E642C"/>
    <w:rsid w:val="008E6DA8"/>
    <w:rsid w:val="008F387C"/>
    <w:rsid w:val="00917A7D"/>
    <w:rsid w:val="009213E6"/>
    <w:rsid w:val="00922CB3"/>
    <w:rsid w:val="009243A5"/>
    <w:rsid w:val="00940F56"/>
    <w:rsid w:val="00946541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6BED"/>
    <w:rsid w:val="0097752C"/>
    <w:rsid w:val="00981597"/>
    <w:rsid w:val="00996AEA"/>
    <w:rsid w:val="009A7F2E"/>
    <w:rsid w:val="009B0DC0"/>
    <w:rsid w:val="009B17CB"/>
    <w:rsid w:val="009C099B"/>
    <w:rsid w:val="009C3B8A"/>
    <w:rsid w:val="009D2371"/>
    <w:rsid w:val="009D3653"/>
    <w:rsid w:val="009D3F2D"/>
    <w:rsid w:val="009E2672"/>
    <w:rsid w:val="009E558D"/>
    <w:rsid w:val="009F679A"/>
    <w:rsid w:val="009F777F"/>
    <w:rsid w:val="00A10FA3"/>
    <w:rsid w:val="00A16475"/>
    <w:rsid w:val="00A22AD7"/>
    <w:rsid w:val="00A30DDC"/>
    <w:rsid w:val="00A31AFE"/>
    <w:rsid w:val="00A3796E"/>
    <w:rsid w:val="00A44B1B"/>
    <w:rsid w:val="00A46E1F"/>
    <w:rsid w:val="00A563BD"/>
    <w:rsid w:val="00A610BD"/>
    <w:rsid w:val="00A62443"/>
    <w:rsid w:val="00A63464"/>
    <w:rsid w:val="00A737E2"/>
    <w:rsid w:val="00A743F7"/>
    <w:rsid w:val="00A74F2F"/>
    <w:rsid w:val="00A75D69"/>
    <w:rsid w:val="00A76C16"/>
    <w:rsid w:val="00A77118"/>
    <w:rsid w:val="00A7765B"/>
    <w:rsid w:val="00A77CF4"/>
    <w:rsid w:val="00A81E1C"/>
    <w:rsid w:val="00A84873"/>
    <w:rsid w:val="00A84BC7"/>
    <w:rsid w:val="00A84F32"/>
    <w:rsid w:val="00A86B43"/>
    <w:rsid w:val="00AB27E3"/>
    <w:rsid w:val="00AB39CF"/>
    <w:rsid w:val="00AC083E"/>
    <w:rsid w:val="00AC2948"/>
    <w:rsid w:val="00AD0D6E"/>
    <w:rsid w:val="00AD6501"/>
    <w:rsid w:val="00AD7F03"/>
    <w:rsid w:val="00AE151A"/>
    <w:rsid w:val="00AE30B0"/>
    <w:rsid w:val="00AE4B0F"/>
    <w:rsid w:val="00AF00AC"/>
    <w:rsid w:val="00AF79C6"/>
    <w:rsid w:val="00B04608"/>
    <w:rsid w:val="00B049FC"/>
    <w:rsid w:val="00B13FF5"/>
    <w:rsid w:val="00B22FE7"/>
    <w:rsid w:val="00B25513"/>
    <w:rsid w:val="00B3168F"/>
    <w:rsid w:val="00B31D21"/>
    <w:rsid w:val="00B3361C"/>
    <w:rsid w:val="00B336F0"/>
    <w:rsid w:val="00B415BB"/>
    <w:rsid w:val="00B41683"/>
    <w:rsid w:val="00B435ED"/>
    <w:rsid w:val="00B54BF6"/>
    <w:rsid w:val="00B63092"/>
    <w:rsid w:val="00B65AA0"/>
    <w:rsid w:val="00B66471"/>
    <w:rsid w:val="00B7044D"/>
    <w:rsid w:val="00B72497"/>
    <w:rsid w:val="00B74092"/>
    <w:rsid w:val="00B76787"/>
    <w:rsid w:val="00B801BE"/>
    <w:rsid w:val="00B860EC"/>
    <w:rsid w:val="00BA1D92"/>
    <w:rsid w:val="00BA2A0A"/>
    <w:rsid w:val="00BA6219"/>
    <w:rsid w:val="00BB130B"/>
    <w:rsid w:val="00BB755C"/>
    <w:rsid w:val="00BE0098"/>
    <w:rsid w:val="00BE06F6"/>
    <w:rsid w:val="00BE1891"/>
    <w:rsid w:val="00BE3661"/>
    <w:rsid w:val="00BF05DE"/>
    <w:rsid w:val="00BF64C5"/>
    <w:rsid w:val="00C0110E"/>
    <w:rsid w:val="00C01565"/>
    <w:rsid w:val="00C01991"/>
    <w:rsid w:val="00C06327"/>
    <w:rsid w:val="00C07316"/>
    <w:rsid w:val="00C1536B"/>
    <w:rsid w:val="00C206F1"/>
    <w:rsid w:val="00C20BDB"/>
    <w:rsid w:val="00C32B1B"/>
    <w:rsid w:val="00C410DB"/>
    <w:rsid w:val="00C450FB"/>
    <w:rsid w:val="00C453FF"/>
    <w:rsid w:val="00C45565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85129"/>
    <w:rsid w:val="00C8703E"/>
    <w:rsid w:val="00C90642"/>
    <w:rsid w:val="00C93FAF"/>
    <w:rsid w:val="00C948BA"/>
    <w:rsid w:val="00C97946"/>
    <w:rsid w:val="00CA1128"/>
    <w:rsid w:val="00CA1387"/>
    <w:rsid w:val="00CA6293"/>
    <w:rsid w:val="00CA6E3A"/>
    <w:rsid w:val="00CC3524"/>
    <w:rsid w:val="00CD34A2"/>
    <w:rsid w:val="00CD4B34"/>
    <w:rsid w:val="00CE54B9"/>
    <w:rsid w:val="00CE5CF5"/>
    <w:rsid w:val="00CF218C"/>
    <w:rsid w:val="00D010C4"/>
    <w:rsid w:val="00D01623"/>
    <w:rsid w:val="00D27F56"/>
    <w:rsid w:val="00D31BD2"/>
    <w:rsid w:val="00D37E89"/>
    <w:rsid w:val="00D411EC"/>
    <w:rsid w:val="00D42344"/>
    <w:rsid w:val="00D44EC4"/>
    <w:rsid w:val="00D52E58"/>
    <w:rsid w:val="00D5545B"/>
    <w:rsid w:val="00D64483"/>
    <w:rsid w:val="00D6695B"/>
    <w:rsid w:val="00D70E22"/>
    <w:rsid w:val="00D750C8"/>
    <w:rsid w:val="00D764CC"/>
    <w:rsid w:val="00D878D2"/>
    <w:rsid w:val="00D916C2"/>
    <w:rsid w:val="00D91810"/>
    <w:rsid w:val="00D94DD0"/>
    <w:rsid w:val="00DA1719"/>
    <w:rsid w:val="00DA2145"/>
    <w:rsid w:val="00DC1ED0"/>
    <w:rsid w:val="00DC289A"/>
    <w:rsid w:val="00DC5A82"/>
    <w:rsid w:val="00DD1244"/>
    <w:rsid w:val="00DD1F65"/>
    <w:rsid w:val="00DD69CC"/>
    <w:rsid w:val="00DE0A5E"/>
    <w:rsid w:val="00DE77E9"/>
    <w:rsid w:val="00DF1034"/>
    <w:rsid w:val="00DF5E83"/>
    <w:rsid w:val="00DF6157"/>
    <w:rsid w:val="00DF70CE"/>
    <w:rsid w:val="00E04B6A"/>
    <w:rsid w:val="00E058E2"/>
    <w:rsid w:val="00E05CC3"/>
    <w:rsid w:val="00E07B3D"/>
    <w:rsid w:val="00E10FA1"/>
    <w:rsid w:val="00E13099"/>
    <w:rsid w:val="00E13D52"/>
    <w:rsid w:val="00E14D12"/>
    <w:rsid w:val="00E21D09"/>
    <w:rsid w:val="00E235E4"/>
    <w:rsid w:val="00E25194"/>
    <w:rsid w:val="00E26278"/>
    <w:rsid w:val="00E34769"/>
    <w:rsid w:val="00E36C72"/>
    <w:rsid w:val="00E40367"/>
    <w:rsid w:val="00E40639"/>
    <w:rsid w:val="00E4430F"/>
    <w:rsid w:val="00E4715F"/>
    <w:rsid w:val="00E51AAE"/>
    <w:rsid w:val="00E5264A"/>
    <w:rsid w:val="00E56524"/>
    <w:rsid w:val="00E57AC4"/>
    <w:rsid w:val="00E60A9A"/>
    <w:rsid w:val="00E60F34"/>
    <w:rsid w:val="00E6243E"/>
    <w:rsid w:val="00E65C41"/>
    <w:rsid w:val="00E772BC"/>
    <w:rsid w:val="00E800CF"/>
    <w:rsid w:val="00E80A37"/>
    <w:rsid w:val="00E83A26"/>
    <w:rsid w:val="00E84663"/>
    <w:rsid w:val="00EA02CD"/>
    <w:rsid w:val="00EB2630"/>
    <w:rsid w:val="00EB4065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416A"/>
    <w:rsid w:val="00EF5884"/>
    <w:rsid w:val="00EF6408"/>
    <w:rsid w:val="00F12B99"/>
    <w:rsid w:val="00F1507C"/>
    <w:rsid w:val="00F15544"/>
    <w:rsid w:val="00F16AD0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401A4"/>
    <w:rsid w:val="00F40308"/>
    <w:rsid w:val="00F419E7"/>
    <w:rsid w:val="00F43172"/>
    <w:rsid w:val="00F432EE"/>
    <w:rsid w:val="00F4357C"/>
    <w:rsid w:val="00F463AD"/>
    <w:rsid w:val="00F46CB0"/>
    <w:rsid w:val="00F5035B"/>
    <w:rsid w:val="00F70E93"/>
    <w:rsid w:val="00F7219F"/>
    <w:rsid w:val="00F75BA7"/>
    <w:rsid w:val="00F8505F"/>
    <w:rsid w:val="00F97C9C"/>
    <w:rsid w:val="00FA178B"/>
    <w:rsid w:val="00FA5C43"/>
    <w:rsid w:val="00FA6BD4"/>
    <w:rsid w:val="00FA7E4F"/>
    <w:rsid w:val="00FB6000"/>
    <w:rsid w:val="00FB6339"/>
    <w:rsid w:val="00FB713D"/>
    <w:rsid w:val="00FC6973"/>
    <w:rsid w:val="00FD1964"/>
    <w:rsid w:val="00FD3421"/>
    <w:rsid w:val="00FD44AB"/>
    <w:rsid w:val="00FD74DF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6F29-2352-4D13-9F27-5B68071E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583</cp:revision>
  <dcterms:created xsi:type="dcterms:W3CDTF">2022-01-09T09:58:00Z</dcterms:created>
  <dcterms:modified xsi:type="dcterms:W3CDTF">2022-02-05T19:37:00Z</dcterms:modified>
</cp:coreProperties>
</file>