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smallCaps/>
          <w:color w:val="2E74B5"/>
          <w:sz w:val="21"/>
        </w:rPr>
        <w:t>PRODUCT BIBLE</w:t>
      </w:r>
    </w:p>
    <w:p>
      <w:pPr>
        <w:pStyle w:val="CoverTitle"/>
        <w:keepNext/>
      </w:pPr>
      <w:r>
        <w:t>Flashcard Planet Product Bible v2.0</w:t>
      </w:r>
    </w:p>
    <w:p>
      <w:pPr>
        <w:pStyle w:val="CoverSubtitle"/>
      </w:pPr>
      <w:r>
        <w:t>Global Collectibles Intelligence Platform</w:t>
      </w:r>
    </w:p>
    <w:p>
      <w:pPr>
        <w:pStyle w:val="CoverSubtitle"/>
      </w:pPr>
      <w:r>
        <w:t>The Bloomberg Terminal for Collectibles</w:t>
      </w:r>
    </w:p>
    <w:p>
      <w:pPr>
        <w:spacing w:after="560"/>
        <w:pBdr>
          <w:bottom w:val="single" w:sz="10" w:space="8" w:color="D7DBE2"/>
        </w:pBdr>
      </w:pPr>
    </w:p>
    <w:tbl>
      <w:tblPr>
        <w:tblW w:type="dxa" w:w="7020"/>
        <w:tblLook w:firstColumn="1" w:firstRow="1" w:lastColumn="0" w:lastRow="0" w:noHBand="0" w:noVBand="1" w:val="04A0"/>
        <w:tblInd w:w="1170" w:type="dxa"/>
        <w:tblLayout w:type="fixed"/>
        <w:tblCellMar>
          <w:top w:w="80" w:type="dxa"/>
          <w:bottom w:w="80" w:type="dxa"/>
          <w:start w:w="120" w:type="dxa"/>
          <w:end w:w="120" w:type="dxa"/>
        </w:tblCellMar>
      </w:tblPr>
      <w:tblGrid>
        <w:gridCol w:w="2340"/>
        <w:gridCol w:w="4680"/>
      </w:tblGrid>
      <w:tr>
        <w:tc>
          <w:tcPr>
            <w:tcW w:type="dxa" w:w="2340"/>
            <w:vAlign w:val="center"/>
          </w:tcPr>
          <w:p>
            <w:pPr>
              <w:spacing w:before="0" w:after="0" w:line="264" w:lineRule="auto"/>
              <w:jc w:val="right"/>
            </w:pPr>
            <w:r/>
            <w:r>
              <w:rPr>
                <w:rFonts w:ascii="Calibri" w:hAnsi="Calibri"/>
                <w:b/>
                <w:color w:val="5F6670"/>
                <w:sz w:val="19"/>
              </w:rPr>
              <w:t>VERSION</w:t>
            </w:r>
          </w:p>
        </w:tc>
        <w:tc>
          <w:tcPr>
            <w:tcW w:type="dxa" w:w="4680"/>
            <w:vAlign w:val="center"/>
          </w:tcPr>
          <w:p>
            <w:pPr>
              <w:spacing w:before="0" w:after="0" w:line="264" w:lineRule="auto"/>
              <w:jc w:val="left"/>
            </w:pPr>
            <w:r/>
            <w:r>
              <w:rPr>
                <w:rFonts w:ascii="Calibri" w:hAnsi="Calibri"/>
                <w:b w:val="0"/>
                <w:color w:val="0B2545"/>
                <w:sz w:val="21"/>
              </w:rPr>
              <w:t>2.0</w:t>
            </w:r>
          </w:p>
        </w:tc>
      </w:tr>
      <w:tr>
        <w:tc>
          <w:tcPr>
            <w:tcW w:type="dxa" w:w="2340"/>
            <w:vAlign w:val="center"/>
          </w:tcPr>
          <w:p>
            <w:pPr>
              <w:spacing w:before="0" w:after="0" w:line="264" w:lineRule="auto"/>
              <w:jc w:val="right"/>
            </w:pPr>
            <w:r/>
            <w:r>
              <w:rPr>
                <w:rFonts w:ascii="Calibri" w:hAnsi="Calibri"/>
                <w:b/>
                <w:color w:val="5F6670"/>
                <w:sz w:val="19"/>
              </w:rPr>
              <w:t>STATUS</w:t>
            </w:r>
          </w:p>
        </w:tc>
        <w:tc>
          <w:tcPr>
            <w:tcW w:type="dxa" w:w="4680"/>
            <w:vAlign w:val="center"/>
          </w:tcPr>
          <w:p>
            <w:pPr>
              <w:spacing w:before="0" w:after="0" w:line="264" w:lineRule="auto"/>
              <w:jc w:val="left"/>
            </w:pPr>
            <w:r/>
            <w:r>
              <w:rPr>
                <w:rFonts w:ascii="Calibri" w:hAnsi="Calibri"/>
                <w:b w:val="0"/>
                <w:color w:val="0B2545"/>
                <w:sz w:val="21"/>
              </w:rPr>
              <w:t>Draft 1: Chapter 1 and operating foundation</w:t>
            </w:r>
          </w:p>
        </w:tc>
      </w:tr>
      <w:tr>
        <w:tc>
          <w:tcPr>
            <w:tcW w:type="dxa" w:w="2340"/>
            <w:vAlign w:val="center"/>
          </w:tcPr>
          <w:p>
            <w:pPr>
              <w:spacing w:before="0" w:after="0" w:line="264" w:lineRule="auto"/>
              <w:jc w:val="right"/>
            </w:pPr>
            <w:r/>
            <w:r>
              <w:rPr>
                <w:rFonts w:ascii="Calibri" w:hAnsi="Calibri"/>
                <w:b/>
                <w:color w:val="5F6670"/>
                <w:sz w:val="19"/>
              </w:rPr>
              <w:t>PREPARED FOR</w:t>
            </w:r>
          </w:p>
        </w:tc>
        <w:tc>
          <w:tcPr>
            <w:tcW w:type="dxa" w:w="4680"/>
            <w:vAlign w:val="center"/>
          </w:tcPr>
          <w:p>
            <w:pPr>
              <w:spacing w:before="0" w:after="0" w:line="264" w:lineRule="auto"/>
              <w:jc w:val="left"/>
            </w:pPr>
            <w:r/>
            <w:r>
              <w:rPr>
                <w:rFonts w:ascii="Calibri" w:hAnsi="Calibri"/>
                <w:b w:val="0"/>
                <w:color w:val="0B2545"/>
                <w:sz w:val="21"/>
              </w:rPr>
              <w:t>Flashcard Planet product and engineering team</w:t>
            </w:r>
          </w:p>
        </w:tc>
      </w:tr>
      <w:tr>
        <w:tc>
          <w:tcPr>
            <w:tcW w:type="dxa" w:w="2340"/>
            <w:vAlign w:val="center"/>
          </w:tcPr>
          <w:p>
            <w:pPr>
              <w:spacing w:before="0" w:after="0" w:line="264" w:lineRule="auto"/>
              <w:jc w:val="right"/>
            </w:pPr>
            <w:r/>
            <w:r>
              <w:rPr>
                <w:rFonts w:ascii="Calibri" w:hAnsi="Calibri"/>
                <w:b/>
                <w:color w:val="5F6670"/>
                <w:sz w:val="19"/>
              </w:rPr>
              <w:t>PREPARED BY</w:t>
            </w:r>
          </w:p>
        </w:tc>
        <w:tc>
          <w:tcPr>
            <w:tcW w:type="dxa" w:w="4680"/>
            <w:vAlign w:val="center"/>
          </w:tcPr>
          <w:p>
            <w:pPr>
              <w:spacing w:before="0" w:after="0" w:line="264" w:lineRule="auto"/>
              <w:jc w:val="left"/>
            </w:pPr>
            <w:r/>
            <w:r>
              <w:rPr>
                <w:rFonts w:ascii="Calibri" w:hAnsi="Calibri"/>
                <w:b w:val="0"/>
                <w:color w:val="0B2545"/>
                <w:sz w:val="21"/>
              </w:rPr>
              <w:t>Product Architecture</w:t>
            </w:r>
          </w:p>
        </w:tc>
      </w:tr>
      <w:tr>
        <w:tc>
          <w:tcPr>
            <w:tcW w:type="dxa" w:w="2340"/>
            <w:vAlign w:val="center"/>
          </w:tcPr>
          <w:p>
            <w:pPr>
              <w:spacing w:before="0" w:after="0" w:line="264" w:lineRule="auto"/>
              <w:jc w:val="right"/>
            </w:pPr>
            <w:r/>
            <w:r>
              <w:rPr>
                <w:rFonts w:ascii="Calibri" w:hAnsi="Calibri"/>
                <w:b/>
                <w:color w:val="5F6670"/>
                <w:sz w:val="19"/>
              </w:rPr>
              <w:t>LAST UPDATED</w:t>
            </w:r>
          </w:p>
        </w:tc>
        <w:tc>
          <w:tcPr>
            <w:tcW w:type="dxa" w:w="4680"/>
            <w:vAlign w:val="center"/>
          </w:tcPr>
          <w:p>
            <w:pPr>
              <w:spacing w:before="0" w:after="0" w:line="264" w:lineRule="auto"/>
              <w:jc w:val="left"/>
            </w:pPr>
            <w:r/>
            <w:r>
              <w:rPr>
                <w:rFonts w:ascii="Calibri" w:hAnsi="Calibri"/>
                <w:b w:val="0"/>
                <w:color w:val="0B2545"/>
                <w:sz w:val="21"/>
              </w:rPr>
              <w:t>July 21, 2026</w:t>
            </w:r>
          </w:p>
        </w:tc>
      </w:tr>
    </w:tbl>
    <w:p/>
    <w:p/>
    <w:p/>
    <w:p>
      <w:pPr>
        <w:pStyle w:val="CoverMetadata"/>
      </w:pPr>
      <w:r>
        <w:t>A working strategic specification for product development, Codex execution, and future PRD expansion.</w:t>
      </w:r>
    </w:p>
    <w:p>
      <w:r>
        <w:br w:type="page"/>
      </w:r>
    </w:p>
    <w:p>
      <w:pPr>
        <w:pStyle w:val="FrontMatterHeading"/>
        <w:keepNext/>
      </w:pPr>
      <w:r>
        <w:t>Table of Contents</w:t>
      </w:r>
    </w:p>
    <w:p>
      <w:r>
        <w:rPr>
          <w:rFonts w:ascii="Calibri" w:hAnsi="Calibri"/>
        </w:rPr>
        <w:t>This page contains an automatic Word table of contents field. The body uses Heading 1, Heading 2, and Heading 3 styles so the TOC can populate cleanly as future chapters are added.</w:t>
      </w:r>
    </w:p>
    <w:p>
      <w:pPr>
        <w:spacing w:before="160" w:after="480"/>
      </w:pPr>
      <w:r>
        <w:fldChar w:fldCharType="begin"/>
      </w:r>
      <w:r>
        <w:instrText xml:space="preserve">TOC \o "1-3" \h \z \u</w:instrText>
      </w:r>
      <w:r>
        <w:fldChar w:fldCharType="separate"/>
      </w:r>
      <w:r>
        <w:r>
          <w:t>Table of contents placeholder. Open in Word, select this field, then update fields to populate it from Heading 1-3.</w:t>
        </w:r>
      </w:r>
      <w:r>
        <w:fldChar w:fldCharType="end"/>
      </w:r>
    </w:p>
    <w:p>
      <w:r>
        <w:br w:type="page"/>
      </w:r>
    </w:p>
    <w:p>
      <w:pPr>
        <w:pStyle w:val="Heading1"/>
      </w:pPr>
      <w:r>
        <w:t>Chapter 1: Vision and Product Foundation</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Executive thesis: </w:t>
            </w:r>
            <w:r>
              <w:rPr>
                <w:rFonts w:ascii="Calibri" w:hAnsi="Calibri"/>
                <w:color w:val="0B2545"/>
                <w:sz w:val="21"/>
              </w:rPr>
              <w:t>Flashcard Planet is not a price checker. It is the intelligence layer for the global collectibles market, turning fragmented observations into explanations, signals, and decision support.</w:t>
            </w:r>
          </w:p>
        </w:tc>
      </w:tr>
    </w:tbl>
    <w:p>
      <w:pPr>
        <w:spacing w:after="40"/>
      </w:pPr>
    </w:p>
    <w:p>
      <w:pPr>
        <w:pStyle w:val="Heading2"/>
      </w:pPr>
      <w:r>
        <w:t>1.1 Vision</w:t>
      </w:r>
    </w:p>
    <w:p>
      <w:r>
        <w:rPr>
          <w:rFonts w:ascii="Calibri" w:hAnsi="Calibri"/>
        </w:rPr>
        <w:t>Flashcard Planet should become the daily market command center for collectors, investors, stores, creators, and businesses that operate in the collectibles economy.</w:t>
      </w:r>
    </w:p>
    <w:p>
      <w:r>
        <w:rPr>
          <w:rFonts w:ascii="Calibri" w:hAnsi="Calibri"/>
        </w:rPr>
        <w:t>The product vision is to make the market understandable. Users should not need to visit ten platforms, interpret scattered price charts, read dozens of forum posts, and manually connect news events to card movements. Flashcard Planet should compress that work into one trusted interface.</w:t>
      </w:r>
    </w:p>
    <w:p>
      <w:pPr>
        <w:pStyle w:val="ListBullet"/>
        <w:spacing w:after="40" w:line="280" w:lineRule="auto"/>
        <w:ind w:left="720" w:hanging="360"/>
      </w:pPr>
      <w:r>
        <w:rPr>
          <w:rFonts w:ascii="Calibri" w:hAnsi="Calibri"/>
          <w:sz w:val="22"/>
        </w:rPr>
        <w:t>Show what happened across collectible markets today.</w:t>
      </w:r>
    </w:p>
    <w:p>
      <w:pPr>
        <w:pStyle w:val="ListBullet"/>
        <w:spacing w:after="40" w:line="280" w:lineRule="auto"/>
        <w:ind w:left="720" w:hanging="360"/>
      </w:pPr>
      <w:r>
        <w:rPr>
          <w:rFonts w:ascii="Calibri" w:hAnsi="Calibri"/>
          <w:sz w:val="22"/>
        </w:rPr>
        <w:t>Explain why important cards, sets, and categories moved.</w:t>
      </w:r>
    </w:p>
    <w:p>
      <w:pPr>
        <w:pStyle w:val="ListBullet"/>
        <w:spacing w:after="40" w:line="280" w:lineRule="auto"/>
        <w:ind w:left="720" w:hanging="360"/>
      </w:pPr>
      <w:r>
        <w:rPr>
          <w:rFonts w:ascii="Calibri" w:hAnsi="Calibri"/>
          <w:sz w:val="22"/>
        </w:rPr>
        <w:t>Surface what users should watch next.</w:t>
      </w:r>
    </w:p>
    <w:p>
      <w:pPr>
        <w:pStyle w:val="ListBullet"/>
        <w:spacing w:after="40" w:line="280" w:lineRule="auto"/>
        <w:ind w:left="720" w:hanging="360"/>
      </w:pPr>
      <w:r>
        <w:rPr>
          <w:rFonts w:ascii="Calibri" w:hAnsi="Calibri"/>
          <w:sz w:val="22"/>
        </w:rPr>
        <w:t>Connect prices, supply, population, news, social discussion, and portfolio impact.</w:t>
      </w:r>
    </w:p>
    <w:p>
      <w:pPr>
        <w:pStyle w:val="Heading2"/>
      </w:pPr>
      <w:r>
        <w:t>1.2 Mission</w:t>
      </w:r>
    </w:p>
    <w:p>
      <w:r>
        <w:rPr>
          <w:rFonts w:ascii="Calibri" w:hAnsi="Calibri"/>
        </w:rPr>
        <w:t>Build the world's most trusted intelligence platform for collectibles.</w:t>
      </w:r>
    </w:p>
    <w:p>
      <w:r>
        <w:rPr>
          <w:rFonts w:ascii="Calibri" w:hAnsi="Calibri"/>
        </w:rPr>
        <w:t>The mission is not simply to display data. The mission is to transform market data into actionable intelligence while preserving user trust. Every product layer should reduce uncertainty for the user.</w:t>
      </w:r>
    </w:p>
    <w:p>
      <w:pPr>
        <w:numPr>
          <w:ilvl w:val="0"/>
          <w:numId w:val="10"/>
        </w:numPr>
        <w:spacing w:after="40" w:line="280" w:lineRule="auto"/>
        <w:ind w:left="720" w:hanging="360"/>
      </w:pPr>
      <w:r>
        <w:rPr>
          <w:rFonts w:ascii="Calibri" w:hAnsi="Calibri"/>
          <w:sz w:val="22"/>
        </w:rPr>
        <w:t>Aggregate fragmented market data from reliable sources.</w:t>
      </w:r>
    </w:p>
    <w:p>
      <w:pPr>
        <w:numPr>
          <w:ilvl w:val="0"/>
          <w:numId w:val="10"/>
        </w:numPr>
        <w:spacing w:after="40" w:line="280" w:lineRule="auto"/>
        <w:ind w:left="720" w:hanging="360"/>
      </w:pPr>
      <w:r>
        <w:rPr>
          <w:rFonts w:ascii="Calibri" w:hAnsi="Calibri"/>
          <w:sz w:val="22"/>
        </w:rPr>
        <w:t>Normalize and validate observations before they become product signals.</w:t>
      </w:r>
    </w:p>
    <w:p>
      <w:pPr>
        <w:numPr>
          <w:ilvl w:val="0"/>
          <w:numId w:val="10"/>
        </w:numPr>
        <w:spacing w:after="40" w:line="280" w:lineRule="auto"/>
        <w:ind w:left="720" w:hanging="360"/>
      </w:pPr>
      <w:r>
        <w:rPr>
          <w:rFonts w:ascii="Calibri" w:hAnsi="Calibri"/>
          <w:sz w:val="22"/>
        </w:rPr>
        <w:t>Generate clear, evidence-based explanations for meaningful movements.</w:t>
      </w:r>
    </w:p>
    <w:p>
      <w:pPr>
        <w:numPr>
          <w:ilvl w:val="0"/>
          <w:numId w:val="10"/>
        </w:numPr>
        <w:spacing w:after="40" w:line="280" w:lineRule="auto"/>
        <w:ind w:left="720" w:hanging="360"/>
      </w:pPr>
      <w:r>
        <w:rPr>
          <w:rFonts w:ascii="Calibri" w:hAnsi="Calibri"/>
          <w:sz w:val="22"/>
        </w:rPr>
        <w:t>Help users make better decisions without hiding risk or uncertainty.</w:t>
      </w:r>
    </w:p>
    <w:p>
      <w:pPr>
        <w:pStyle w:val="Heading2"/>
      </w:pPr>
      <w:r>
        <w:t>1.3 Long-Term Vision</w:t>
      </w:r>
    </w:p>
    <w:p>
      <w:r>
        <w:rPr>
          <w:rFonts w:ascii="Calibri" w:hAnsi="Calibri"/>
        </w:rPr>
        <w:t>Flashcard Planet should evolve into the Bloomberg Terminal for Collectibles: a professional-grade intelligence layer spanning trading cards, sports cards, sealed products, graded collectibles, and future collectible categories.</w:t>
      </w:r>
    </w:p>
    <w:p>
      <w:r>
        <w:rPr>
          <w:rFonts w:ascii="Calibri" w:hAnsi="Calibri"/>
        </w:rPr>
        <w:t>Every day, collectible assets are bought, sold, listed, graded, discussed, hyped, corrected, and repriced. The market already produces useful signals, but those signals are scattered across marketplaces, grading companies, price databases, social platforms, Discord communities, auction houses, YouTube, and official brand announcements.</w:t>
      </w:r>
    </w:p>
    <w:p>
      <w:r>
        <w:rPr>
          <w:rFonts w:ascii="Calibri" w:hAnsi="Calibri"/>
        </w:rPr>
        <w:t>The long-term opportunity is to unify those signals into a single operating system for the market. Over time, Flashcard Planet should support Pokemon, One Piece, Magic, Yu-Gi-Oh!, Lorcana, Weiss Schwarz, sports cards, and adjacent collectible verticals without requiring a backend redesign.</w:t>
      </w:r>
    </w:p>
    <w:p>
      <w:pPr>
        <w:pStyle w:val="Heading2"/>
      </w:pPr>
      <w:r>
        <w:t>1.4 Product Philosophy</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Product rule: </w:t>
            </w:r>
            <w:r>
              <w:rPr>
                <w:rFonts w:ascii="Calibri" w:hAnsi="Calibri"/>
                <w:color w:val="0B2545"/>
                <w:sz w:val="21"/>
              </w:rPr>
              <w:t>Every feature must answer one question: does this help the user make a better decision?</w:t>
            </w:r>
          </w:p>
        </w:tc>
      </w:tr>
    </w:tbl>
    <w:p>
      <w:pPr>
        <w:spacing w:after="40"/>
      </w:pPr>
    </w:p>
    <w:p>
      <w:r>
        <w:rPr>
          <w:rFonts w:ascii="Calibri" w:hAnsi="Calibri"/>
        </w:rPr>
        <w:t>If a feature only creates noise, engagement theater, or visual complexity, it does not belong in the core product. Flashcard Planet should be fast, data-first, explainable, and useful every day.</w:t>
      </w:r>
    </w:p>
    <w:p>
      <w:r>
        <w:rPr>
          <w:rFonts w:ascii="Calibri" w:hAnsi="Calibri"/>
        </w:rPr>
        <w:t>Price is the foundation, not the product. The durable product value comes from context: market overview, catalysts, risk, sentiment, supply, portfolio impact, and reliable AI explanation.</w:t>
      </w:r>
    </w:p>
    <w:p>
      <w:pPr>
        <w:pStyle w:val="Heading2"/>
      </w:pPr>
      <w:r>
        <w:t>1.5 Core Principles</w:t>
      </w:r>
    </w:p>
    <w:p>
      <w:pPr>
        <w:pStyle w:val="Heading3"/>
      </w:pPr>
      <w:r>
        <w:t>Principle 1: Data Before Opinion</w:t>
      </w:r>
    </w:p>
    <w:p>
      <w:r>
        <w:rPr>
          <w:rFonts w:ascii="Calibri" w:hAnsi="Calibri"/>
        </w:rPr>
        <w:t>Every displayed number must come from a trusted source or a clearly labeled internal calculation. Data lineage matters because collectors make real financial decisions from this product.</w:t>
      </w:r>
    </w:p>
    <w:p>
      <w:pPr>
        <w:pStyle w:val="Heading3"/>
      </w:pPr>
      <w:r>
        <w:t>Principle 2: Evidence Before Recommendation</w:t>
      </w:r>
    </w:p>
    <w:p>
      <w:r>
        <w:rPr>
          <w:rFonts w:ascii="Calibri" w:hAnsi="Calibri"/>
        </w:rPr>
        <w:t>AI should never issue recommendations based only on price movement. Recommendations require supporting evidence, market context, risk factors, and confidence scoring.</w:t>
      </w:r>
    </w:p>
    <w:p>
      <w:pPr>
        <w:pStyle w:val="Heading3"/>
      </w:pPr>
      <w:r>
        <w:t>Principle 3: Explain Everything</w:t>
      </w:r>
    </w:p>
    <w:p>
      <w:r>
        <w:rPr>
          <w:rFonts w:ascii="Calibri" w:hAnsi="Calibri"/>
        </w:rPr>
        <w:t>Every major movement, signal, and portfolio insight should answer why. Users should be able to inspect the observations behind an AI explanation.</w:t>
      </w:r>
    </w:p>
    <w:p>
      <w:pPr>
        <w:pStyle w:val="Heading3"/>
      </w:pPr>
      <w:r>
        <w:t>Principle 4: Trust Is the Product</w:t>
      </w:r>
    </w:p>
    <w:p>
      <w:r>
        <w:rPr>
          <w:rFonts w:ascii="Calibri" w:hAnsi="Calibri"/>
        </w:rPr>
        <w:t>Accuracy is more important than engagement. Losing trust once is more expensive than missing a short-term growth opportunity.</w:t>
      </w:r>
    </w:p>
    <w:p>
      <w:pPr>
        <w:pStyle w:val="Heading3"/>
      </w:pPr>
      <w:r>
        <w:t>Principle 5: No Fake Intelligence</w:t>
      </w:r>
    </w:p>
    <w:p>
      <w:r>
        <w:rPr>
          <w:rFonts w:ascii="Calibri" w:hAnsi="Calibri"/>
        </w:rPr>
        <w:t>When evidence is weak, the product must say so. The correct response to insufficient data is not enough evidence, not a confident guess.</w:t>
      </w:r>
    </w:p>
    <w:p>
      <w:pPr>
        <w:pStyle w:val="Heading3"/>
      </w:pPr>
      <w:r>
        <w:t>Principle 6: Context Over Hype</w:t>
      </w:r>
    </w:p>
    <w:p>
      <w:r>
        <w:rPr>
          <w:rFonts w:ascii="Calibri" w:hAnsi="Calibri"/>
        </w:rPr>
        <w:t>The product should avoid clickbait framing. A card moving up 20 percent is only meaningful if volume, liquidity, supply, and comparable assets support the move.</w:t>
      </w:r>
    </w:p>
    <w:p>
      <w:pPr>
        <w:pStyle w:val="Heading3"/>
      </w:pPr>
      <w:r>
        <w:t>Principle 7: Multi-Category by Design</w:t>
      </w:r>
    </w:p>
    <w:p>
      <w:r>
        <w:rPr>
          <w:rFonts w:ascii="Calibri" w:hAnsi="Calibri"/>
        </w:rPr>
        <w:t>Architecture must assume expansion beyond Pokemon. Market data models, indexes, signals, and AI modules should support many collectible categories from the beginning.</w:t>
      </w:r>
    </w:p>
    <w:p>
      <w:pPr>
        <w:pStyle w:val="Heading2"/>
      </w:pPr>
      <w:r>
        <w:t>1.6 Product Positioning</w:t>
      </w:r>
    </w:p>
    <w:p>
      <w:r>
        <w:rPr>
          <w:rFonts w:ascii="Calibri" w:hAnsi="Calibri"/>
        </w:rPr>
        <w:t>Flashcard Planet should not position itself as another card lookup site. The strongest positioning is as a market intelligence platform that combines price tracking, AI explanation, market news, signals, portfolio analysis, and community intelligence.</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50"/>
        <w:gridCol w:w="3300"/>
        <w:gridCol w:w="3810"/>
      </w:tblGrid>
      <w:tr>
        <w:tc>
          <w:tcPr>
            <w:tcW w:type="dxa" w:w="2250"/>
            <w:shd w:fill="F2F4F7"/>
            <w:vAlign w:val="center"/>
          </w:tcPr>
          <w:p>
            <w:pPr>
              <w:spacing w:before="0" w:after="0" w:line="264" w:lineRule="auto"/>
              <w:jc w:val="center"/>
            </w:pPr>
            <w:r/>
            <w:r>
              <w:rPr>
                <w:rFonts w:ascii="Calibri" w:hAnsi="Calibri"/>
                <w:b/>
                <w:color w:val="0B2545"/>
                <w:sz w:val="21"/>
              </w:rPr>
              <w:t>Category</w:t>
            </w:r>
          </w:p>
        </w:tc>
        <w:tc>
          <w:tcPr>
            <w:tcW w:type="dxa" w:w="3300"/>
            <w:shd w:fill="F2F4F7"/>
            <w:vAlign w:val="center"/>
          </w:tcPr>
          <w:p>
            <w:pPr>
              <w:spacing w:before="0" w:after="0" w:line="264" w:lineRule="auto"/>
              <w:jc w:val="center"/>
            </w:pPr>
            <w:r/>
            <w:r>
              <w:rPr>
                <w:rFonts w:ascii="Calibri" w:hAnsi="Calibri"/>
                <w:b/>
                <w:color w:val="0B2545"/>
                <w:sz w:val="21"/>
              </w:rPr>
              <w:t>Traditional Product</w:t>
            </w:r>
          </w:p>
        </w:tc>
        <w:tc>
          <w:tcPr>
            <w:tcW w:type="dxa" w:w="3810"/>
            <w:shd w:fill="F2F4F7"/>
            <w:vAlign w:val="center"/>
          </w:tcPr>
          <w:p>
            <w:pPr>
              <w:spacing w:before="0" w:after="0" w:line="264" w:lineRule="auto"/>
              <w:jc w:val="center"/>
            </w:pPr>
            <w:r/>
            <w:r>
              <w:rPr>
                <w:rFonts w:ascii="Calibri" w:hAnsi="Calibri"/>
                <w:b/>
                <w:color w:val="0B2545"/>
                <w:sz w:val="21"/>
              </w:rPr>
              <w:t>Flashcard Planet v2.0 Position</w:t>
            </w:r>
          </w:p>
        </w:tc>
      </w:tr>
      <w:tr>
        <w:tc>
          <w:tcPr>
            <w:tcW w:type="dxa" w:w="2250"/>
            <w:vAlign w:val="center"/>
          </w:tcPr>
          <w:p>
            <w:pPr>
              <w:spacing w:before="0" w:after="0" w:line="264" w:lineRule="auto"/>
              <w:jc w:val="left"/>
            </w:pPr>
            <w:r/>
            <w:r>
              <w:rPr>
                <w:rFonts w:ascii="Calibri" w:hAnsi="Calibri"/>
                <w:b/>
                <w:color w:val="0B2545"/>
                <w:sz w:val="20"/>
              </w:rPr>
              <w:t>Price</w:t>
            </w:r>
          </w:p>
        </w:tc>
        <w:tc>
          <w:tcPr>
            <w:tcW w:type="dxa" w:w="3300"/>
            <w:vAlign w:val="center"/>
          </w:tcPr>
          <w:p>
            <w:pPr>
              <w:spacing w:before="0" w:after="0" w:line="264" w:lineRule="auto"/>
              <w:jc w:val="left"/>
            </w:pPr>
            <w:r/>
            <w:r>
              <w:rPr>
                <w:rFonts w:ascii="Calibri" w:hAnsi="Calibri"/>
                <w:b w:val="0"/>
                <w:color w:val="000000"/>
                <w:sz w:val="20"/>
              </w:rPr>
              <w:t>What is this card worth?</w:t>
            </w:r>
          </w:p>
        </w:tc>
        <w:tc>
          <w:tcPr>
            <w:tcW w:type="dxa" w:w="3810"/>
            <w:vAlign w:val="center"/>
          </w:tcPr>
          <w:p>
            <w:pPr>
              <w:spacing w:before="0" w:after="0" w:line="264" w:lineRule="auto"/>
              <w:jc w:val="left"/>
            </w:pPr>
            <w:r/>
            <w:r>
              <w:rPr>
                <w:rFonts w:ascii="Calibri" w:hAnsi="Calibri"/>
                <w:b w:val="0"/>
                <w:color w:val="0B2545"/>
                <w:sz w:val="20"/>
              </w:rPr>
              <w:t>What is it worth, how did it move, and how reliable is the price?</w:t>
            </w:r>
          </w:p>
        </w:tc>
      </w:tr>
      <w:tr>
        <w:tc>
          <w:tcPr>
            <w:tcW w:type="dxa" w:w="2250"/>
            <w:vAlign w:val="center"/>
          </w:tcPr>
          <w:p>
            <w:pPr>
              <w:spacing w:before="0" w:after="0" w:line="264" w:lineRule="auto"/>
              <w:jc w:val="left"/>
            </w:pPr>
            <w:r/>
            <w:r>
              <w:rPr>
                <w:rFonts w:ascii="Calibri" w:hAnsi="Calibri"/>
                <w:b/>
                <w:color w:val="0B2545"/>
                <w:sz w:val="20"/>
              </w:rPr>
              <w:t>Market</w:t>
            </w:r>
          </w:p>
        </w:tc>
        <w:tc>
          <w:tcPr>
            <w:tcW w:type="dxa" w:w="3300"/>
            <w:vAlign w:val="center"/>
          </w:tcPr>
          <w:p>
            <w:pPr>
              <w:spacing w:before="0" w:after="0" w:line="264" w:lineRule="auto"/>
              <w:jc w:val="left"/>
            </w:pPr>
            <w:r/>
            <w:r>
              <w:rPr>
                <w:rFonts w:ascii="Calibri" w:hAnsi="Calibri"/>
                <w:b w:val="0"/>
                <w:color w:val="000000"/>
                <w:sz w:val="20"/>
              </w:rPr>
              <w:t>A chart or recent sales list.</w:t>
            </w:r>
          </w:p>
        </w:tc>
        <w:tc>
          <w:tcPr>
            <w:tcW w:type="dxa" w:w="3810"/>
            <w:vAlign w:val="center"/>
          </w:tcPr>
          <w:p>
            <w:pPr>
              <w:spacing w:before="0" w:after="0" w:line="264" w:lineRule="auto"/>
              <w:jc w:val="left"/>
            </w:pPr>
            <w:r/>
            <w:r>
              <w:rPr>
                <w:rFonts w:ascii="Calibri" w:hAnsi="Calibri"/>
                <w:b w:val="0"/>
                <w:color w:val="0B2545"/>
                <w:sz w:val="20"/>
              </w:rPr>
              <w:t>A daily dashboard of indexes, movers, sales, sentiment, liquidity, and risk.</w:t>
            </w:r>
          </w:p>
        </w:tc>
      </w:tr>
      <w:tr>
        <w:tc>
          <w:tcPr>
            <w:tcW w:type="dxa" w:w="2250"/>
            <w:vAlign w:val="center"/>
          </w:tcPr>
          <w:p>
            <w:pPr>
              <w:spacing w:before="0" w:after="0" w:line="264" w:lineRule="auto"/>
              <w:jc w:val="left"/>
            </w:pPr>
            <w:r/>
            <w:r>
              <w:rPr>
                <w:rFonts w:ascii="Calibri" w:hAnsi="Calibri"/>
                <w:b/>
                <w:color w:val="0B2545"/>
                <w:sz w:val="20"/>
              </w:rPr>
              <w:t>AI</w:t>
            </w:r>
          </w:p>
        </w:tc>
        <w:tc>
          <w:tcPr>
            <w:tcW w:type="dxa" w:w="3300"/>
            <w:vAlign w:val="center"/>
          </w:tcPr>
          <w:p>
            <w:pPr>
              <w:spacing w:before="0" w:after="0" w:line="264" w:lineRule="auto"/>
              <w:jc w:val="left"/>
            </w:pPr>
            <w:r/>
            <w:r>
              <w:rPr>
                <w:rFonts w:ascii="Calibri" w:hAnsi="Calibri"/>
                <w:b w:val="0"/>
                <w:color w:val="000000"/>
                <w:sz w:val="20"/>
              </w:rPr>
              <w:t>Generic summaries or chat answers.</w:t>
            </w:r>
          </w:p>
        </w:tc>
        <w:tc>
          <w:tcPr>
            <w:tcW w:type="dxa" w:w="3810"/>
            <w:vAlign w:val="center"/>
          </w:tcPr>
          <w:p>
            <w:pPr>
              <w:spacing w:before="0" w:after="0" w:line="264" w:lineRule="auto"/>
              <w:jc w:val="left"/>
            </w:pPr>
            <w:r/>
            <w:r>
              <w:rPr>
                <w:rFonts w:ascii="Calibri" w:hAnsi="Calibri"/>
                <w:b w:val="0"/>
                <w:color w:val="0B2545"/>
                <w:sz w:val="20"/>
              </w:rPr>
              <w:t>Evidence-based intelligence tied to observable market data.</w:t>
            </w:r>
          </w:p>
        </w:tc>
      </w:tr>
      <w:tr>
        <w:tc>
          <w:tcPr>
            <w:tcW w:type="dxa" w:w="2250"/>
            <w:vAlign w:val="center"/>
          </w:tcPr>
          <w:p>
            <w:pPr>
              <w:spacing w:before="0" w:after="0" w:line="264" w:lineRule="auto"/>
              <w:jc w:val="left"/>
            </w:pPr>
            <w:r/>
            <w:r>
              <w:rPr>
                <w:rFonts w:ascii="Calibri" w:hAnsi="Calibri"/>
                <w:b/>
                <w:color w:val="0B2545"/>
                <w:sz w:val="20"/>
              </w:rPr>
              <w:t>User value</w:t>
            </w:r>
          </w:p>
        </w:tc>
        <w:tc>
          <w:tcPr>
            <w:tcW w:type="dxa" w:w="3300"/>
            <w:vAlign w:val="center"/>
          </w:tcPr>
          <w:p>
            <w:pPr>
              <w:spacing w:before="0" w:after="0" w:line="264" w:lineRule="auto"/>
              <w:jc w:val="left"/>
            </w:pPr>
            <w:r/>
            <w:r>
              <w:rPr>
                <w:rFonts w:ascii="Calibri" w:hAnsi="Calibri"/>
                <w:b w:val="0"/>
                <w:color w:val="000000"/>
                <w:sz w:val="20"/>
              </w:rPr>
              <w:t>Lookup and compare.</w:t>
            </w:r>
          </w:p>
        </w:tc>
        <w:tc>
          <w:tcPr>
            <w:tcW w:type="dxa" w:w="3810"/>
            <w:vAlign w:val="center"/>
          </w:tcPr>
          <w:p>
            <w:pPr>
              <w:spacing w:before="0" w:after="0" w:line="264" w:lineRule="auto"/>
              <w:jc w:val="left"/>
            </w:pPr>
            <w:r/>
            <w:r>
              <w:rPr>
                <w:rFonts w:ascii="Calibri" w:hAnsi="Calibri"/>
                <w:b w:val="0"/>
                <w:color w:val="0B2545"/>
                <w:sz w:val="20"/>
              </w:rPr>
              <w:t>Understand, watch, decide, and manage collectible exposure.</w:t>
            </w:r>
          </w:p>
        </w:tc>
      </w:tr>
    </w:tbl>
    <w:p>
      <w:pPr>
        <w:pStyle w:val="Heading2"/>
      </w:pPr>
      <w:r>
        <w:t>1.7 Target Users</w:t>
      </w:r>
    </w:p>
    <w:p>
      <w:r>
        <w:rPr>
          <w:rFonts w:ascii="Calibri" w:hAnsi="Calibri"/>
        </w:rPr>
        <w:t>The product should serve multiple user types while keeping one shared market-intelligence core. The interface can personalize depth and workflow by user type, but all users benefit from reliable observations and clear explanations.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2950"/>
        <w:gridCol w:w="4510"/>
      </w:tblGrid>
      <w:tr>
        <w:tc>
          <w:tcPr>
            <w:tcW w:type="dxa" w:w="1900"/>
            <w:shd w:fill="F2F4F7"/>
            <w:vAlign w:val="center"/>
          </w:tcPr>
          <w:p>
            <w:pPr>
              <w:spacing w:before="0" w:after="0" w:line="264" w:lineRule="auto"/>
              <w:jc w:val="center"/>
            </w:pPr>
            <w:r/>
            <w:r>
              <w:rPr>
                <w:rFonts w:ascii="Calibri" w:hAnsi="Calibri"/>
                <w:b/>
                <w:color w:val="0B2545"/>
                <w:sz w:val="21"/>
              </w:rPr>
              <w:t>User</w:t>
            </w:r>
          </w:p>
        </w:tc>
        <w:tc>
          <w:tcPr>
            <w:tcW w:type="dxa" w:w="2950"/>
            <w:shd w:fill="F2F4F7"/>
            <w:vAlign w:val="center"/>
          </w:tcPr>
          <w:p>
            <w:pPr>
              <w:spacing w:before="0" w:after="0" w:line="264" w:lineRule="auto"/>
              <w:jc w:val="center"/>
            </w:pPr>
            <w:r/>
            <w:r>
              <w:rPr>
                <w:rFonts w:ascii="Calibri" w:hAnsi="Calibri"/>
                <w:b/>
                <w:color w:val="0B2545"/>
                <w:sz w:val="21"/>
              </w:rPr>
              <w:t>Primary Question</w:t>
            </w:r>
          </w:p>
        </w:tc>
        <w:tc>
          <w:tcPr>
            <w:tcW w:type="dxa" w:w="4510"/>
            <w:shd w:fill="F2F4F7"/>
            <w:vAlign w:val="center"/>
          </w:tcPr>
          <w:p>
            <w:pPr>
              <w:spacing w:before="0" w:after="0" w:line="264" w:lineRule="auto"/>
              <w:jc w:val="center"/>
            </w:pPr>
            <w:r/>
            <w:r>
              <w:rPr>
                <w:rFonts w:ascii="Calibri" w:hAnsi="Calibri"/>
                <w:b/>
                <w:color w:val="0B2545"/>
                <w:sz w:val="21"/>
              </w:rPr>
              <w:t>Core Needs</w:t>
            </w:r>
          </w:p>
        </w:tc>
      </w:tr>
      <w:tr>
        <w:tc>
          <w:tcPr>
            <w:tcW w:type="dxa" w:w="1900"/>
            <w:vAlign w:val="center"/>
          </w:tcPr>
          <w:p>
            <w:pPr>
              <w:spacing w:before="0" w:after="0" w:line="264" w:lineRule="auto"/>
              <w:jc w:val="left"/>
            </w:pPr>
            <w:r/>
            <w:r>
              <w:rPr>
                <w:rFonts w:ascii="Calibri" w:hAnsi="Calibri"/>
                <w:b/>
                <w:color w:val="0B2545"/>
                <w:sz w:val="20"/>
              </w:rPr>
              <w:t>Collector</w:t>
            </w:r>
          </w:p>
        </w:tc>
        <w:tc>
          <w:tcPr>
            <w:tcW w:type="dxa" w:w="2950"/>
            <w:vAlign w:val="center"/>
          </w:tcPr>
          <w:p>
            <w:pPr>
              <w:spacing w:before="0" w:after="0" w:line="264" w:lineRule="auto"/>
              <w:jc w:val="left"/>
            </w:pPr>
            <w:r/>
            <w:r>
              <w:rPr>
                <w:rFonts w:ascii="Calibri" w:hAnsi="Calibri"/>
                <w:b w:val="0"/>
                <w:color w:val="000000"/>
                <w:sz w:val="20"/>
              </w:rPr>
              <w:t>What should I understand before buying or holding?</w:t>
            </w:r>
          </w:p>
        </w:tc>
        <w:tc>
          <w:tcPr>
            <w:tcW w:type="dxa" w:w="4510"/>
            <w:vAlign w:val="center"/>
          </w:tcPr>
          <w:p>
            <w:pPr>
              <w:spacing w:before="0" w:after="0" w:line="264" w:lineRule="auto"/>
              <w:jc w:val="left"/>
            </w:pPr>
            <w:r/>
            <w:r>
              <w:rPr>
                <w:rFonts w:ascii="Calibri" w:hAnsi="Calibri"/>
                <w:b w:val="0"/>
                <w:color w:val="000000"/>
                <w:sz w:val="20"/>
              </w:rPr>
              <w:t>Current value, rarity, population, historical context, watchlist alerts, risk notes.</w:t>
            </w:r>
          </w:p>
        </w:tc>
      </w:tr>
      <w:tr>
        <w:tc>
          <w:tcPr>
            <w:tcW w:type="dxa" w:w="1900"/>
            <w:vAlign w:val="center"/>
          </w:tcPr>
          <w:p>
            <w:pPr>
              <w:spacing w:before="0" w:after="0" w:line="264" w:lineRule="auto"/>
              <w:jc w:val="left"/>
            </w:pPr>
            <w:r/>
            <w:r>
              <w:rPr>
                <w:rFonts w:ascii="Calibri" w:hAnsi="Calibri"/>
                <w:b/>
                <w:color w:val="0B2545"/>
                <w:sz w:val="20"/>
              </w:rPr>
              <w:t>Investor</w:t>
            </w:r>
          </w:p>
        </w:tc>
        <w:tc>
          <w:tcPr>
            <w:tcW w:type="dxa" w:w="2950"/>
            <w:vAlign w:val="center"/>
          </w:tcPr>
          <w:p>
            <w:pPr>
              <w:spacing w:before="0" w:after="0" w:line="264" w:lineRule="auto"/>
              <w:jc w:val="left"/>
            </w:pPr>
            <w:r/>
            <w:r>
              <w:rPr>
                <w:rFonts w:ascii="Calibri" w:hAnsi="Calibri"/>
                <w:b w:val="0"/>
                <w:color w:val="000000"/>
                <w:sz w:val="20"/>
              </w:rPr>
              <w:t>Where is capital moving and why?</w:t>
            </w:r>
          </w:p>
        </w:tc>
        <w:tc>
          <w:tcPr>
            <w:tcW w:type="dxa" w:w="4510"/>
            <w:vAlign w:val="center"/>
          </w:tcPr>
          <w:p>
            <w:pPr>
              <w:spacing w:before="0" w:after="0" w:line="264" w:lineRule="auto"/>
              <w:jc w:val="left"/>
            </w:pPr>
            <w:r/>
            <w:r>
              <w:rPr>
                <w:rFonts w:ascii="Calibri" w:hAnsi="Calibri"/>
                <w:b w:val="0"/>
                <w:color w:val="000000"/>
                <w:sz w:val="20"/>
              </w:rPr>
              <w:t>Momentum, liquidity, catalysts, confidence scores, comparable assets, portfolio allocation.</w:t>
            </w:r>
          </w:p>
        </w:tc>
      </w:tr>
      <w:tr>
        <w:tc>
          <w:tcPr>
            <w:tcW w:type="dxa" w:w="1900"/>
            <w:vAlign w:val="center"/>
          </w:tcPr>
          <w:p>
            <w:pPr>
              <w:spacing w:before="0" w:after="0" w:line="264" w:lineRule="auto"/>
              <w:jc w:val="left"/>
            </w:pPr>
            <w:r/>
            <w:r>
              <w:rPr>
                <w:rFonts w:ascii="Calibri" w:hAnsi="Calibri"/>
                <w:b/>
                <w:color w:val="0B2545"/>
                <w:sz w:val="20"/>
              </w:rPr>
              <w:t>Store Owner</w:t>
            </w:r>
          </w:p>
        </w:tc>
        <w:tc>
          <w:tcPr>
            <w:tcW w:type="dxa" w:w="2950"/>
            <w:vAlign w:val="center"/>
          </w:tcPr>
          <w:p>
            <w:pPr>
              <w:spacing w:before="0" w:after="0" w:line="264" w:lineRule="auto"/>
              <w:jc w:val="left"/>
            </w:pPr>
            <w:r/>
            <w:r>
              <w:rPr>
                <w:rFonts w:ascii="Calibri" w:hAnsi="Calibri"/>
                <w:b w:val="0"/>
                <w:color w:val="000000"/>
                <w:sz w:val="20"/>
              </w:rPr>
              <w:t>How should I price, buy, and manage inventory?</w:t>
            </w:r>
          </w:p>
        </w:tc>
        <w:tc>
          <w:tcPr>
            <w:tcW w:type="dxa" w:w="4510"/>
            <w:vAlign w:val="center"/>
          </w:tcPr>
          <w:p>
            <w:pPr>
              <w:spacing w:before="0" w:after="0" w:line="264" w:lineRule="auto"/>
              <w:jc w:val="left"/>
            </w:pPr>
            <w:r/>
            <w:r>
              <w:rPr>
                <w:rFonts w:ascii="Calibri" w:hAnsi="Calibri"/>
                <w:b w:val="0"/>
                <w:color w:val="000000"/>
                <w:sz w:val="20"/>
              </w:rPr>
              <w:t>Demand signals, inventory valuation, market depth, regional pricing, sell-through trends.</w:t>
            </w:r>
          </w:p>
        </w:tc>
      </w:tr>
      <w:tr>
        <w:tc>
          <w:tcPr>
            <w:tcW w:type="dxa" w:w="1900"/>
            <w:vAlign w:val="center"/>
          </w:tcPr>
          <w:p>
            <w:pPr>
              <w:spacing w:before="0" w:after="0" w:line="264" w:lineRule="auto"/>
              <w:jc w:val="left"/>
            </w:pPr>
            <w:r/>
            <w:r>
              <w:rPr>
                <w:rFonts w:ascii="Calibri" w:hAnsi="Calibri"/>
                <w:b/>
                <w:color w:val="0B2545"/>
                <w:sz w:val="20"/>
              </w:rPr>
              <w:t>Content Creator</w:t>
            </w:r>
          </w:p>
        </w:tc>
        <w:tc>
          <w:tcPr>
            <w:tcW w:type="dxa" w:w="2950"/>
            <w:vAlign w:val="center"/>
          </w:tcPr>
          <w:p>
            <w:pPr>
              <w:spacing w:before="0" w:after="0" w:line="264" w:lineRule="auto"/>
              <w:jc w:val="left"/>
            </w:pPr>
            <w:r/>
            <w:r>
              <w:rPr>
                <w:rFonts w:ascii="Calibri" w:hAnsi="Calibri"/>
                <w:b w:val="0"/>
                <w:color w:val="000000"/>
                <w:sz w:val="20"/>
              </w:rPr>
              <w:t>What is worth talking about today?</w:t>
            </w:r>
          </w:p>
        </w:tc>
        <w:tc>
          <w:tcPr>
            <w:tcW w:type="dxa" w:w="4510"/>
            <w:vAlign w:val="center"/>
          </w:tcPr>
          <w:p>
            <w:pPr>
              <w:spacing w:before="0" w:after="0" w:line="264" w:lineRule="auto"/>
              <w:jc w:val="left"/>
            </w:pPr>
            <w:r/>
            <w:r>
              <w:rPr>
                <w:rFonts w:ascii="Calibri" w:hAnsi="Calibri"/>
                <w:b w:val="0"/>
                <w:color w:val="000000"/>
                <w:sz w:val="20"/>
              </w:rPr>
              <w:t>Daily reports, top movers, notable sales, market stories, clean shareable insights.</w:t>
            </w:r>
          </w:p>
        </w:tc>
      </w:tr>
      <w:tr>
        <w:tc>
          <w:tcPr>
            <w:tcW w:type="dxa" w:w="1900"/>
            <w:vAlign w:val="center"/>
          </w:tcPr>
          <w:p>
            <w:pPr>
              <w:spacing w:before="0" w:after="0" w:line="264" w:lineRule="auto"/>
              <w:jc w:val="left"/>
            </w:pPr>
            <w:r/>
            <w:r>
              <w:rPr>
                <w:rFonts w:ascii="Calibri" w:hAnsi="Calibri"/>
                <w:b/>
                <w:color w:val="0B2545"/>
                <w:sz w:val="20"/>
              </w:rPr>
              <w:t>Enterprise</w:t>
            </w:r>
          </w:p>
        </w:tc>
        <w:tc>
          <w:tcPr>
            <w:tcW w:type="dxa" w:w="2950"/>
            <w:vAlign w:val="center"/>
          </w:tcPr>
          <w:p>
            <w:pPr>
              <w:spacing w:before="0" w:after="0" w:line="264" w:lineRule="auto"/>
              <w:jc w:val="left"/>
            </w:pPr>
            <w:r/>
            <w:r>
              <w:rPr>
                <w:rFonts w:ascii="Calibri" w:hAnsi="Calibri"/>
                <w:b w:val="0"/>
                <w:color w:val="000000"/>
                <w:sz w:val="20"/>
              </w:rPr>
              <w:t>How can market data power our business?</w:t>
            </w:r>
          </w:p>
        </w:tc>
        <w:tc>
          <w:tcPr>
            <w:tcW w:type="dxa" w:w="4510"/>
            <w:vAlign w:val="center"/>
          </w:tcPr>
          <w:p>
            <w:pPr>
              <w:spacing w:before="0" w:after="0" w:line="264" w:lineRule="auto"/>
              <w:jc w:val="left"/>
            </w:pPr>
            <w:r/>
            <w:r>
              <w:rPr>
                <w:rFonts w:ascii="Calibri" w:hAnsi="Calibri"/>
                <w:b w:val="0"/>
                <w:color w:val="000000"/>
                <w:sz w:val="20"/>
              </w:rPr>
              <w:t>APIs, historical datasets, indexes, analytics, licensing, category-level intelligence.</w:t>
            </w:r>
          </w:p>
        </w:tc>
      </w:tr>
    </w:tbl>
    <w:p>
      <w:pPr>
        <w:pStyle w:val="Heading2"/>
      </w:pPr>
      <w:r>
        <w:t>1.8 Success Metrics</w:t>
      </w:r>
    </w:p>
    <w:p>
      <w:r>
        <w:rPr>
          <w:rFonts w:ascii="Calibri" w:hAnsi="Calibri"/>
        </w:rPr>
        <w:t>Success should be measured by trust, repeat usage, market coverage, and the extent to which users rely on Flashcard Planet for daily decisions.</w:t>
      </w:r>
    </w:p>
    <w:p>
      <w:pPr>
        <w:pStyle w:val="Heading3"/>
      </w:pPr>
      <w:r>
        <w:t>Product Adoption</w:t>
      </w:r>
    </w:p>
    <w:p>
      <w:pPr>
        <w:pStyle w:val="ListBullet"/>
        <w:spacing w:after="40" w:line="280" w:lineRule="auto"/>
        <w:ind w:left="720" w:hanging="360"/>
      </w:pPr>
      <w:r>
        <w:rPr>
          <w:rFonts w:ascii="Calibri" w:hAnsi="Calibri"/>
          <w:sz w:val="22"/>
        </w:rPr>
        <w:t>Daily active users and weekly active users.</w:t>
      </w:r>
    </w:p>
    <w:p>
      <w:pPr>
        <w:pStyle w:val="ListBullet"/>
        <w:spacing w:after="40" w:line="280" w:lineRule="auto"/>
        <w:ind w:left="720" w:hanging="360"/>
      </w:pPr>
      <w:r>
        <w:rPr>
          <w:rFonts w:ascii="Calibri" w:hAnsi="Calibri"/>
          <w:sz w:val="22"/>
        </w:rPr>
        <w:t>Daily Market Report opens, shares, and return visits.</w:t>
      </w:r>
    </w:p>
    <w:p>
      <w:pPr>
        <w:pStyle w:val="ListBullet"/>
        <w:spacing w:after="40" w:line="280" w:lineRule="auto"/>
        <w:ind w:left="720" w:hanging="360"/>
      </w:pPr>
      <w:r>
        <w:rPr>
          <w:rFonts w:ascii="Calibri" w:hAnsi="Calibri"/>
          <w:sz w:val="22"/>
        </w:rPr>
        <w:t>Watchlist creation rate and watchlist alert engagement.</w:t>
      </w:r>
    </w:p>
    <w:p>
      <w:pPr>
        <w:pStyle w:val="ListBullet"/>
        <w:spacing w:after="40" w:line="280" w:lineRule="auto"/>
        <w:ind w:left="720" w:hanging="360"/>
      </w:pPr>
      <w:r>
        <w:rPr>
          <w:rFonts w:ascii="Calibri" w:hAnsi="Calibri"/>
          <w:sz w:val="22"/>
        </w:rPr>
        <w:t>Portfolio creation and portfolio review frequency.</w:t>
      </w:r>
    </w:p>
    <w:p>
      <w:pPr>
        <w:pStyle w:val="Heading3"/>
      </w:pPr>
      <w:r>
        <w:t>Market Coverage</w:t>
      </w:r>
    </w:p>
    <w:p>
      <w:pPr>
        <w:pStyle w:val="ListBullet"/>
        <w:spacing w:after="40" w:line="280" w:lineRule="auto"/>
        <w:ind w:left="720" w:hanging="360"/>
      </w:pPr>
      <w:r>
        <w:rPr>
          <w:rFonts w:ascii="Calibri" w:hAnsi="Calibri"/>
          <w:sz w:val="22"/>
        </w:rPr>
        <w:t>Number of supported collectible categories, games, sets, and assets.</w:t>
      </w:r>
    </w:p>
    <w:p>
      <w:pPr>
        <w:pStyle w:val="ListBullet"/>
        <w:spacing w:after="40" w:line="280" w:lineRule="auto"/>
        <w:ind w:left="720" w:hanging="360"/>
      </w:pPr>
      <w:r>
        <w:rPr>
          <w:rFonts w:ascii="Calibri" w:hAnsi="Calibri"/>
          <w:sz w:val="22"/>
        </w:rPr>
        <w:t>Volume of normalized market observations processed per day.</w:t>
      </w:r>
    </w:p>
    <w:p>
      <w:pPr>
        <w:pStyle w:val="ListBullet"/>
        <w:spacing w:after="40" w:line="280" w:lineRule="auto"/>
        <w:ind w:left="720" w:hanging="360"/>
      </w:pPr>
      <w:r>
        <w:rPr>
          <w:rFonts w:ascii="Calibri" w:hAnsi="Calibri"/>
          <w:sz w:val="22"/>
        </w:rPr>
        <w:t>Coverage quality across price, sales, population, listings, news, and social discussion.</w:t>
      </w:r>
    </w:p>
    <w:p>
      <w:pPr>
        <w:pStyle w:val="Heading3"/>
      </w:pPr>
      <w:r>
        <w:t>Trust and Quality</w:t>
      </w:r>
    </w:p>
    <w:p>
      <w:pPr>
        <w:pStyle w:val="ListBullet"/>
        <w:spacing w:after="40" w:line="280" w:lineRule="auto"/>
        <w:ind w:left="720" w:hanging="360"/>
      </w:pPr>
      <w:r>
        <w:rPr>
          <w:rFonts w:ascii="Calibri" w:hAnsi="Calibri"/>
          <w:sz w:val="22"/>
        </w:rPr>
        <w:t>AI explanation accuracy based on human review and source evidence.</w:t>
      </w:r>
    </w:p>
    <w:p>
      <w:pPr>
        <w:pStyle w:val="ListBullet"/>
        <w:spacing w:after="40" w:line="280" w:lineRule="auto"/>
        <w:ind w:left="720" w:hanging="360"/>
      </w:pPr>
      <w:r>
        <w:rPr>
          <w:rFonts w:ascii="Calibri" w:hAnsi="Calibri"/>
          <w:sz w:val="22"/>
        </w:rPr>
        <w:t>Signal precision over historical windows.</w:t>
      </w:r>
    </w:p>
    <w:p>
      <w:pPr>
        <w:pStyle w:val="ListBullet"/>
        <w:spacing w:after="40" w:line="280" w:lineRule="auto"/>
        <w:ind w:left="720" w:hanging="360"/>
      </w:pPr>
      <w:r>
        <w:rPr>
          <w:rFonts w:ascii="Calibri" w:hAnsi="Calibri"/>
          <w:sz w:val="22"/>
        </w:rPr>
        <w:t>User trust score, correction rate, and disputed insight rate.</w:t>
      </w:r>
    </w:p>
    <w:p>
      <w:pPr>
        <w:pStyle w:val="Heading3"/>
      </w:pPr>
      <w:r>
        <w:t>Commercial Traction</w:t>
      </w:r>
    </w:p>
    <w:p>
      <w:pPr>
        <w:pStyle w:val="ListBullet"/>
        <w:spacing w:after="40" w:line="280" w:lineRule="auto"/>
        <w:ind w:left="720" w:hanging="360"/>
      </w:pPr>
      <w:r>
        <w:rPr>
          <w:rFonts w:ascii="Calibri" w:hAnsi="Calibri"/>
          <w:sz w:val="22"/>
        </w:rPr>
        <w:t>Free-to-Pro conversion rate.</w:t>
      </w:r>
    </w:p>
    <w:p>
      <w:pPr>
        <w:pStyle w:val="ListBullet"/>
        <w:spacing w:after="40" w:line="280" w:lineRule="auto"/>
        <w:ind w:left="720" w:hanging="360"/>
      </w:pPr>
      <w:r>
        <w:rPr>
          <w:rFonts w:ascii="Calibri" w:hAnsi="Calibri"/>
          <w:sz w:val="22"/>
        </w:rPr>
        <w:t>Enterprise API adoption.</w:t>
      </w:r>
    </w:p>
    <w:p>
      <w:pPr>
        <w:pStyle w:val="ListBullet"/>
        <w:spacing w:after="40" w:line="280" w:lineRule="auto"/>
        <w:ind w:left="720" w:hanging="360"/>
      </w:pPr>
      <w:r>
        <w:rPr>
          <w:rFonts w:ascii="Calibri" w:hAnsi="Calibri"/>
          <w:sz w:val="22"/>
        </w:rPr>
        <w:t>Retention by user type.</w:t>
      </w:r>
    </w:p>
    <w:p>
      <w:pPr>
        <w:pStyle w:val="ListBullet"/>
        <w:spacing w:after="40" w:line="280" w:lineRule="auto"/>
        <w:ind w:left="720" w:hanging="360"/>
      </w:pPr>
      <w:r>
        <w:rPr>
          <w:rFonts w:ascii="Calibri" w:hAnsi="Calibri"/>
          <w:sz w:val="22"/>
        </w:rPr>
        <w:t>Revenue from subscriptions, data licensing, and future marketplace integrations.</w:t>
      </w:r>
    </w:p>
    <w:p>
      <w:pPr>
        <w:pStyle w:val="Heading2"/>
      </w:pPr>
      <w:r>
        <w:t>1.9 Non-Goals</w:t>
      </w:r>
    </w:p>
    <w:p>
      <w:r>
        <w:rPr>
          <w:rFonts w:ascii="Calibri" w:hAnsi="Calibri"/>
        </w:rPr>
        <w:t>The v2 product must stay focused. These items may become integrations or future businesses, but they should not distract the initial development effort.</w:t>
      </w:r>
    </w:p>
    <w:p>
      <w:pPr>
        <w:pStyle w:val="ListBullet"/>
        <w:spacing w:after="40" w:line="280" w:lineRule="auto"/>
        <w:ind w:left="720" w:hanging="360"/>
      </w:pPr>
      <w:r>
        <w:rPr>
          <w:rFonts w:ascii="Calibri" w:hAnsi="Calibri"/>
          <w:sz w:val="22"/>
        </w:rPr>
        <w:t>Flashcard Planet is not initially an auction house.</w:t>
      </w:r>
    </w:p>
    <w:p>
      <w:pPr>
        <w:pStyle w:val="ListBullet"/>
        <w:spacing w:after="40" w:line="280" w:lineRule="auto"/>
        <w:ind w:left="720" w:hanging="360"/>
      </w:pPr>
      <w:r>
        <w:rPr>
          <w:rFonts w:ascii="Calibri" w:hAnsi="Calibri"/>
          <w:sz w:val="22"/>
        </w:rPr>
        <w:t>Flashcard Planet is not initially a payment processor.</w:t>
      </w:r>
    </w:p>
    <w:p>
      <w:pPr>
        <w:pStyle w:val="ListBullet"/>
        <w:spacing w:after="40" w:line="280" w:lineRule="auto"/>
        <w:ind w:left="720" w:hanging="360"/>
      </w:pPr>
      <w:r>
        <w:rPr>
          <w:rFonts w:ascii="Calibri" w:hAnsi="Calibri"/>
          <w:sz w:val="22"/>
        </w:rPr>
        <w:t>Flashcard Planet is not initially a grading company.</w:t>
      </w:r>
    </w:p>
    <w:p>
      <w:pPr>
        <w:pStyle w:val="ListBullet"/>
        <w:spacing w:after="40" w:line="280" w:lineRule="auto"/>
        <w:ind w:left="720" w:hanging="360"/>
      </w:pPr>
      <w:r>
        <w:rPr>
          <w:rFonts w:ascii="Calibri" w:hAnsi="Calibri"/>
          <w:sz w:val="22"/>
        </w:rPr>
        <w:t>Flashcard Planet is not initially a generic social network.</w:t>
      </w:r>
    </w:p>
    <w:p>
      <w:pPr>
        <w:pStyle w:val="ListBullet"/>
        <w:spacing w:after="40" w:line="280" w:lineRule="auto"/>
        <w:ind w:left="720" w:hanging="360"/>
      </w:pPr>
      <w:r>
        <w:rPr>
          <w:rFonts w:ascii="Calibri" w:hAnsi="Calibri"/>
          <w:sz w:val="22"/>
        </w:rPr>
        <w:t>Flashcard Planet should not publish AI guesses without evidence.</w:t>
      </w:r>
    </w:p>
    <w:p>
      <w:pPr>
        <w:pStyle w:val="ListBullet"/>
        <w:spacing w:after="40" w:line="280" w:lineRule="auto"/>
        <w:ind w:left="720" w:hanging="360"/>
      </w:pPr>
      <w:r>
        <w:rPr>
          <w:rFonts w:ascii="Calibri" w:hAnsi="Calibri"/>
          <w:sz w:val="22"/>
        </w:rPr>
        <w:t>Flashcard Planet should not optimize for clickbait or fake urgency.</w:t>
      </w:r>
    </w:p>
    <w:p>
      <w:pPr>
        <w:pStyle w:val="Heading2"/>
      </w:pPr>
      <w:r>
        <w:t>1.10 Product Motto</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Motto: </w:t>
            </w:r>
            <w:r>
              <w:rPr>
                <w:rFonts w:ascii="Calibri" w:hAnsi="Calibri"/>
                <w:color w:val="0B2545"/>
                <w:sz w:val="21"/>
              </w:rPr>
              <w:t>Collect Better. Invest Smarter. Understand the Market.</w:t>
            </w:r>
          </w:p>
        </w:tc>
      </w:tr>
    </w:tbl>
    <w:p>
      <w:pPr>
        <w:spacing w:after="40"/>
      </w:pPr>
    </w:p>
    <w:p>
      <w:r>
        <w:rPr>
          <w:rFonts w:ascii="Calibri" w:hAnsi="Calibri"/>
        </w:rPr>
        <w:t>The motto should guide product language and user experience. The product should feel useful, professional, and calm. It should help the user understand the market without pushing them into reckless decisions.</w:t>
      </w:r>
    </w:p>
    <w:p>
      <w:pPr>
        <w:pStyle w:val="Heading2"/>
      </w:pPr>
      <w:r>
        <w:t>1.11 Roadmap for Subsequent Chapters</w:t>
      </w:r>
    </w:p>
    <w:p>
      <w:r>
        <w:rPr>
          <w:rFonts w:ascii="Calibri" w:hAnsi="Calibri"/>
        </w:rPr>
        <w:t>The remaining chapters should turn this product foundation into an executable specification for Codex, engineers, designers, and future product collaborators.</w:t>
      </w:r>
    </w:p>
    <w:p>
      <w:r>
        <w:br w:type="page"/>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300"/>
        <w:gridCol w:w="3000"/>
        <w:gridCol w:w="5060"/>
      </w:tblGrid>
      <w:tr>
        <w:trPr>
          <w:tblHeader w:val="true"/>
          <w:cantSplit/>
        </w:trPr>
        <w:tc>
          <w:tcPr>
            <w:tcW w:type="dxa" w:w="1300"/>
            <w:shd w:fill="F2F4F7"/>
            <w:vAlign w:val="center"/>
          </w:tcPr>
          <w:p>
            <w:pPr>
              <w:spacing w:before="0" w:after="0" w:line="264" w:lineRule="auto"/>
              <w:jc w:val="center"/>
            </w:pPr>
            <w:r/>
            <w:r>
              <w:rPr>
                <w:rFonts w:ascii="Calibri" w:hAnsi="Calibri"/>
                <w:b/>
                <w:color w:val="0B2545"/>
                <w:sz w:val="21"/>
              </w:rPr>
              <w:t>Chapter</w:t>
            </w:r>
          </w:p>
        </w:tc>
        <w:tc>
          <w:tcPr>
            <w:tcW w:type="dxa" w:w="3000"/>
            <w:shd w:fill="F2F4F7"/>
            <w:vAlign w:val="center"/>
          </w:tcPr>
          <w:p>
            <w:pPr>
              <w:spacing w:before="0" w:after="0" w:line="264" w:lineRule="auto"/>
              <w:jc w:val="center"/>
            </w:pPr>
            <w:r/>
            <w:r>
              <w:rPr>
                <w:rFonts w:ascii="Calibri" w:hAnsi="Calibri"/>
                <w:b/>
                <w:color w:val="0B2545"/>
                <w:sz w:val="21"/>
              </w:rPr>
              <w:t>Working Title</w:t>
            </w:r>
          </w:p>
        </w:tc>
        <w:tc>
          <w:tcPr>
            <w:tcW w:type="dxa" w:w="5060"/>
            <w:shd w:fill="F2F4F7"/>
            <w:vAlign w:val="center"/>
          </w:tcPr>
          <w:p>
            <w:pPr>
              <w:spacing w:before="0" w:after="0" w:line="264" w:lineRule="auto"/>
              <w:jc w:val="center"/>
            </w:pPr>
            <w:r/>
            <w:r>
              <w:rPr>
                <w:rFonts w:ascii="Calibri" w:hAnsi="Calibri"/>
                <w:b/>
                <w:color w:val="0B2545"/>
                <w:sz w:val="21"/>
              </w:rPr>
              <w:t>Purpose</w:t>
            </w:r>
          </w:p>
        </w:tc>
      </w:tr>
      <w:tr>
        <w:trPr>
          <w:cantSplit/>
        </w:trPr>
        <w:tc>
          <w:tcPr>
            <w:tcW w:type="dxa" w:w="1300"/>
            <w:vAlign w:val="center"/>
          </w:tcPr>
          <w:p>
            <w:pPr>
              <w:spacing w:before="0" w:after="0" w:line="264" w:lineRule="auto"/>
              <w:jc w:val="center"/>
            </w:pPr>
            <w:r/>
            <w:r>
              <w:rPr>
                <w:rFonts w:ascii="Calibri" w:hAnsi="Calibri"/>
                <w:b/>
                <w:color w:val="0B2545"/>
                <w:sz w:val="19"/>
              </w:rPr>
              <w:t>2</w:t>
            </w:r>
          </w:p>
        </w:tc>
        <w:tc>
          <w:tcPr>
            <w:tcW w:type="dxa" w:w="3000"/>
            <w:vAlign w:val="center"/>
          </w:tcPr>
          <w:p>
            <w:pPr>
              <w:spacing w:before="0" w:after="0" w:line="264" w:lineRule="auto"/>
              <w:jc w:val="left"/>
            </w:pPr>
            <w:r/>
            <w:r>
              <w:rPr>
                <w:rFonts w:ascii="Calibri" w:hAnsi="Calibri"/>
                <w:b w:val="0"/>
                <w:color w:val="0B2545"/>
                <w:sz w:val="19"/>
              </w:rPr>
              <w:t>Market Intelligence Framework</w:t>
            </w:r>
          </w:p>
        </w:tc>
        <w:tc>
          <w:tcPr>
            <w:tcW w:type="dxa" w:w="5060"/>
            <w:vAlign w:val="center"/>
          </w:tcPr>
          <w:p>
            <w:pPr>
              <w:spacing w:before="0" w:after="0" w:line="264" w:lineRule="auto"/>
              <w:jc w:val="left"/>
            </w:pPr>
            <w:r/>
            <w:r>
              <w:rPr>
                <w:rFonts w:ascii="Calibri" w:hAnsi="Calibri"/>
                <w:b w:val="0"/>
                <w:color w:val="000000"/>
                <w:sz w:val="19"/>
              </w:rPr>
              <w:t>Define market observations, data normalization, confidence scoring, catalysts, signal generation, and AI explanation boundaries.</w:t>
            </w:r>
          </w:p>
        </w:tc>
      </w:tr>
      <w:tr>
        <w:trPr>
          <w:cantSplit/>
        </w:trPr>
        <w:tc>
          <w:tcPr>
            <w:tcW w:type="dxa" w:w="1300"/>
            <w:vAlign w:val="center"/>
          </w:tcPr>
          <w:p>
            <w:pPr>
              <w:spacing w:before="0" w:after="0" w:line="264" w:lineRule="auto"/>
              <w:jc w:val="center"/>
            </w:pPr>
            <w:r/>
            <w:r>
              <w:rPr>
                <w:rFonts w:ascii="Calibri" w:hAnsi="Calibri"/>
                <w:b/>
                <w:color w:val="0B2545"/>
                <w:sz w:val="19"/>
              </w:rPr>
              <w:t>3</w:t>
            </w:r>
          </w:p>
        </w:tc>
        <w:tc>
          <w:tcPr>
            <w:tcW w:type="dxa" w:w="3000"/>
            <w:vAlign w:val="center"/>
          </w:tcPr>
          <w:p>
            <w:pPr>
              <w:spacing w:before="0" w:after="0" w:line="264" w:lineRule="auto"/>
              <w:jc w:val="left"/>
            </w:pPr>
            <w:r/>
            <w:r>
              <w:rPr>
                <w:rFonts w:ascii="Calibri" w:hAnsi="Calibri"/>
                <w:b w:val="0"/>
                <w:color w:val="0B2545"/>
                <w:sz w:val="19"/>
              </w:rPr>
              <w:t>System Architecture</w:t>
            </w:r>
          </w:p>
        </w:tc>
        <w:tc>
          <w:tcPr>
            <w:tcW w:type="dxa" w:w="5060"/>
            <w:vAlign w:val="center"/>
          </w:tcPr>
          <w:p>
            <w:pPr>
              <w:spacing w:before="0" w:after="0" w:line="264" w:lineRule="auto"/>
              <w:jc w:val="left"/>
            </w:pPr>
            <w:r/>
            <w:r>
              <w:rPr>
                <w:rFonts w:ascii="Calibri" w:hAnsi="Calibri"/>
                <w:b w:val="0"/>
                <w:color w:val="000000"/>
                <w:sz w:val="19"/>
              </w:rPr>
              <w:t>Define backend services, frontend surfaces, scheduled jobs, ingestion pipeline, AI services, storage, and deployment boundaries.</w:t>
            </w:r>
          </w:p>
        </w:tc>
      </w:tr>
      <w:tr>
        <w:trPr>
          <w:cantSplit/>
        </w:trPr>
        <w:tc>
          <w:tcPr>
            <w:tcW w:type="dxa" w:w="1300"/>
            <w:vAlign w:val="center"/>
          </w:tcPr>
          <w:p>
            <w:pPr>
              <w:spacing w:before="0" w:after="0" w:line="264" w:lineRule="auto"/>
              <w:jc w:val="center"/>
            </w:pPr>
            <w:r/>
            <w:r>
              <w:rPr>
                <w:rFonts w:ascii="Calibri" w:hAnsi="Calibri"/>
                <w:b/>
                <w:color w:val="0B2545"/>
                <w:sz w:val="19"/>
              </w:rPr>
              <w:t>4</w:t>
            </w:r>
          </w:p>
        </w:tc>
        <w:tc>
          <w:tcPr>
            <w:tcW w:type="dxa" w:w="3000"/>
            <w:vAlign w:val="center"/>
          </w:tcPr>
          <w:p>
            <w:pPr>
              <w:spacing w:before="0" w:after="0" w:line="264" w:lineRule="auto"/>
              <w:jc w:val="left"/>
            </w:pPr>
            <w:r/>
            <w:r>
              <w:rPr>
                <w:rFonts w:ascii="Calibri" w:hAnsi="Calibri"/>
                <w:b w:val="0"/>
                <w:color w:val="0B2545"/>
                <w:sz w:val="19"/>
              </w:rPr>
              <w:t>Database Design</w:t>
            </w:r>
          </w:p>
        </w:tc>
        <w:tc>
          <w:tcPr>
            <w:tcW w:type="dxa" w:w="5060"/>
            <w:vAlign w:val="center"/>
          </w:tcPr>
          <w:p>
            <w:pPr>
              <w:spacing w:before="0" w:after="0" w:line="264" w:lineRule="auto"/>
              <w:jc w:val="left"/>
            </w:pPr>
            <w:r/>
            <w:r>
              <w:rPr>
                <w:rFonts w:ascii="Calibri" w:hAnsi="Calibri"/>
                <w:b w:val="0"/>
                <w:color w:val="000000"/>
                <w:sz w:val="19"/>
              </w:rPr>
              <w:t>Specify entities for collectibles, markets, sales, listings, population, users, portfolios, news, catalysts, signals, reports, and evidence.</w:t>
            </w:r>
          </w:p>
        </w:tc>
      </w:tr>
      <w:tr>
        <w:trPr>
          <w:cantSplit/>
        </w:trPr>
        <w:tc>
          <w:tcPr>
            <w:tcW w:type="dxa" w:w="1300"/>
            <w:vAlign w:val="center"/>
          </w:tcPr>
          <w:p>
            <w:pPr>
              <w:spacing w:before="0" w:after="0" w:line="264" w:lineRule="auto"/>
              <w:jc w:val="center"/>
            </w:pPr>
            <w:r/>
            <w:r>
              <w:rPr>
                <w:rFonts w:ascii="Calibri" w:hAnsi="Calibri"/>
                <w:b/>
                <w:color w:val="0B2545"/>
                <w:sz w:val="19"/>
              </w:rPr>
              <w:t>5</w:t>
            </w:r>
          </w:p>
        </w:tc>
        <w:tc>
          <w:tcPr>
            <w:tcW w:type="dxa" w:w="3000"/>
            <w:vAlign w:val="center"/>
          </w:tcPr>
          <w:p>
            <w:pPr>
              <w:spacing w:before="0" w:after="0" w:line="264" w:lineRule="auto"/>
              <w:jc w:val="left"/>
            </w:pPr>
            <w:r/>
            <w:r>
              <w:rPr>
                <w:rFonts w:ascii="Calibri" w:hAnsi="Calibri"/>
                <w:b w:val="0"/>
                <w:color w:val="0B2545"/>
                <w:sz w:val="19"/>
              </w:rPr>
              <w:t>API Specification</w:t>
            </w:r>
          </w:p>
        </w:tc>
        <w:tc>
          <w:tcPr>
            <w:tcW w:type="dxa" w:w="5060"/>
            <w:vAlign w:val="center"/>
          </w:tcPr>
          <w:p>
            <w:pPr>
              <w:spacing w:before="0" w:after="0" w:line="264" w:lineRule="auto"/>
              <w:jc w:val="left"/>
            </w:pPr>
            <w:r/>
            <w:r>
              <w:rPr>
                <w:rFonts w:ascii="Calibri" w:hAnsi="Calibri"/>
                <w:b w:val="0"/>
                <w:color w:val="000000"/>
                <w:sz w:val="19"/>
              </w:rPr>
              <w:t>Define REST endpoints, request and response shapes, versioning rules, pagination, errors, authentication, and internal service contracts.</w:t>
            </w:r>
          </w:p>
        </w:tc>
      </w:tr>
      <w:tr>
        <w:trPr>
          <w:cantSplit/>
        </w:trPr>
        <w:tc>
          <w:tcPr>
            <w:tcW w:type="dxa" w:w="1300"/>
            <w:vAlign w:val="center"/>
          </w:tcPr>
          <w:p>
            <w:pPr>
              <w:spacing w:before="0" w:after="0" w:line="264" w:lineRule="auto"/>
              <w:jc w:val="center"/>
            </w:pPr>
            <w:r/>
            <w:r>
              <w:rPr>
                <w:rFonts w:ascii="Calibri" w:hAnsi="Calibri"/>
                <w:b/>
                <w:color w:val="0B2545"/>
                <w:sz w:val="19"/>
              </w:rPr>
              <w:t>6</w:t>
            </w:r>
          </w:p>
        </w:tc>
        <w:tc>
          <w:tcPr>
            <w:tcW w:type="dxa" w:w="3000"/>
            <w:vAlign w:val="center"/>
          </w:tcPr>
          <w:p>
            <w:pPr>
              <w:spacing w:before="0" w:after="0" w:line="264" w:lineRule="auto"/>
              <w:jc w:val="left"/>
            </w:pPr>
            <w:r/>
            <w:r>
              <w:rPr>
                <w:rFonts w:ascii="Calibri" w:hAnsi="Calibri"/>
                <w:b w:val="0"/>
                <w:color w:val="0B2545"/>
                <w:sz w:val="19"/>
              </w:rPr>
              <w:t>AI Engine</w:t>
            </w:r>
          </w:p>
        </w:tc>
        <w:tc>
          <w:tcPr>
            <w:tcW w:type="dxa" w:w="5060"/>
            <w:vAlign w:val="center"/>
          </w:tcPr>
          <w:p>
            <w:pPr>
              <w:spacing w:before="0" w:after="0" w:line="264" w:lineRule="auto"/>
              <w:jc w:val="left"/>
            </w:pPr>
            <w:r/>
            <w:r>
              <w:rPr>
                <w:rFonts w:ascii="Calibri" w:hAnsi="Calibri"/>
                <w:b w:val="0"/>
                <w:color w:val="000000"/>
                <w:sz w:val="19"/>
              </w:rPr>
              <w:t>Specify prompts, guardrails, evidence requirements, confidence thresholds, hallucination controls, evaluation, and audit logs.</w:t>
            </w:r>
          </w:p>
        </w:tc>
      </w:tr>
      <w:tr>
        <w:trPr>
          <w:cantSplit/>
        </w:trPr>
        <w:tc>
          <w:tcPr>
            <w:tcW w:type="dxa" w:w="1300"/>
            <w:vAlign w:val="center"/>
          </w:tcPr>
          <w:p>
            <w:pPr>
              <w:spacing w:before="0" w:after="0" w:line="264" w:lineRule="auto"/>
              <w:jc w:val="center"/>
            </w:pPr>
            <w:r/>
            <w:r>
              <w:rPr>
                <w:rFonts w:ascii="Calibri" w:hAnsi="Calibri"/>
                <w:b/>
                <w:color w:val="0B2545"/>
                <w:sz w:val="19"/>
              </w:rPr>
              <w:t>7</w:t>
            </w:r>
          </w:p>
        </w:tc>
        <w:tc>
          <w:tcPr>
            <w:tcW w:type="dxa" w:w="3000"/>
            <w:vAlign w:val="center"/>
          </w:tcPr>
          <w:p>
            <w:pPr>
              <w:spacing w:before="0" w:after="0" w:line="264" w:lineRule="auto"/>
              <w:jc w:val="left"/>
            </w:pPr>
            <w:r/>
            <w:r>
              <w:rPr>
                <w:rFonts w:ascii="Calibri" w:hAnsi="Calibri"/>
                <w:b w:val="0"/>
                <w:color w:val="0B2545"/>
                <w:sz w:val="19"/>
              </w:rPr>
              <w:t>Market Dashboard PRD</w:t>
            </w:r>
          </w:p>
        </w:tc>
        <w:tc>
          <w:tcPr>
            <w:tcW w:type="dxa" w:w="5060"/>
            <w:vAlign w:val="center"/>
          </w:tcPr>
          <w:p>
            <w:pPr>
              <w:spacing w:before="0" w:after="0" w:line="264" w:lineRule="auto"/>
              <w:jc w:val="left"/>
            </w:pPr>
            <w:r/>
            <w:r>
              <w:rPr>
                <w:rFonts w:ascii="Calibri" w:hAnsi="Calibri"/>
                <w:b w:val="0"/>
                <w:color w:val="000000"/>
                <w:sz w:val="19"/>
              </w:rPr>
              <w:t>Define the homepage market dashboard, index cards, heatmaps, movers, sales, sentiment, and watchlist panels.</w:t>
            </w:r>
          </w:p>
        </w:tc>
      </w:tr>
      <w:tr>
        <w:trPr>
          <w:cantSplit/>
        </w:trPr>
        <w:tc>
          <w:tcPr>
            <w:tcW w:type="dxa" w:w="1300"/>
            <w:vAlign w:val="center"/>
          </w:tcPr>
          <w:p>
            <w:pPr>
              <w:spacing w:before="0" w:after="0" w:line="264" w:lineRule="auto"/>
              <w:jc w:val="center"/>
            </w:pPr>
            <w:r/>
            <w:r>
              <w:rPr>
                <w:rFonts w:ascii="Calibri" w:hAnsi="Calibri"/>
                <w:b/>
                <w:color w:val="0B2545"/>
                <w:sz w:val="19"/>
              </w:rPr>
              <w:t>8</w:t>
            </w:r>
          </w:p>
        </w:tc>
        <w:tc>
          <w:tcPr>
            <w:tcW w:type="dxa" w:w="3000"/>
            <w:vAlign w:val="center"/>
          </w:tcPr>
          <w:p>
            <w:pPr>
              <w:spacing w:before="0" w:after="0" w:line="264" w:lineRule="auto"/>
              <w:jc w:val="left"/>
            </w:pPr>
            <w:r/>
            <w:r>
              <w:rPr>
                <w:rFonts w:ascii="Calibri" w:hAnsi="Calibri"/>
                <w:b w:val="0"/>
                <w:color w:val="0B2545"/>
                <w:sz w:val="19"/>
              </w:rPr>
              <w:t>News and Catalyst PRD</w:t>
            </w:r>
          </w:p>
        </w:tc>
        <w:tc>
          <w:tcPr>
            <w:tcW w:type="dxa" w:w="5060"/>
            <w:vAlign w:val="center"/>
          </w:tcPr>
          <w:p>
            <w:pPr>
              <w:spacing w:before="0" w:after="0" w:line="264" w:lineRule="auto"/>
              <w:jc w:val="left"/>
            </w:pPr>
            <w:r/>
            <w:r>
              <w:rPr>
                <w:rFonts w:ascii="Calibri" w:hAnsi="Calibri"/>
                <w:b w:val="0"/>
                <w:color w:val="000000"/>
                <w:sz w:val="19"/>
              </w:rPr>
              <w:t>Define market-moving news ingestion, tagging, affected assets, event timelines, and catalyst scoring.</w:t>
            </w:r>
          </w:p>
        </w:tc>
      </w:tr>
      <w:tr>
        <w:trPr>
          <w:cantSplit/>
        </w:trPr>
        <w:tc>
          <w:tcPr>
            <w:tcW w:type="dxa" w:w="1300"/>
            <w:vAlign w:val="center"/>
          </w:tcPr>
          <w:p>
            <w:pPr>
              <w:spacing w:before="0" w:after="0" w:line="264" w:lineRule="auto"/>
              <w:jc w:val="center"/>
            </w:pPr>
            <w:r/>
            <w:r>
              <w:rPr>
                <w:rFonts w:ascii="Calibri" w:hAnsi="Calibri"/>
                <w:b/>
                <w:color w:val="0B2545"/>
                <w:sz w:val="19"/>
              </w:rPr>
              <w:t>9</w:t>
            </w:r>
          </w:p>
        </w:tc>
        <w:tc>
          <w:tcPr>
            <w:tcW w:type="dxa" w:w="3000"/>
            <w:vAlign w:val="center"/>
          </w:tcPr>
          <w:p>
            <w:pPr>
              <w:spacing w:before="0" w:after="0" w:line="264" w:lineRule="auto"/>
              <w:jc w:val="left"/>
            </w:pPr>
            <w:r/>
            <w:r>
              <w:rPr>
                <w:rFonts w:ascii="Calibri" w:hAnsi="Calibri"/>
                <w:b w:val="0"/>
                <w:color w:val="0B2545"/>
                <w:sz w:val="19"/>
              </w:rPr>
              <w:t>Signals PRD</w:t>
            </w:r>
          </w:p>
        </w:tc>
        <w:tc>
          <w:tcPr>
            <w:tcW w:type="dxa" w:w="5060"/>
            <w:vAlign w:val="center"/>
          </w:tcPr>
          <w:p>
            <w:pPr>
              <w:spacing w:before="0" w:after="0" w:line="264" w:lineRule="auto"/>
              <w:jc w:val="left"/>
            </w:pPr>
            <w:r/>
            <w:r>
              <w:rPr>
                <w:rFonts w:ascii="Calibri" w:hAnsi="Calibri"/>
                <w:b w:val="0"/>
                <w:color w:val="000000"/>
                <w:sz w:val="19"/>
              </w:rPr>
              <w:t>Define breakout, risk, undervalued, overvalued, liquidity, fake rally, and watch signals with evidence requirements.</w:t>
            </w:r>
          </w:p>
        </w:tc>
      </w:tr>
      <w:tr>
        <w:trPr>
          <w:cantSplit/>
        </w:trPr>
        <w:tc>
          <w:tcPr>
            <w:tcW w:type="dxa" w:w="1300"/>
            <w:vAlign w:val="center"/>
          </w:tcPr>
          <w:p>
            <w:pPr>
              <w:spacing w:before="0" w:after="0" w:line="264" w:lineRule="auto"/>
              <w:jc w:val="center"/>
            </w:pPr>
            <w:r/>
            <w:r>
              <w:rPr>
                <w:rFonts w:ascii="Calibri" w:hAnsi="Calibri"/>
                <w:b/>
                <w:color w:val="0B2545"/>
                <w:sz w:val="19"/>
              </w:rPr>
              <w:t>10</w:t>
            </w:r>
          </w:p>
        </w:tc>
        <w:tc>
          <w:tcPr>
            <w:tcW w:type="dxa" w:w="3000"/>
            <w:vAlign w:val="center"/>
          </w:tcPr>
          <w:p>
            <w:pPr>
              <w:spacing w:before="0" w:after="0" w:line="264" w:lineRule="auto"/>
              <w:jc w:val="left"/>
            </w:pPr>
            <w:r/>
            <w:r>
              <w:rPr>
                <w:rFonts w:ascii="Calibri" w:hAnsi="Calibri"/>
                <w:b w:val="0"/>
                <w:color w:val="0B2545"/>
                <w:sz w:val="19"/>
              </w:rPr>
              <w:t>Daily Report PRD</w:t>
            </w:r>
          </w:p>
        </w:tc>
        <w:tc>
          <w:tcPr>
            <w:tcW w:type="dxa" w:w="5060"/>
            <w:vAlign w:val="center"/>
          </w:tcPr>
          <w:p>
            <w:pPr>
              <w:spacing w:before="0" w:after="0" w:line="264" w:lineRule="auto"/>
              <w:jc w:val="left"/>
            </w:pPr>
            <w:r/>
            <w:r>
              <w:rPr>
                <w:rFonts w:ascii="Calibri" w:hAnsi="Calibri"/>
                <w:b w:val="0"/>
                <w:color w:val="000000"/>
                <w:sz w:val="19"/>
              </w:rPr>
              <w:t>Define the automated daily report for website, email, Discord, push notification, and PDF outputs.</w:t>
            </w:r>
          </w:p>
        </w:tc>
      </w:tr>
      <w:tr>
        <w:trPr>
          <w:cantSplit/>
        </w:trPr>
        <w:tc>
          <w:tcPr>
            <w:tcW w:type="dxa" w:w="1300"/>
            <w:vAlign w:val="center"/>
          </w:tcPr>
          <w:p>
            <w:pPr>
              <w:spacing w:before="0" w:after="0" w:line="264" w:lineRule="auto"/>
              <w:jc w:val="center"/>
            </w:pPr>
            <w:r/>
            <w:r>
              <w:rPr>
                <w:rFonts w:ascii="Calibri" w:hAnsi="Calibri"/>
                <w:b/>
                <w:color w:val="0B2545"/>
                <w:sz w:val="19"/>
              </w:rPr>
              <w:t>11</w:t>
            </w:r>
          </w:p>
        </w:tc>
        <w:tc>
          <w:tcPr>
            <w:tcW w:type="dxa" w:w="3000"/>
            <w:vAlign w:val="center"/>
          </w:tcPr>
          <w:p>
            <w:pPr>
              <w:spacing w:before="0" w:after="0" w:line="264" w:lineRule="auto"/>
              <w:jc w:val="left"/>
            </w:pPr>
            <w:r/>
            <w:r>
              <w:rPr>
                <w:rFonts w:ascii="Calibri" w:hAnsi="Calibri"/>
                <w:b w:val="0"/>
                <w:color w:val="0B2545"/>
                <w:sz w:val="19"/>
              </w:rPr>
              <w:t>Portfolio and Decision Center PRD</w:t>
            </w:r>
          </w:p>
        </w:tc>
        <w:tc>
          <w:tcPr>
            <w:tcW w:type="dxa" w:w="5060"/>
            <w:vAlign w:val="center"/>
          </w:tcPr>
          <w:p>
            <w:pPr>
              <w:spacing w:before="0" w:after="0" w:line="264" w:lineRule="auto"/>
              <w:jc w:val="left"/>
            </w:pPr>
            <w:r/>
            <w:r>
              <w:rPr>
                <w:rFonts w:ascii="Calibri" w:hAnsi="Calibri"/>
                <w:b w:val="0"/>
                <w:color w:val="000000"/>
                <w:sz w:val="19"/>
              </w:rPr>
              <w:t>Define portfolio intelligence, risk scoring, recommendations, and decision support workflows.</w:t>
            </w:r>
          </w:p>
        </w:tc>
      </w:tr>
      <w:tr>
        <w:trPr>
          <w:cantSplit/>
        </w:trPr>
        <w:tc>
          <w:tcPr>
            <w:tcW w:type="dxa" w:w="1300"/>
            <w:vAlign w:val="center"/>
          </w:tcPr>
          <w:p>
            <w:pPr>
              <w:spacing w:before="0" w:after="0" w:line="264" w:lineRule="auto"/>
              <w:jc w:val="center"/>
            </w:pPr>
            <w:r/>
            <w:r>
              <w:rPr>
                <w:rFonts w:ascii="Calibri" w:hAnsi="Calibri"/>
                <w:b/>
                <w:color w:val="0B2545"/>
                <w:sz w:val="19"/>
              </w:rPr>
              <w:t>12</w:t>
            </w:r>
          </w:p>
        </w:tc>
        <w:tc>
          <w:tcPr>
            <w:tcW w:type="dxa" w:w="3000"/>
            <w:vAlign w:val="center"/>
          </w:tcPr>
          <w:p>
            <w:pPr>
              <w:spacing w:before="0" w:after="0" w:line="264" w:lineRule="auto"/>
              <w:jc w:val="left"/>
            </w:pPr>
            <w:r/>
            <w:r>
              <w:rPr>
                <w:rFonts w:ascii="Calibri" w:hAnsi="Calibri"/>
                <w:b w:val="0"/>
                <w:color w:val="0B2545"/>
                <w:sz w:val="19"/>
              </w:rPr>
              <w:t>Codex Execution Plan</w:t>
            </w:r>
          </w:p>
        </w:tc>
        <w:tc>
          <w:tcPr>
            <w:tcW w:type="dxa" w:w="5060"/>
            <w:vAlign w:val="center"/>
          </w:tcPr>
          <w:p>
            <w:pPr>
              <w:spacing w:before="0" w:after="0" w:line="264" w:lineRule="auto"/>
              <w:jc w:val="left"/>
            </w:pPr>
            <w:r/>
            <w:r>
              <w:rPr>
                <w:rFonts w:ascii="Calibri" w:hAnsi="Calibri"/>
                <w:b w:val="0"/>
                <w:color w:val="000000"/>
                <w:sz w:val="19"/>
              </w:rPr>
              <w:t>Define phased implementation order, build rules, testing requirements, and release gates for AI-assisted development.</w:t>
            </w:r>
          </w:p>
        </w:tc>
      </w:tr>
    </w:tbl>
    <w:p>
      <w:pPr>
        <w:spacing w:before="160"/>
      </w:pPr>
      <w:r>
        <w:rPr>
          <w:rFonts w:ascii="Calibri" w:hAnsi="Calibri"/>
        </w:rPr>
        <w:t>This first chapter is intentionally foundational. Subsequent chapters should be written as executable product and architecture specifications, not as marketing copy. Codex should read the Product Bible before implementing any v2 module.</w:t>
      </w:r>
    </w:p>
    <w:p>
      <w:pPr>
        <w:pStyle w:val="Heading1"/>
      </w:pPr>
      <w:r>
        <w:t>Chapter 2: Market Intelligence Framework</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Chapter purpose: </w:t>
            </w:r>
            <w:r>
              <w:rPr>
                <w:rFonts w:ascii="Calibri" w:hAnsi="Calibri"/>
                <w:color w:val="0B2545"/>
                <w:sz w:val="21"/>
              </w:rPr>
              <w:t>Define the intelligence layer that turns raw collectible-market observations into evidence, confidence, signals, explanations, reports, and product decisions.</w:t>
            </w:r>
          </w:p>
        </w:tc>
      </w:tr>
    </w:tbl>
    <w:p>
      <w:pPr>
        <w:spacing w:after="40"/>
      </w:pPr>
    </w:p>
    <w:p>
      <w:pPr>
        <w:pStyle w:val="Heading2"/>
      </w:pPr>
      <w:r>
        <w:t>2.1 Operating Thesis</w:t>
      </w:r>
    </w:p>
    <w:p>
      <w:r>
        <w:rPr>
          <w:rFonts w:ascii="Calibri" w:hAnsi="Calibri"/>
        </w:rPr>
        <w:t>Flashcard Planet v2.0 should treat every market insight as an evidence-backed conclusion. A price chart is only one input. A useful market explanation requires price, liquidity, sales velocity, supply, population, news, catalysts, regional context, and community discussion.</w:t>
      </w:r>
    </w:p>
    <w:p>
      <w:r>
        <w:rPr>
          <w:rFonts w:ascii="Calibri" w:hAnsi="Calibri"/>
        </w:rPr>
        <w:t>The intelligence framework exists to prevent the product from becoming a generic AI wrapper. The product should show its work: what data was observed, how the data was normalized, what changed, why the system believes the movement matters, and how confident the system is.</w:t>
      </w:r>
    </w:p>
    <w:p>
      <w:pPr>
        <w:pStyle w:val="Heading2"/>
      </w:pPr>
      <w:r>
        <w:t>2.2 Market Observation Model</w:t>
      </w:r>
    </w:p>
    <w:p>
      <w:r>
        <w:rPr>
          <w:rFonts w:ascii="Calibri" w:hAnsi="Calibri"/>
        </w:rPr>
        <w:t>A Market Observation is the atomic unit of Flashcard Planet intelligence. Every downstream feature should be traceable back to one or more observations.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3440"/>
        <w:gridCol w:w="4120"/>
      </w:tblGrid>
      <w:tr>
        <w:trPr>
          <w:tblHeader w:val="true"/>
          <w:cantSplit/>
        </w:trPr>
        <w:tc>
          <w:tcPr>
            <w:tcW w:type="dxa" w:w="1800"/>
            <w:shd w:fill="F2F4F7"/>
            <w:vAlign w:val="center"/>
          </w:tcPr>
          <w:p>
            <w:pPr>
              <w:spacing w:before="0" w:after="0" w:line="264" w:lineRule="auto"/>
              <w:jc w:val="center"/>
            </w:pPr>
            <w:r/>
            <w:r>
              <w:rPr>
                <w:rFonts w:ascii="Calibri" w:hAnsi="Calibri"/>
                <w:b/>
                <w:color w:val="0B2545"/>
                <w:sz w:val="20"/>
              </w:rPr>
              <w:t>Field</w:t>
            </w:r>
          </w:p>
        </w:tc>
        <w:tc>
          <w:tcPr>
            <w:tcW w:type="dxa" w:w="3440"/>
            <w:shd w:fill="F2F4F7"/>
            <w:vAlign w:val="center"/>
          </w:tcPr>
          <w:p>
            <w:pPr>
              <w:spacing w:before="0" w:after="0" w:line="264" w:lineRule="auto"/>
              <w:jc w:val="center"/>
            </w:pPr>
            <w:r/>
            <w:r>
              <w:rPr>
                <w:rFonts w:ascii="Calibri" w:hAnsi="Calibri"/>
                <w:b/>
                <w:color w:val="0B2545"/>
                <w:sz w:val="20"/>
              </w:rPr>
              <w:t>Definition</w:t>
            </w:r>
          </w:p>
        </w:tc>
        <w:tc>
          <w:tcPr>
            <w:tcW w:type="dxa" w:w="4120"/>
            <w:shd w:fill="F2F4F7"/>
            <w:vAlign w:val="center"/>
          </w:tcPr>
          <w:p>
            <w:pPr>
              <w:spacing w:before="0" w:after="0" w:line="264" w:lineRule="auto"/>
              <w:jc w:val="center"/>
            </w:pPr>
            <w:r/>
            <w:r>
              <w:rPr>
                <w:rFonts w:ascii="Calibri" w:hAnsi="Calibri"/>
                <w:b/>
                <w:color w:val="0B2545"/>
                <w:sz w:val="20"/>
              </w:rPr>
              <w:t>Implementation Notes</w:t>
            </w:r>
          </w:p>
        </w:tc>
      </w:tr>
      <w:tr>
        <w:trPr>
          <w:cantSplit/>
        </w:trPr>
        <w:tc>
          <w:tcPr>
            <w:tcW w:type="dxa" w:w="1800"/>
            <w:vAlign w:val="center"/>
          </w:tcPr>
          <w:p>
            <w:pPr>
              <w:spacing w:before="0" w:after="0" w:line="264" w:lineRule="auto"/>
              <w:jc w:val="left"/>
            </w:pPr>
            <w:r/>
            <w:r>
              <w:rPr>
                <w:rFonts w:ascii="Calibri" w:hAnsi="Calibri"/>
                <w:b/>
                <w:color w:val="0B2545"/>
                <w:sz w:val="19"/>
              </w:rPr>
              <w:t>asset_id</w:t>
            </w:r>
          </w:p>
        </w:tc>
        <w:tc>
          <w:tcPr>
            <w:tcW w:type="dxa" w:w="3440"/>
            <w:vAlign w:val="center"/>
          </w:tcPr>
          <w:p>
            <w:pPr>
              <w:spacing w:before="0" w:after="0" w:line="264" w:lineRule="auto"/>
              <w:jc w:val="left"/>
            </w:pPr>
            <w:r/>
            <w:r>
              <w:rPr>
                <w:rFonts w:ascii="Calibri" w:hAnsi="Calibri"/>
                <w:b w:val="0"/>
                <w:color w:val="000000"/>
                <w:sz w:val="19"/>
              </w:rPr>
              <w:t>Canonical collectible asset identifier.</w:t>
            </w:r>
          </w:p>
        </w:tc>
        <w:tc>
          <w:tcPr>
            <w:tcW w:type="dxa" w:w="4120"/>
            <w:vAlign w:val="center"/>
          </w:tcPr>
          <w:p>
            <w:pPr>
              <w:spacing w:before="0" w:after="0" w:line="264" w:lineRule="auto"/>
              <w:jc w:val="left"/>
            </w:pPr>
            <w:r/>
            <w:r>
              <w:rPr>
                <w:rFonts w:ascii="Calibri" w:hAnsi="Calibri"/>
                <w:b w:val="0"/>
                <w:color w:val="000000"/>
                <w:sz w:val="19"/>
              </w:rPr>
              <w:t>Must support cards, sealed products, graded assets, and future collectibles.</w:t>
            </w:r>
          </w:p>
        </w:tc>
      </w:tr>
      <w:tr>
        <w:trPr>
          <w:cantSplit/>
        </w:trPr>
        <w:tc>
          <w:tcPr>
            <w:tcW w:type="dxa" w:w="1800"/>
            <w:vAlign w:val="center"/>
          </w:tcPr>
          <w:p>
            <w:pPr>
              <w:spacing w:before="0" w:after="0" w:line="264" w:lineRule="auto"/>
              <w:jc w:val="left"/>
            </w:pPr>
            <w:r/>
            <w:r>
              <w:rPr>
                <w:rFonts w:ascii="Calibri" w:hAnsi="Calibri"/>
                <w:b/>
                <w:color w:val="0B2545"/>
                <w:sz w:val="19"/>
              </w:rPr>
              <w:t>source</w:t>
            </w:r>
          </w:p>
        </w:tc>
        <w:tc>
          <w:tcPr>
            <w:tcW w:type="dxa" w:w="3440"/>
            <w:vAlign w:val="center"/>
          </w:tcPr>
          <w:p>
            <w:pPr>
              <w:spacing w:before="0" w:after="0" w:line="264" w:lineRule="auto"/>
              <w:jc w:val="left"/>
            </w:pPr>
            <w:r/>
            <w:r>
              <w:rPr>
                <w:rFonts w:ascii="Calibri" w:hAnsi="Calibri"/>
                <w:b w:val="0"/>
                <w:color w:val="000000"/>
                <w:sz w:val="19"/>
              </w:rPr>
              <w:t>Where the observation came from.</w:t>
            </w:r>
          </w:p>
        </w:tc>
        <w:tc>
          <w:tcPr>
            <w:tcW w:type="dxa" w:w="4120"/>
            <w:vAlign w:val="center"/>
          </w:tcPr>
          <w:p>
            <w:pPr>
              <w:spacing w:before="0" w:after="0" w:line="264" w:lineRule="auto"/>
              <w:jc w:val="left"/>
            </w:pPr>
            <w:r/>
            <w:r>
              <w:rPr>
                <w:rFonts w:ascii="Calibri" w:hAnsi="Calibri"/>
                <w:b w:val="0"/>
                <w:color w:val="000000"/>
                <w:sz w:val="19"/>
              </w:rPr>
              <w:t>Examples: eBay sold, TCGPlayer, PSA population, Cardmarket, Discord, Reddit, official news.</w:t>
            </w:r>
          </w:p>
        </w:tc>
      </w:tr>
      <w:tr>
        <w:trPr>
          <w:cantSplit/>
        </w:trPr>
        <w:tc>
          <w:tcPr>
            <w:tcW w:type="dxa" w:w="1800"/>
            <w:vAlign w:val="center"/>
          </w:tcPr>
          <w:p>
            <w:pPr>
              <w:spacing w:before="0" w:after="0" w:line="264" w:lineRule="auto"/>
              <w:jc w:val="left"/>
            </w:pPr>
            <w:r/>
            <w:r>
              <w:rPr>
                <w:rFonts w:ascii="Calibri" w:hAnsi="Calibri"/>
                <w:b/>
                <w:color w:val="0B2545"/>
                <w:sz w:val="19"/>
              </w:rPr>
              <w:t>observation_type</w:t>
            </w:r>
          </w:p>
        </w:tc>
        <w:tc>
          <w:tcPr>
            <w:tcW w:type="dxa" w:w="3440"/>
            <w:vAlign w:val="center"/>
          </w:tcPr>
          <w:p>
            <w:pPr>
              <w:spacing w:before="0" w:after="0" w:line="264" w:lineRule="auto"/>
              <w:jc w:val="left"/>
            </w:pPr>
            <w:r/>
            <w:r>
              <w:rPr>
                <w:rFonts w:ascii="Calibri" w:hAnsi="Calibri"/>
                <w:b w:val="0"/>
                <w:color w:val="000000"/>
                <w:sz w:val="19"/>
              </w:rPr>
              <w:t>The type of market fact observed.</w:t>
            </w:r>
          </w:p>
        </w:tc>
        <w:tc>
          <w:tcPr>
            <w:tcW w:type="dxa" w:w="4120"/>
            <w:vAlign w:val="center"/>
          </w:tcPr>
          <w:p>
            <w:pPr>
              <w:spacing w:before="0" w:after="0" w:line="264" w:lineRule="auto"/>
              <w:jc w:val="left"/>
            </w:pPr>
            <w:r/>
            <w:r>
              <w:rPr>
                <w:rFonts w:ascii="Calibri" w:hAnsi="Calibri"/>
                <w:b w:val="0"/>
                <w:color w:val="000000"/>
                <w:sz w:val="19"/>
              </w:rPr>
              <w:t>Sale, listing, population change, news event, social mention, search trend, portfolio event.</w:t>
            </w:r>
          </w:p>
        </w:tc>
      </w:tr>
      <w:tr>
        <w:trPr>
          <w:cantSplit/>
        </w:trPr>
        <w:tc>
          <w:tcPr>
            <w:tcW w:type="dxa" w:w="1800"/>
            <w:vAlign w:val="center"/>
          </w:tcPr>
          <w:p>
            <w:pPr>
              <w:spacing w:before="0" w:after="0" w:line="264" w:lineRule="auto"/>
              <w:jc w:val="left"/>
            </w:pPr>
            <w:r/>
            <w:r>
              <w:rPr>
                <w:rFonts w:ascii="Calibri" w:hAnsi="Calibri"/>
                <w:b/>
                <w:color w:val="0B2545"/>
                <w:sz w:val="19"/>
              </w:rPr>
              <w:t>value</w:t>
            </w:r>
          </w:p>
        </w:tc>
        <w:tc>
          <w:tcPr>
            <w:tcW w:type="dxa" w:w="3440"/>
            <w:vAlign w:val="center"/>
          </w:tcPr>
          <w:p>
            <w:pPr>
              <w:spacing w:before="0" w:after="0" w:line="264" w:lineRule="auto"/>
              <w:jc w:val="left"/>
            </w:pPr>
            <w:r/>
            <w:r>
              <w:rPr>
                <w:rFonts w:ascii="Calibri" w:hAnsi="Calibri"/>
                <w:b w:val="0"/>
                <w:color w:val="000000"/>
                <w:sz w:val="19"/>
              </w:rPr>
              <w:t>The numeric or text payload.</w:t>
            </w:r>
          </w:p>
        </w:tc>
        <w:tc>
          <w:tcPr>
            <w:tcW w:type="dxa" w:w="4120"/>
            <w:vAlign w:val="center"/>
          </w:tcPr>
          <w:p>
            <w:pPr>
              <w:spacing w:before="0" w:after="0" w:line="264" w:lineRule="auto"/>
              <w:jc w:val="left"/>
            </w:pPr>
            <w:r/>
            <w:r>
              <w:rPr>
                <w:rFonts w:ascii="Calibri" w:hAnsi="Calibri"/>
                <w:b w:val="0"/>
                <w:color w:val="000000"/>
                <w:sz w:val="19"/>
              </w:rPr>
              <w:t>Examples: sold price, listing count, social volume, article title, population delta.</w:t>
            </w:r>
          </w:p>
        </w:tc>
      </w:tr>
      <w:tr>
        <w:trPr>
          <w:cantSplit/>
        </w:trPr>
        <w:tc>
          <w:tcPr>
            <w:tcW w:type="dxa" w:w="1800"/>
            <w:vAlign w:val="center"/>
          </w:tcPr>
          <w:p>
            <w:pPr>
              <w:spacing w:before="0" w:after="0" w:line="264" w:lineRule="auto"/>
              <w:jc w:val="left"/>
            </w:pPr>
            <w:r/>
            <w:r>
              <w:rPr>
                <w:rFonts w:ascii="Calibri" w:hAnsi="Calibri"/>
                <w:b/>
                <w:color w:val="0B2545"/>
                <w:sz w:val="19"/>
              </w:rPr>
              <w:t>timestamp</w:t>
            </w:r>
          </w:p>
        </w:tc>
        <w:tc>
          <w:tcPr>
            <w:tcW w:type="dxa" w:w="3440"/>
            <w:vAlign w:val="center"/>
          </w:tcPr>
          <w:p>
            <w:pPr>
              <w:spacing w:before="0" w:after="0" w:line="264" w:lineRule="auto"/>
              <w:jc w:val="left"/>
            </w:pPr>
            <w:r/>
            <w:r>
              <w:rPr>
                <w:rFonts w:ascii="Calibri" w:hAnsi="Calibri"/>
                <w:b w:val="0"/>
                <w:color w:val="000000"/>
                <w:sz w:val="19"/>
              </w:rPr>
              <w:t>When the market event occurred.</w:t>
            </w:r>
          </w:p>
        </w:tc>
        <w:tc>
          <w:tcPr>
            <w:tcW w:type="dxa" w:w="4120"/>
            <w:vAlign w:val="center"/>
          </w:tcPr>
          <w:p>
            <w:pPr>
              <w:spacing w:before="0" w:after="0" w:line="264" w:lineRule="auto"/>
              <w:jc w:val="left"/>
            </w:pPr>
            <w:r/>
            <w:r>
              <w:rPr>
                <w:rFonts w:ascii="Calibri" w:hAnsi="Calibri"/>
                <w:b w:val="0"/>
                <w:color w:val="000000"/>
                <w:sz w:val="19"/>
              </w:rPr>
              <w:t>Store source time and normalized UTC time.</w:t>
            </w:r>
          </w:p>
        </w:tc>
      </w:tr>
      <w:tr>
        <w:trPr>
          <w:cantSplit/>
        </w:trPr>
        <w:tc>
          <w:tcPr>
            <w:tcW w:type="dxa" w:w="1800"/>
            <w:vAlign w:val="center"/>
          </w:tcPr>
          <w:p>
            <w:pPr>
              <w:spacing w:before="0" w:after="0" w:line="264" w:lineRule="auto"/>
              <w:jc w:val="left"/>
            </w:pPr>
            <w:r/>
            <w:r>
              <w:rPr>
                <w:rFonts w:ascii="Calibri" w:hAnsi="Calibri"/>
                <w:b/>
                <w:color w:val="0B2545"/>
                <w:sz w:val="19"/>
              </w:rPr>
              <w:t>confidence</w:t>
            </w:r>
          </w:p>
        </w:tc>
        <w:tc>
          <w:tcPr>
            <w:tcW w:type="dxa" w:w="3440"/>
            <w:vAlign w:val="center"/>
          </w:tcPr>
          <w:p>
            <w:pPr>
              <w:spacing w:before="0" w:after="0" w:line="264" w:lineRule="auto"/>
              <w:jc w:val="left"/>
            </w:pPr>
            <w:r/>
            <w:r>
              <w:rPr>
                <w:rFonts w:ascii="Calibri" w:hAnsi="Calibri"/>
                <w:b w:val="0"/>
                <w:color w:val="000000"/>
                <w:sz w:val="19"/>
              </w:rPr>
              <w:t>Initial trust score for the observation.</w:t>
            </w:r>
          </w:p>
        </w:tc>
        <w:tc>
          <w:tcPr>
            <w:tcW w:type="dxa" w:w="4120"/>
            <w:vAlign w:val="center"/>
          </w:tcPr>
          <w:p>
            <w:pPr>
              <w:spacing w:before="0" w:after="0" w:line="264" w:lineRule="auto"/>
              <w:jc w:val="left"/>
            </w:pPr>
            <w:r/>
            <w:r>
              <w:rPr>
                <w:rFonts w:ascii="Calibri" w:hAnsi="Calibri"/>
                <w:b w:val="0"/>
                <w:color w:val="000000"/>
                <w:sz w:val="19"/>
              </w:rPr>
              <w:t>Based on source reliability, recency, completeness, and validation status.</w:t>
            </w:r>
          </w:p>
        </w:tc>
      </w:tr>
      <w:tr>
        <w:trPr>
          <w:cantSplit/>
        </w:trPr>
        <w:tc>
          <w:tcPr>
            <w:tcW w:type="dxa" w:w="1800"/>
            <w:vAlign w:val="center"/>
          </w:tcPr>
          <w:p>
            <w:pPr>
              <w:spacing w:before="0" w:after="0" w:line="264" w:lineRule="auto"/>
              <w:jc w:val="left"/>
            </w:pPr>
            <w:r/>
            <w:r>
              <w:rPr>
                <w:rFonts w:ascii="Calibri" w:hAnsi="Calibri"/>
                <w:b/>
                <w:color w:val="0B2545"/>
                <w:sz w:val="19"/>
              </w:rPr>
              <w:t>evidence_ref</w:t>
            </w:r>
          </w:p>
        </w:tc>
        <w:tc>
          <w:tcPr>
            <w:tcW w:type="dxa" w:w="3440"/>
            <w:vAlign w:val="center"/>
          </w:tcPr>
          <w:p>
            <w:pPr>
              <w:spacing w:before="0" w:after="0" w:line="264" w:lineRule="auto"/>
              <w:jc w:val="left"/>
            </w:pPr>
            <w:r/>
            <w:r>
              <w:rPr>
                <w:rFonts w:ascii="Calibri" w:hAnsi="Calibri"/>
                <w:b w:val="0"/>
                <w:color w:val="000000"/>
                <w:sz w:val="19"/>
              </w:rPr>
              <w:t>Link to the raw or normalized evidence record.</w:t>
            </w:r>
          </w:p>
        </w:tc>
        <w:tc>
          <w:tcPr>
            <w:tcW w:type="dxa" w:w="4120"/>
            <w:vAlign w:val="center"/>
          </w:tcPr>
          <w:p>
            <w:pPr>
              <w:spacing w:before="0" w:after="0" w:line="264" w:lineRule="auto"/>
              <w:jc w:val="left"/>
            </w:pPr>
            <w:r/>
            <w:r>
              <w:rPr>
                <w:rFonts w:ascii="Calibri" w:hAnsi="Calibri"/>
                <w:b w:val="0"/>
                <w:color w:val="000000"/>
                <w:sz w:val="19"/>
              </w:rPr>
              <w:t>Required for AI explanations and user-facing traceability.</w:t>
            </w:r>
          </w:p>
        </w:tc>
      </w:tr>
    </w:tbl>
    <w:p>
      <w:pPr>
        <w:spacing w:after="40"/>
      </w:pPr>
    </w:p>
    <w:p>
      <w:pPr>
        <w:pStyle w:val="Heading2"/>
      </w:pPr>
      <w:r>
        <w:t>2.3 Data Source Priority</w:t>
      </w:r>
    </w:p>
    <w:p>
      <w:r>
        <w:rPr>
          <w:rFonts w:ascii="Calibri" w:hAnsi="Calibri"/>
        </w:rPr>
        <w:t>Data sources should be tiered by reliability. High-confidence transactional data should outweigh lower-confidence social discussion. Community sentiment can explain attention, but it should not independently trigger investment recommendations.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00"/>
        <w:gridCol w:w="4310"/>
        <w:gridCol w:w="4150"/>
      </w:tblGrid>
      <w:tr>
        <w:trPr>
          <w:tblHeader w:val="true"/>
          <w:cantSplit/>
        </w:trPr>
        <w:tc>
          <w:tcPr>
            <w:tcW w:type="dxa" w:w="900"/>
            <w:shd w:fill="F2F4F7"/>
            <w:vAlign w:val="center"/>
          </w:tcPr>
          <w:p>
            <w:pPr>
              <w:spacing w:before="0" w:after="0" w:line="264" w:lineRule="auto"/>
              <w:jc w:val="center"/>
            </w:pPr>
            <w:r/>
            <w:r>
              <w:rPr>
                <w:rFonts w:ascii="Calibri" w:hAnsi="Calibri"/>
                <w:b/>
                <w:color w:val="0B2545"/>
                <w:sz w:val="20"/>
              </w:rPr>
              <w:t>Tier</w:t>
            </w:r>
          </w:p>
        </w:tc>
        <w:tc>
          <w:tcPr>
            <w:tcW w:type="dxa" w:w="4310"/>
            <w:shd w:fill="F2F4F7"/>
            <w:vAlign w:val="center"/>
          </w:tcPr>
          <w:p>
            <w:pPr>
              <w:spacing w:before="0" w:after="0" w:line="264" w:lineRule="auto"/>
              <w:jc w:val="center"/>
            </w:pPr>
            <w:r/>
            <w:r>
              <w:rPr>
                <w:rFonts w:ascii="Calibri" w:hAnsi="Calibri"/>
                <w:b/>
                <w:color w:val="0B2545"/>
                <w:sz w:val="20"/>
              </w:rPr>
              <w:t>Sources</w:t>
            </w:r>
          </w:p>
        </w:tc>
        <w:tc>
          <w:tcPr>
            <w:tcW w:type="dxa" w:w="4150"/>
            <w:shd w:fill="F2F4F7"/>
            <w:vAlign w:val="center"/>
          </w:tcPr>
          <w:p>
            <w:pPr>
              <w:spacing w:before="0" w:after="0" w:line="264" w:lineRule="auto"/>
              <w:jc w:val="center"/>
            </w:pPr>
            <w:r/>
            <w:r>
              <w:rPr>
                <w:rFonts w:ascii="Calibri" w:hAnsi="Calibri"/>
                <w:b/>
                <w:color w:val="0B2545"/>
                <w:sz w:val="20"/>
              </w:rPr>
              <w:t>Primary Use</w:t>
            </w:r>
          </w:p>
        </w:tc>
      </w:tr>
      <w:tr>
        <w:trPr>
          <w:cantSplit/>
        </w:trPr>
        <w:tc>
          <w:tcPr>
            <w:tcW w:type="dxa" w:w="900"/>
            <w:vAlign w:val="center"/>
          </w:tcPr>
          <w:p>
            <w:pPr>
              <w:spacing w:before="0" w:after="0" w:line="264" w:lineRule="auto"/>
              <w:jc w:val="center"/>
            </w:pPr>
            <w:r/>
            <w:r>
              <w:rPr>
                <w:rFonts w:ascii="Calibri" w:hAnsi="Calibri"/>
                <w:b/>
                <w:color w:val="0B2545"/>
                <w:sz w:val="19"/>
              </w:rPr>
              <w:t>1</w:t>
            </w:r>
          </w:p>
        </w:tc>
        <w:tc>
          <w:tcPr>
            <w:tcW w:type="dxa" w:w="4310"/>
            <w:vAlign w:val="center"/>
          </w:tcPr>
          <w:p>
            <w:pPr>
              <w:spacing w:before="0" w:after="0" w:line="264" w:lineRule="auto"/>
              <w:jc w:val="left"/>
            </w:pPr>
            <w:r/>
            <w:r>
              <w:rPr>
                <w:rFonts w:ascii="Calibri" w:hAnsi="Calibri"/>
                <w:b w:val="0"/>
                <w:color w:val="000000"/>
                <w:sz w:val="19"/>
              </w:rPr>
              <w:t>eBay sold, TCGPlayer, Cardmarket, PSA population, BGS, CGC, internal price history.</w:t>
            </w:r>
          </w:p>
        </w:tc>
        <w:tc>
          <w:tcPr>
            <w:tcW w:type="dxa" w:w="4150"/>
            <w:vAlign w:val="center"/>
          </w:tcPr>
          <w:p>
            <w:pPr>
              <w:spacing w:before="0" w:after="0" w:line="264" w:lineRule="auto"/>
              <w:jc w:val="left"/>
            </w:pPr>
            <w:r/>
            <w:r>
              <w:rPr>
                <w:rFonts w:ascii="Calibri" w:hAnsi="Calibri"/>
                <w:b w:val="0"/>
                <w:color w:val="000000"/>
                <w:sz w:val="19"/>
              </w:rPr>
              <w:t>Core pricing, liquidity, population, market indexes, and signal evidence.</w:t>
            </w:r>
          </w:p>
        </w:tc>
      </w:tr>
      <w:tr>
        <w:trPr>
          <w:cantSplit/>
        </w:trPr>
        <w:tc>
          <w:tcPr>
            <w:tcW w:type="dxa" w:w="900"/>
            <w:vAlign w:val="center"/>
          </w:tcPr>
          <w:p>
            <w:pPr>
              <w:spacing w:before="0" w:after="0" w:line="264" w:lineRule="auto"/>
              <w:jc w:val="center"/>
            </w:pPr>
            <w:r/>
            <w:r>
              <w:rPr>
                <w:rFonts w:ascii="Calibri" w:hAnsi="Calibri"/>
                <w:b/>
                <w:color w:val="0B2545"/>
                <w:sz w:val="19"/>
              </w:rPr>
              <w:t>2</w:t>
            </w:r>
          </w:p>
        </w:tc>
        <w:tc>
          <w:tcPr>
            <w:tcW w:type="dxa" w:w="4310"/>
            <w:vAlign w:val="center"/>
          </w:tcPr>
          <w:p>
            <w:pPr>
              <w:spacing w:before="0" w:after="0" w:line="264" w:lineRule="auto"/>
              <w:jc w:val="left"/>
            </w:pPr>
            <w:r/>
            <w:r>
              <w:rPr>
                <w:rFonts w:ascii="Calibri" w:hAnsi="Calibri"/>
                <w:b w:val="0"/>
                <w:color w:val="000000"/>
                <w:sz w:val="19"/>
              </w:rPr>
              <w:t>Official brand announcements, tournament results, release calendars, grading-company updates, major auction results.</w:t>
            </w:r>
          </w:p>
        </w:tc>
        <w:tc>
          <w:tcPr>
            <w:tcW w:type="dxa" w:w="4150"/>
            <w:vAlign w:val="center"/>
          </w:tcPr>
          <w:p>
            <w:pPr>
              <w:spacing w:before="0" w:after="0" w:line="264" w:lineRule="auto"/>
              <w:jc w:val="left"/>
            </w:pPr>
            <w:r/>
            <w:r>
              <w:rPr>
                <w:rFonts w:ascii="Calibri" w:hAnsi="Calibri"/>
                <w:b w:val="0"/>
                <w:color w:val="000000"/>
                <w:sz w:val="19"/>
              </w:rPr>
              <w:t>Catalysts, market news, timeline events, affected asset tagging.</w:t>
            </w:r>
          </w:p>
        </w:tc>
      </w:tr>
      <w:tr>
        <w:trPr>
          <w:cantSplit/>
        </w:trPr>
        <w:tc>
          <w:tcPr>
            <w:tcW w:type="dxa" w:w="900"/>
            <w:vAlign w:val="center"/>
          </w:tcPr>
          <w:p>
            <w:pPr>
              <w:spacing w:before="0" w:after="0" w:line="264" w:lineRule="auto"/>
              <w:jc w:val="center"/>
            </w:pPr>
            <w:r/>
            <w:r>
              <w:rPr>
                <w:rFonts w:ascii="Calibri" w:hAnsi="Calibri"/>
                <w:b/>
                <w:color w:val="0B2545"/>
                <w:sz w:val="19"/>
              </w:rPr>
              <w:t>3</w:t>
            </w:r>
          </w:p>
        </w:tc>
        <w:tc>
          <w:tcPr>
            <w:tcW w:type="dxa" w:w="4310"/>
            <w:vAlign w:val="center"/>
          </w:tcPr>
          <w:p>
            <w:pPr>
              <w:spacing w:before="0" w:after="0" w:line="264" w:lineRule="auto"/>
              <w:jc w:val="left"/>
            </w:pPr>
            <w:r/>
            <w:r>
              <w:rPr>
                <w:rFonts w:ascii="Calibri" w:hAnsi="Calibri"/>
                <w:b w:val="0"/>
                <w:color w:val="000000"/>
                <w:sz w:val="19"/>
              </w:rPr>
              <w:t>Reddit, Discord, X, YouTube, search trends, community submissions.</w:t>
            </w:r>
          </w:p>
        </w:tc>
        <w:tc>
          <w:tcPr>
            <w:tcW w:type="dxa" w:w="4150"/>
            <w:vAlign w:val="center"/>
          </w:tcPr>
          <w:p>
            <w:pPr>
              <w:spacing w:before="0" w:after="0" w:line="264" w:lineRule="auto"/>
              <w:jc w:val="left"/>
            </w:pPr>
            <w:r/>
            <w:r>
              <w:rPr>
                <w:rFonts w:ascii="Calibri" w:hAnsi="Calibri"/>
                <w:b w:val="0"/>
                <w:color w:val="000000"/>
                <w:sz w:val="19"/>
              </w:rPr>
              <w:t>Community intelligence, sentiment context, early attention signals, rumor detection.</w:t>
            </w:r>
          </w:p>
        </w:tc>
      </w:tr>
      <w:tr>
        <w:trPr>
          <w:cantSplit/>
        </w:trPr>
        <w:tc>
          <w:tcPr>
            <w:tcW w:type="dxa" w:w="900"/>
            <w:vAlign w:val="center"/>
          </w:tcPr>
          <w:p>
            <w:pPr>
              <w:spacing w:before="0" w:after="0" w:line="264" w:lineRule="auto"/>
              <w:jc w:val="center"/>
            </w:pPr>
            <w:r/>
            <w:r>
              <w:rPr>
                <w:rFonts w:ascii="Calibri" w:hAnsi="Calibri"/>
                <w:b/>
                <w:color w:val="0B2545"/>
                <w:sz w:val="19"/>
              </w:rPr>
              <w:t>4</w:t>
            </w:r>
          </w:p>
        </w:tc>
        <w:tc>
          <w:tcPr>
            <w:tcW w:type="dxa" w:w="4310"/>
            <w:vAlign w:val="center"/>
          </w:tcPr>
          <w:p>
            <w:pPr>
              <w:spacing w:before="0" w:after="0" w:line="264" w:lineRule="auto"/>
              <w:jc w:val="left"/>
            </w:pPr>
            <w:r/>
            <w:r>
              <w:rPr>
                <w:rFonts w:ascii="Calibri" w:hAnsi="Calibri"/>
                <w:b w:val="0"/>
                <w:color w:val="000000"/>
                <w:sz w:val="19"/>
              </w:rPr>
              <w:t>Manual editorial notes and user reports.</w:t>
            </w:r>
          </w:p>
        </w:tc>
        <w:tc>
          <w:tcPr>
            <w:tcW w:type="dxa" w:w="4150"/>
            <w:vAlign w:val="center"/>
          </w:tcPr>
          <w:p>
            <w:pPr>
              <w:spacing w:before="0" w:after="0" w:line="264" w:lineRule="auto"/>
              <w:jc w:val="left"/>
            </w:pPr>
            <w:r/>
            <w:r>
              <w:rPr>
                <w:rFonts w:ascii="Calibri" w:hAnsi="Calibri"/>
                <w:b w:val="0"/>
                <w:color w:val="000000"/>
                <w:sz w:val="19"/>
              </w:rPr>
              <w:t>Supplementary review queue only; never primary evidence without validation.</w:t>
            </w:r>
          </w:p>
        </w:tc>
      </w:tr>
    </w:tbl>
    <w:p>
      <w:pPr>
        <w:spacing w:after="40"/>
      </w:pPr>
    </w:p>
    <w:p>
      <w:pPr>
        <w:pStyle w:val="Heading2"/>
      </w:pPr>
      <w:r>
        <w:t>2.4 Normalization Pipeline</w:t>
      </w:r>
    </w:p>
    <w:p>
      <w:r>
        <w:rPr>
          <w:rFonts w:ascii="Calibri" w:hAnsi="Calibri"/>
        </w:rPr>
        <w:t>The pipeline must convert messy provider data into comparable market records. Provider-specific quirks should be isolated in ingestion adapters, not leaked into product logic.</w:t>
      </w:r>
    </w:p>
    <w:p>
      <w:pPr>
        <w:numPr>
          <w:ilvl w:val="0"/>
          <w:numId w:val="11"/>
        </w:numPr>
        <w:spacing w:after="40" w:line="280" w:lineRule="auto"/>
        <w:ind w:left="720" w:hanging="360"/>
      </w:pPr>
      <w:r>
        <w:rPr>
          <w:rFonts w:ascii="Calibri" w:hAnsi="Calibri"/>
          <w:sz w:val="22"/>
        </w:rPr>
        <w:t>Ingest raw provider data and store immutable raw records.</w:t>
      </w:r>
    </w:p>
    <w:p>
      <w:pPr>
        <w:numPr>
          <w:ilvl w:val="0"/>
          <w:numId w:val="11"/>
        </w:numPr>
        <w:spacing w:after="40" w:line="280" w:lineRule="auto"/>
        <w:ind w:left="720" w:hanging="360"/>
      </w:pPr>
      <w:r>
        <w:rPr>
          <w:rFonts w:ascii="Calibri" w:hAnsi="Calibri"/>
          <w:sz w:val="22"/>
        </w:rPr>
        <w:t>Parse provider payloads into normalized observation candidates.</w:t>
      </w:r>
    </w:p>
    <w:p>
      <w:pPr>
        <w:numPr>
          <w:ilvl w:val="0"/>
          <w:numId w:val="11"/>
        </w:numPr>
        <w:spacing w:after="40" w:line="280" w:lineRule="auto"/>
        <w:ind w:left="720" w:hanging="360"/>
      </w:pPr>
      <w:r>
        <w:rPr>
          <w:rFonts w:ascii="Calibri" w:hAnsi="Calibri"/>
          <w:sz w:val="22"/>
        </w:rPr>
        <w:t>Match the observation to a canonical asset, set, category, region, language, and condition.</w:t>
      </w:r>
    </w:p>
    <w:p>
      <w:pPr>
        <w:numPr>
          <w:ilvl w:val="0"/>
          <w:numId w:val="11"/>
        </w:numPr>
        <w:spacing w:after="40" w:line="280" w:lineRule="auto"/>
        <w:ind w:left="720" w:hanging="360"/>
      </w:pPr>
      <w:r>
        <w:rPr>
          <w:rFonts w:ascii="Calibri" w:hAnsi="Calibri"/>
          <w:sz w:val="22"/>
        </w:rPr>
        <w:t>Validate price, currency, timestamp, seller/source identity, grading company, grade, and duplicate status.</w:t>
      </w:r>
    </w:p>
    <w:p>
      <w:pPr>
        <w:numPr>
          <w:ilvl w:val="0"/>
          <w:numId w:val="11"/>
        </w:numPr>
        <w:spacing w:after="40" w:line="280" w:lineRule="auto"/>
        <w:ind w:left="720" w:hanging="360"/>
      </w:pPr>
      <w:r>
        <w:rPr>
          <w:rFonts w:ascii="Calibri" w:hAnsi="Calibri"/>
          <w:sz w:val="22"/>
        </w:rPr>
        <w:t>Assign initial observation confidence and evidence references.</w:t>
      </w:r>
    </w:p>
    <w:p>
      <w:pPr>
        <w:numPr>
          <w:ilvl w:val="0"/>
          <w:numId w:val="11"/>
        </w:numPr>
        <w:spacing w:after="40" w:line="280" w:lineRule="auto"/>
        <w:ind w:left="720" w:hanging="360"/>
      </w:pPr>
      <w:r>
        <w:rPr>
          <w:rFonts w:ascii="Calibri" w:hAnsi="Calibri"/>
          <w:sz w:val="22"/>
        </w:rPr>
        <w:t>Publish validated observations into downstream intelligence jobs.</w:t>
      </w:r>
    </w:p>
    <w:p>
      <w:pPr>
        <w:pStyle w:val="Heading2"/>
      </w:pPr>
      <w:r>
        <w:t>2.5 Evidence Model</w:t>
      </w:r>
    </w:p>
    <w:p>
      <w:r>
        <w:rPr>
          <w:rFonts w:ascii="Calibri" w:hAnsi="Calibri"/>
        </w:rPr>
        <w:t>Every AI-generated explanation, signal, recommendation, and daily report section must include an evidence bundle. The evidence bundle is the product's defense against hallucination.</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3730"/>
        <w:gridCol w:w="3730"/>
      </w:tblGrid>
      <w:tr>
        <w:trPr>
          <w:tblHeader w:val="true"/>
          <w:cantSplit/>
        </w:trPr>
        <w:tc>
          <w:tcPr>
            <w:tcW w:type="dxa" w:w="1900"/>
            <w:shd w:fill="F2F4F7"/>
            <w:vAlign w:val="center"/>
          </w:tcPr>
          <w:p>
            <w:pPr>
              <w:spacing w:before="0" w:after="0" w:line="264" w:lineRule="auto"/>
              <w:jc w:val="center"/>
            </w:pPr>
            <w:r/>
            <w:r>
              <w:rPr>
                <w:rFonts w:ascii="Calibri" w:hAnsi="Calibri"/>
                <w:b/>
                <w:color w:val="0B2545"/>
                <w:sz w:val="20"/>
              </w:rPr>
              <w:t>Evidence Type</w:t>
            </w:r>
          </w:p>
        </w:tc>
        <w:tc>
          <w:tcPr>
            <w:tcW w:type="dxa" w:w="3730"/>
            <w:shd w:fill="F2F4F7"/>
            <w:vAlign w:val="center"/>
          </w:tcPr>
          <w:p>
            <w:pPr>
              <w:spacing w:before="0" w:after="0" w:line="264" w:lineRule="auto"/>
              <w:jc w:val="center"/>
            </w:pPr>
            <w:r/>
            <w:r>
              <w:rPr>
                <w:rFonts w:ascii="Calibri" w:hAnsi="Calibri"/>
                <w:b/>
                <w:color w:val="0B2545"/>
                <w:sz w:val="20"/>
              </w:rPr>
              <w:t>Example</w:t>
            </w:r>
          </w:p>
        </w:tc>
        <w:tc>
          <w:tcPr>
            <w:tcW w:type="dxa" w:w="3730"/>
            <w:shd w:fill="F2F4F7"/>
            <w:vAlign w:val="center"/>
          </w:tcPr>
          <w:p>
            <w:pPr>
              <w:spacing w:before="0" w:after="0" w:line="264" w:lineRule="auto"/>
              <w:jc w:val="center"/>
            </w:pPr>
            <w:r/>
            <w:r>
              <w:rPr>
                <w:rFonts w:ascii="Calibri" w:hAnsi="Calibri"/>
                <w:b/>
                <w:color w:val="0B2545"/>
                <w:sz w:val="20"/>
              </w:rPr>
              <w:t>Required For</w:t>
            </w:r>
          </w:p>
        </w:tc>
      </w:tr>
      <w:tr>
        <w:trPr>
          <w:cantSplit/>
        </w:trPr>
        <w:tc>
          <w:tcPr>
            <w:tcW w:type="dxa" w:w="1900"/>
            <w:vAlign w:val="center"/>
          </w:tcPr>
          <w:p>
            <w:pPr>
              <w:spacing w:before="0" w:after="0" w:line="264" w:lineRule="auto"/>
              <w:jc w:val="left"/>
            </w:pPr>
            <w:r/>
            <w:r>
              <w:rPr>
                <w:rFonts w:ascii="Calibri" w:hAnsi="Calibri"/>
                <w:b/>
                <w:color w:val="0B2545"/>
                <w:sz w:val="19"/>
              </w:rPr>
              <w:t>Price evidence</w:t>
            </w:r>
          </w:p>
        </w:tc>
        <w:tc>
          <w:tcPr>
            <w:tcW w:type="dxa" w:w="3730"/>
            <w:vAlign w:val="center"/>
          </w:tcPr>
          <w:p>
            <w:pPr>
              <w:spacing w:before="0" w:after="0" w:line="264" w:lineRule="auto"/>
              <w:jc w:val="left"/>
            </w:pPr>
            <w:r/>
            <w:r>
              <w:rPr>
                <w:rFonts w:ascii="Calibri" w:hAnsi="Calibri"/>
                <w:b w:val="0"/>
                <w:color w:val="000000"/>
                <w:sz w:val="19"/>
              </w:rPr>
              <w:t>Recent sales, average price, median price, floor price, price history.</w:t>
            </w:r>
          </w:p>
        </w:tc>
        <w:tc>
          <w:tcPr>
            <w:tcW w:type="dxa" w:w="3730"/>
            <w:vAlign w:val="center"/>
          </w:tcPr>
          <w:p>
            <w:pPr>
              <w:spacing w:before="0" w:after="0" w:line="264" w:lineRule="auto"/>
              <w:jc w:val="left"/>
            </w:pPr>
            <w:r/>
            <w:r>
              <w:rPr>
                <w:rFonts w:ascii="Calibri" w:hAnsi="Calibri"/>
                <w:b w:val="0"/>
                <w:color w:val="000000"/>
                <w:sz w:val="19"/>
              </w:rPr>
              <w:t>Movers, indexes, card dashboards, portfolio valuation.</w:t>
            </w:r>
          </w:p>
        </w:tc>
      </w:tr>
      <w:tr>
        <w:trPr>
          <w:cantSplit/>
        </w:trPr>
        <w:tc>
          <w:tcPr>
            <w:tcW w:type="dxa" w:w="1900"/>
            <w:vAlign w:val="center"/>
          </w:tcPr>
          <w:p>
            <w:pPr>
              <w:spacing w:before="0" w:after="0" w:line="264" w:lineRule="auto"/>
              <w:jc w:val="left"/>
            </w:pPr>
            <w:r/>
            <w:r>
              <w:rPr>
                <w:rFonts w:ascii="Calibri" w:hAnsi="Calibri"/>
                <w:b/>
                <w:color w:val="0B2545"/>
                <w:sz w:val="19"/>
              </w:rPr>
              <w:t>Liquidity evidence</w:t>
            </w:r>
          </w:p>
        </w:tc>
        <w:tc>
          <w:tcPr>
            <w:tcW w:type="dxa" w:w="3730"/>
            <w:vAlign w:val="center"/>
          </w:tcPr>
          <w:p>
            <w:pPr>
              <w:spacing w:before="0" w:after="0" w:line="264" w:lineRule="auto"/>
              <w:jc w:val="left"/>
            </w:pPr>
            <w:r/>
            <w:r>
              <w:rPr>
                <w:rFonts w:ascii="Calibri" w:hAnsi="Calibri"/>
                <w:b w:val="0"/>
                <w:color w:val="000000"/>
                <w:sz w:val="19"/>
              </w:rPr>
              <w:t>Sale count, listing count, bid activity, days since last sale.</w:t>
            </w:r>
          </w:p>
        </w:tc>
        <w:tc>
          <w:tcPr>
            <w:tcW w:type="dxa" w:w="3730"/>
            <w:vAlign w:val="center"/>
          </w:tcPr>
          <w:p>
            <w:pPr>
              <w:spacing w:before="0" w:after="0" w:line="264" w:lineRule="auto"/>
              <w:jc w:val="left"/>
            </w:pPr>
            <w:r/>
            <w:r>
              <w:rPr>
                <w:rFonts w:ascii="Calibri" w:hAnsi="Calibri"/>
                <w:b w:val="0"/>
                <w:color w:val="000000"/>
                <w:sz w:val="19"/>
              </w:rPr>
              <w:t>Risk, fake rally detection, buy/hold/watch/avoid labels.</w:t>
            </w:r>
          </w:p>
        </w:tc>
      </w:tr>
      <w:tr>
        <w:trPr>
          <w:cantSplit/>
        </w:trPr>
        <w:tc>
          <w:tcPr>
            <w:tcW w:type="dxa" w:w="1900"/>
            <w:vAlign w:val="center"/>
          </w:tcPr>
          <w:p>
            <w:pPr>
              <w:spacing w:before="0" w:after="0" w:line="264" w:lineRule="auto"/>
              <w:jc w:val="left"/>
            </w:pPr>
            <w:r/>
            <w:r>
              <w:rPr>
                <w:rFonts w:ascii="Calibri" w:hAnsi="Calibri"/>
                <w:b/>
                <w:color w:val="0B2545"/>
                <w:sz w:val="19"/>
              </w:rPr>
              <w:t>Supply evidence</w:t>
            </w:r>
          </w:p>
        </w:tc>
        <w:tc>
          <w:tcPr>
            <w:tcW w:type="dxa" w:w="3730"/>
            <w:vAlign w:val="center"/>
          </w:tcPr>
          <w:p>
            <w:pPr>
              <w:spacing w:before="0" w:after="0" w:line="264" w:lineRule="auto"/>
              <w:jc w:val="left"/>
            </w:pPr>
            <w:r/>
            <w:r>
              <w:rPr>
                <w:rFonts w:ascii="Calibri" w:hAnsi="Calibri"/>
                <w:b w:val="0"/>
                <w:color w:val="000000"/>
                <w:sz w:val="19"/>
              </w:rPr>
              <w:t>PSA10 population change, listing supply, restock or reprint event.</w:t>
            </w:r>
          </w:p>
        </w:tc>
        <w:tc>
          <w:tcPr>
            <w:tcW w:type="dxa" w:w="3730"/>
            <w:vAlign w:val="center"/>
          </w:tcPr>
          <w:p>
            <w:pPr>
              <w:spacing w:before="0" w:after="0" w:line="264" w:lineRule="auto"/>
              <w:jc w:val="left"/>
            </w:pPr>
            <w:r/>
            <w:r>
              <w:rPr>
                <w:rFonts w:ascii="Calibri" w:hAnsi="Calibri"/>
                <w:b w:val="0"/>
                <w:color w:val="000000"/>
                <w:sz w:val="19"/>
              </w:rPr>
              <w:t>Risk score, catalyst analysis, long-term thesis.</w:t>
            </w:r>
          </w:p>
        </w:tc>
      </w:tr>
      <w:tr>
        <w:trPr>
          <w:cantSplit/>
        </w:trPr>
        <w:tc>
          <w:tcPr>
            <w:tcW w:type="dxa" w:w="1900"/>
            <w:vAlign w:val="center"/>
          </w:tcPr>
          <w:p>
            <w:pPr>
              <w:spacing w:before="0" w:after="0" w:line="264" w:lineRule="auto"/>
              <w:jc w:val="left"/>
            </w:pPr>
            <w:r/>
            <w:r>
              <w:rPr>
                <w:rFonts w:ascii="Calibri" w:hAnsi="Calibri"/>
                <w:b/>
                <w:color w:val="0B2545"/>
                <w:sz w:val="19"/>
              </w:rPr>
              <w:t>News evidence</w:t>
            </w:r>
          </w:p>
        </w:tc>
        <w:tc>
          <w:tcPr>
            <w:tcW w:type="dxa" w:w="3730"/>
            <w:vAlign w:val="center"/>
          </w:tcPr>
          <w:p>
            <w:pPr>
              <w:spacing w:before="0" w:after="0" w:line="264" w:lineRule="auto"/>
              <w:jc w:val="left"/>
            </w:pPr>
            <w:r/>
            <w:r>
              <w:rPr>
                <w:rFonts w:ascii="Calibri" w:hAnsi="Calibri"/>
                <w:b w:val="0"/>
                <w:color w:val="000000"/>
                <w:sz w:val="19"/>
              </w:rPr>
              <w:t>Official announcement, tournament event, release date, policy change.</w:t>
            </w:r>
          </w:p>
        </w:tc>
        <w:tc>
          <w:tcPr>
            <w:tcW w:type="dxa" w:w="3730"/>
            <w:vAlign w:val="center"/>
          </w:tcPr>
          <w:p>
            <w:pPr>
              <w:spacing w:before="0" w:after="0" w:line="264" w:lineRule="auto"/>
              <w:jc w:val="left"/>
            </w:pPr>
            <w:r/>
            <w:r>
              <w:rPr>
                <w:rFonts w:ascii="Calibri" w:hAnsi="Calibri"/>
                <w:b w:val="0"/>
                <w:color w:val="000000"/>
                <w:sz w:val="19"/>
              </w:rPr>
              <w:t>Catalyst engine, daily report, affected-asset timeline.</w:t>
            </w:r>
          </w:p>
        </w:tc>
      </w:tr>
      <w:tr>
        <w:trPr>
          <w:cantSplit/>
        </w:trPr>
        <w:tc>
          <w:tcPr>
            <w:tcW w:type="dxa" w:w="1900"/>
            <w:vAlign w:val="center"/>
          </w:tcPr>
          <w:p>
            <w:pPr>
              <w:spacing w:before="0" w:after="0" w:line="264" w:lineRule="auto"/>
              <w:jc w:val="left"/>
            </w:pPr>
            <w:r/>
            <w:r>
              <w:rPr>
                <w:rFonts w:ascii="Calibri" w:hAnsi="Calibri"/>
                <w:b/>
                <w:color w:val="0B2545"/>
                <w:sz w:val="19"/>
              </w:rPr>
              <w:t>Community evidence</w:t>
            </w:r>
          </w:p>
        </w:tc>
        <w:tc>
          <w:tcPr>
            <w:tcW w:type="dxa" w:w="3730"/>
            <w:vAlign w:val="center"/>
          </w:tcPr>
          <w:p>
            <w:pPr>
              <w:spacing w:before="0" w:after="0" w:line="264" w:lineRule="auto"/>
              <w:jc w:val="left"/>
            </w:pPr>
            <w:r/>
            <w:r>
              <w:rPr>
                <w:rFonts w:ascii="Calibri" w:hAnsi="Calibri"/>
                <w:b w:val="0"/>
                <w:color w:val="000000"/>
                <w:sz w:val="19"/>
              </w:rPr>
              <w:t>Discussion volume, sentiment distribution, creator mentions.</w:t>
            </w:r>
          </w:p>
        </w:tc>
        <w:tc>
          <w:tcPr>
            <w:tcW w:type="dxa" w:w="3730"/>
            <w:vAlign w:val="center"/>
          </w:tcPr>
          <w:p>
            <w:pPr>
              <w:spacing w:before="0" w:after="0" w:line="264" w:lineRule="auto"/>
              <w:jc w:val="left"/>
            </w:pPr>
            <w:r/>
            <w:r>
              <w:rPr>
                <w:rFonts w:ascii="Calibri" w:hAnsi="Calibri"/>
                <w:b w:val="0"/>
                <w:color w:val="000000"/>
                <w:sz w:val="19"/>
              </w:rPr>
              <w:t>Community intelligence, attention signals, confidence support only.</w:t>
            </w:r>
          </w:p>
        </w:tc>
      </w:tr>
    </w:tbl>
    <w:p>
      <w:pPr>
        <w:spacing w:after="40"/>
      </w:pPr>
    </w:p>
    <w:p>
      <w:pPr>
        <w:pStyle w:val="Heading2"/>
      </w:pPr>
      <w:r>
        <w:t>2.6 Confidence System</w:t>
      </w:r>
    </w:p>
    <w:p>
      <w:r>
        <w:rPr>
          <w:rFonts w:ascii="Calibri" w:hAnsi="Calibri"/>
        </w:rPr>
        <w:t>Confidence should be a first-class product object. Users should see not only what the system believes, but how strongly it believes it and why.</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500"/>
        <w:gridCol w:w="2200"/>
        <w:gridCol w:w="5660"/>
      </w:tblGrid>
      <w:tr>
        <w:trPr>
          <w:tblHeader w:val="true"/>
          <w:cantSplit/>
        </w:trPr>
        <w:tc>
          <w:tcPr>
            <w:tcW w:type="dxa" w:w="1500"/>
            <w:shd w:fill="F2F4F7"/>
            <w:vAlign w:val="center"/>
          </w:tcPr>
          <w:p>
            <w:pPr>
              <w:spacing w:before="0" w:after="0" w:line="264" w:lineRule="auto"/>
              <w:jc w:val="center"/>
            </w:pPr>
            <w:r/>
            <w:r>
              <w:rPr>
                <w:rFonts w:ascii="Calibri" w:hAnsi="Calibri"/>
                <w:b/>
                <w:color w:val="0B2545"/>
                <w:sz w:val="20"/>
              </w:rPr>
              <w:t>Score Band</w:t>
            </w:r>
          </w:p>
        </w:tc>
        <w:tc>
          <w:tcPr>
            <w:tcW w:type="dxa" w:w="2200"/>
            <w:shd w:fill="F2F4F7"/>
            <w:vAlign w:val="center"/>
          </w:tcPr>
          <w:p>
            <w:pPr>
              <w:spacing w:before="0" w:after="0" w:line="264" w:lineRule="auto"/>
              <w:jc w:val="center"/>
            </w:pPr>
            <w:r/>
            <w:r>
              <w:rPr>
                <w:rFonts w:ascii="Calibri" w:hAnsi="Calibri"/>
                <w:b/>
                <w:color w:val="0B2545"/>
                <w:sz w:val="20"/>
              </w:rPr>
              <w:t>Label</w:t>
            </w:r>
          </w:p>
        </w:tc>
        <w:tc>
          <w:tcPr>
            <w:tcW w:type="dxa" w:w="5660"/>
            <w:shd w:fill="F2F4F7"/>
            <w:vAlign w:val="center"/>
          </w:tcPr>
          <w:p>
            <w:pPr>
              <w:spacing w:before="0" w:after="0" w:line="264" w:lineRule="auto"/>
              <w:jc w:val="center"/>
            </w:pPr>
            <w:r/>
            <w:r>
              <w:rPr>
                <w:rFonts w:ascii="Calibri" w:hAnsi="Calibri"/>
                <w:b/>
                <w:color w:val="0B2545"/>
                <w:sz w:val="20"/>
              </w:rPr>
              <w:t>Product Behavior</w:t>
            </w:r>
          </w:p>
        </w:tc>
      </w:tr>
      <w:tr>
        <w:trPr>
          <w:cantSplit/>
        </w:trPr>
        <w:tc>
          <w:tcPr>
            <w:tcW w:type="dxa" w:w="1500"/>
            <w:vAlign w:val="center"/>
          </w:tcPr>
          <w:p>
            <w:pPr>
              <w:spacing w:before="0" w:after="0" w:line="264" w:lineRule="auto"/>
              <w:jc w:val="left"/>
            </w:pPr>
            <w:r/>
            <w:r>
              <w:rPr>
                <w:rFonts w:ascii="Calibri" w:hAnsi="Calibri"/>
                <w:b/>
                <w:color w:val="0B2545"/>
                <w:sz w:val="19"/>
              </w:rPr>
              <w:t>90-100</w:t>
            </w:r>
          </w:p>
        </w:tc>
        <w:tc>
          <w:tcPr>
            <w:tcW w:type="dxa" w:w="2200"/>
            <w:vAlign w:val="center"/>
          </w:tcPr>
          <w:p>
            <w:pPr>
              <w:spacing w:before="0" w:after="0" w:line="264" w:lineRule="auto"/>
              <w:jc w:val="left"/>
            </w:pPr>
            <w:r/>
            <w:r>
              <w:rPr>
                <w:rFonts w:ascii="Calibri" w:hAnsi="Calibri"/>
                <w:b w:val="0"/>
                <w:color w:val="000000"/>
                <w:sz w:val="19"/>
              </w:rPr>
              <w:t>Very High</w:t>
            </w:r>
          </w:p>
        </w:tc>
        <w:tc>
          <w:tcPr>
            <w:tcW w:type="dxa" w:w="5660"/>
            <w:vAlign w:val="center"/>
          </w:tcPr>
          <w:p>
            <w:pPr>
              <w:spacing w:before="0" w:after="0" w:line="264" w:lineRule="auto"/>
              <w:jc w:val="left"/>
            </w:pPr>
            <w:r/>
            <w:r>
              <w:rPr>
                <w:rFonts w:ascii="Calibri" w:hAnsi="Calibri"/>
                <w:b w:val="0"/>
                <w:color w:val="000000"/>
                <w:sz w:val="19"/>
              </w:rPr>
              <w:t>Show as strong evidence-backed insight. Allow alerts and report inclusion.</w:t>
            </w:r>
          </w:p>
        </w:tc>
      </w:tr>
      <w:tr>
        <w:trPr>
          <w:cantSplit/>
        </w:trPr>
        <w:tc>
          <w:tcPr>
            <w:tcW w:type="dxa" w:w="1500"/>
            <w:vAlign w:val="center"/>
          </w:tcPr>
          <w:p>
            <w:pPr>
              <w:spacing w:before="0" w:after="0" w:line="264" w:lineRule="auto"/>
              <w:jc w:val="left"/>
            </w:pPr>
            <w:r/>
            <w:r>
              <w:rPr>
                <w:rFonts w:ascii="Calibri" w:hAnsi="Calibri"/>
                <w:b/>
                <w:color w:val="0B2545"/>
                <w:sz w:val="19"/>
              </w:rPr>
              <w:t>75-89</w:t>
            </w:r>
          </w:p>
        </w:tc>
        <w:tc>
          <w:tcPr>
            <w:tcW w:type="dxa" w:w="2200"/>
            <w:vAlign w:val="center"/>
          </w:tcPr>
          <w:p>
            <w:pPr>
              <w:spacing w:before="0" w:after="0" w:line="264" w:lineRule="auto"/>
              <w:jc w:val="left"/>
            </w:pPr>
            <w:r/>
            <w:r>
              <w:rPr>
                <w:rFonts w:ascii="Calibri" w:hAnsi="Calibri"/>
                <w:b w:val="0"/>
                <w:color w:val="000000"/>
                <w:sz w:val="19"/>
              </w:rPr>
              <w:t>High</w:t>
            </w:r>
          </w:p>
        </w:tc>
        <w:tc>
          <w:tcPr>
            <w:tcW w:type="dxa" w:w="5660"/>
            <w:vAlign w:val="center"/>
          </w:tcPr>
          <w:p>
            <w:pPr>
              <w:spacing w:before="0" w:after="0" w:line="264" w:lineRule="auto"/>
              <w:jc w:val="left"/>
            </w:pPr>
            <w:r/>
            <w:r>
              <w:rPr>
                <w:rFonts w:ascii="Calibri" w:hAnsi="Calibri"/>
                <w:b w:val="0"/>
                <w:color w:val="000000"/>
                <w:sz w:val="19"/>
              </w:rPr>
              <w:t>Show with confidence label and evidence details. Eligible for most signals.</w:t>
            </w:r>
          </w:p>
        </w:tc>
      </w:tr>
      <w:tr>
        <w:trPr>
          <w:cantSplit/>
        </w:trPr>
        <w:tc>
          <w:tcPr>
            <w:tcW w:type="dxa" w:w="1500"/>
            <w:vAlign w:val="center"/>
          </w:tcPr>
          <w:p>
            <w:pPr>
              <w:spacing w:before="0" w:after="0" w:line="264" w:lineRule="auto"/>
              <w:jc w:val="left"/>
            </w:pPr>
            <w:r/>
            <w:r>
              <w:rPr>
                <w:rFonts w:ascii="Calibri" w:hAnsi="Calibri"/>
                <w:b/>
                <w:color w:val="0B2545"/>
                <w:sz w:val="19"/>
              </w:rPr>
              <w:t>55-74</w:t>
            </w:r>
          </w:p>
        </w:tc>
        <w:tc>
          <w:tcPr>
            <w:tcW w:type="dxa" w:w="2200"/>
            <w:vAlign w:val="center"/>
          </w:tcPr>
          <w:p>
            <w:pPr>
              <w:spacing w:before="0" w:after="0" w:line="264" w:lineRule="auto"/>
              <w:jc w:val="left"/>
            </w:pPr>
            <w:r/>
            <w:r>
              <w:rPr>
                <w:rFonts w:ascii="Calibri" w:hAnsi="Calibri"/>
                <w:b w:val="0"/>
                <w:color w:val="000000"/>
                <w:sz w:val="19"/>
              </w:rPr>
              <w:t>Medium</w:t>
            </w:r>
          </w:p>
        </w:tc>
        <w:tc>
          <w:tcPr>
            <w:tcW w:type="dxa" w:w="5660"/>
            <w:vAlign w:val="center"/>
          </w:tcPr>
          <w:p>
            <w:pPr>
              <w:spacing w:before="0" w:after="0" w:line="264" w:lineRule="auto"/>
              <w:jc w:val="left"/>
            </w:pPr>
            <w:r/>
            <w:r>
              <w:rPr>
                <w:rFonts w:ascii="Calibri" w:hAnsi="Calibri"/>
                <w:b w:val="0"/>
                <w:color w:val="000000"/>
                <w:sz w:val="19"/>
              </w:rPr>
              <w:t>Show as watch-level insight. Avoid strong recommendation language.</w:t>
            </w:r>
          </w:p>
        </w:tc>
      </w:tr>
      <w:tr>
        <w:trPr>
          <w:cantSplit/>
        </w:trPr>
        <w:tc>
          <w:tcPr>
            <w:tcW w:type="dxa" w:w="1500"/>
            <w:vAlign w:val="center"/>
          </w:tcPr>
          <w:p>
            <w:pPr>
              <w:spacing w:before="0" w:after="0" w:line="264" w:lineRule="auto"/>
              <w:jc w:val="left"/>
            </w:pPr>
            <w:r/>
            <w:r>
              <w:rPr>
                <w:rFonts w:ascii="Calibri" w:hAnsi="Calibri"/>
                <w:b/>
                <w:color w:val="0B2545"/>
                <w:sz w:val="19"/>
              </w:rPr>
              <w:t>35-54</w:t>
            </w:r>
          </w:p>
        </w:tc>
        <w:tc>
          <w:tcPr>
            <w:tcW w:type="dxa" w:w="2200"/>
            <w:vAlign w:val="center"/>
          </w:tcPr>
          <w:p>
            <w:pPr>
              <w:spacing w:before="0" w:after="0" w:line="264" w:lineRule="auto"/>
              <w:jc w:val="left"/>
            </w:pPr>
            <w:r/>
            <w:r>
              <w:rPr>
                <w:rFonts w:ascii="Calibri" w:hAnsi="Calibri"/>
                <w:b w:val="0"/>
                <w:color w:val="000000"/>
                <w:sz w:val="19"/>
              </w:rPr>
              <w:t>Low</w:t>
            </w:r>
          </w:p>
        </w:tc>
        <w:tc>
          <w:tcPr>
            <w:tcW w:type="dxa" w:w="5660"/>
            <w:vAlign w:val="center"/>
          </w:tcPr>
          <w:p>
            <w:pPr>
              <w:spacing w:before="0" w:after="0" w:line="264" w:lineRule="auto"/>
              <w:jc w:val="left"/>
            </w:pPr>
            <w:r/>
            <w:r>
              <w:rPr>
                <w:rFonts w:ascii="Calibri" w:hAnsi="Calibri"/>
                <w:b w:val="0"/>
                <w:color w:val="000000"/>
                <w:sz w:val="19"/>
              </w:rPr>
              <w:t>Show only as weak context or investigation queue. Do not trigger recommendations.</w:t>
            </w:r>
          </w:p>
        </w:tc>
      </w:tr>
      <w:tr>
        <w:trPr>
          <w:cantSplit/>
        </w:trPr>
        <w:tc>
          <w:tcPr>
            <w:tcW w:type="dxa" w:w="1500"/>
            <w:vAlign w:val="center"/>
          </w:tcPr>
          <w:p>
            <w:pPr>
              <w:spacing w:before="0" w:after="0" w:line="264" w:lineRule="auto"/>
              <w:jc w:val="center"/>
            </w:pPr>
            <w:r/>
            <w:r>
              <w:rPr>
                <w:rFonts w:ascii="Calibri" w:hAnsi="Calibri"/>
                <w:b/>
                <w:color w:val="0B2545"/>
                <w:sz w:val="19"/>
              </w:rPr>
              <w:t>0-34</w:t>
            </w:r>
          </w:p>
        </w:tc>
        <w:tc>
          <w:tcPr>
            <w:tcW w:type="dxa" w:w="2200"/>
            <w:vAlign w:val="center"/>
          </w:tcPr>
          <w:p>
            <w:pPr>
              <w:spacing w:before="0" w:after="0" w:line="264" w:lineRule="auto"/>
              <w:jc w:val="left"/>
            </w:pPr>
            <w:r/>
            <w:r>
              <w:rPr>
                <w:rFonts w:ascii="Calibri" w:hAnsi="Calibri"/>
                <w:b w:val="0"/>
                <w:color w:val="000000"/>
                <w:sz w:val="19"/>
              </w:rPr>
              <w:t>Insufficient</w:t>
            </w:r>
          </w:p>
        </w:tc>
        <w:tc>
          <w:tcPr>
            <w:tcW w:type="dxa" w:w="5660"/>
            <w:vAlign w:val="center"/>
          </w:tcPr>
          <w:p>
            <w:pPr>
              <w:spacing w:before="0" w:after="0" w:line="264" w:lineRule="auto"/>
              <w:jc w:val="left"/>
            </w:pPr>
            <w:r/>
            <w:r>
              <w:rPr>
                <w:rFonts w:ascii="Calibri" w:hAnsi="Calibri"/>
                <w:b w:val="0"/>
                <w:color w:val="000000"/>
                <w:sz w:val="19"/>
              </w:rPr>
              <w:t>Display 'Insufficient evidence' and suppress recommendation output.</w:t>
            </w:r>
          </w:p>
        </w:tc>
      </w:tr>
    </w:tbl>
    <w:p>
      <w:pPr>
        <w:spacing w:after="40"/>
      </w:pPr>
    </w:p>
    <w:p>
      <w:r>
        <w:rPr>
          <w:rFonts w:ascii="Calibri" w:hAnsi="Calibri"/>
        </w:rPr>
        <w:t>Confidence should consider data freshness, source reliability, cross-source agreement, sample size, liquidity, price dispersion, duplicate risk, and whether the explanation depends on observable facts or speculative assumptions.</w:t>
      </w:r>
    </w:p>
    <w:p>
      <w:pPr>
        <w:pStyle w:val="Heading2"/>
      </w:pPr>
      <w:r>
        <w:t>2.7 Catalyst Engine</w:t>
      </w:r>
    </w:p>
    <w:p>
      <w:r>
        <w:rPr>
          <w:rFonts w:ascii="Calibri" w:hAnsi="Calibri"/>
        </w:rPr>
        <w:t>A catalyst is a market event that can plausibly affect future demand, supply, liquidity, or attention. Catalysts should be structured records, not free-form notes.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00"/>
        <w:gridCol w:w="3970"/>
        <w:gridCol w:w="3690"/>
      </w:tblGrid>
      <w:tr>
        <w:trPr>
          <w:tblHeader w:val="true"/>
          <w:cantSplit/>
        </w:trPr>
        <w:tc>
          <w:tcPr>
            <w:tcW w:type="dxa" w:w="1700"/>
            <w:shd w:fill="F2F4F7"/>
            <w:vAlign w:val="center"/>
          </w:tcPr>
          <w:p>
            <w:pPr>
              <w:spacing w:before="0" w:after="0" w:line="264" w:lineRule="auto"/>
              <w:jc w:val="center"/>
            </w:pPr>
            <w:r/>
            <w:r>
              <w:rPr>
                <w:rFonts w:ascii="Calibri" w:hAnsi="Calibri"/>
                <w:b/>
                <w:color w:val="0B2545"/>
                <w:sz w:val="20"/>
              </w:rPr>
              <w:t>Catalyst Type</w:t>
            </w:r>
          </w:p>
        </w:tc>
        <w:tc>
          <w:tcPr>
            <w:tcW w:type="dxa" w:w="3970"/>
            <w:shd w:fill="F2F4F7"/>
            <w:vAlign w:val="center"/>
          </w:tcPr>
          <w:p>
            <w:pPr>
              <w:spacing w:before="0" w:after="0" w:line="264" w:lineRule="auto"/>
              <w:jc w:val="center"/>
            </w:pPr>
            <w:r/>
            <w:r>
              <w:rPr>
                <w:rFonts w:ascii="Calibri" w:hAnsi="Calibri"/>
                <w:b/>
                <w:color w:val="0B2545"/>
                <w:sz w:val="20"/>
              </w:rPr>
              <w:t>Examples</w:t>
            </w:r>
          </w:p>
        </w:tc>
        <w:tc>
          <w:tcPr>
            <w:tcW w:type="dxa" w:w="3690"/>
            <w:shd w:fill="F2F4F7"/>
            <w:vAlign w:val="center"/>
          </w:tcPr>
          <w:p>
            <w:pPr>
              <w:spacing w:before="0" w:after="0" w:line="264" w:lineRule="auto"/>
              <w:jc w:val="center"/>
            </w:pPr>
            <w:r/>
            <w:r>
              <w:rPr>
                <w:rFonts w:ascii="Calibri" w:hAnsi="Calibri"/>
                <w:b/>
                <w:color w:val="0B2545"/>
                <w:sz w:val="20"/>
              </w:rPr>
              <w:t>Affected Dimensions</w:t>
            </w:r>
          </w:p>
        </w:tc>
      </w:tr>
      <w:tr>
        <w:trPr>
          <w:cantSplit/>
        </w:trPr>
        <w:tc>
          <w:tcPr>
            <w:tcW w:type="dxa" w:w="1700"/>
            <w:vAlign w:val="center"/>
          </w:tcPr>
          <w:p>
            <w:pPr>
              <w:spacing w:before="0" w:after="0" w:line="264" w:lineRule="auto"/>
              <w:jc w:val="left"/>
            </w:pPr>
            <w:r/>
            <w:r>
              <w:rPr>
                <w:rFonts w:ascii="Calibri" w:hAnsi="Calibri"/>
                <w:b/>
                <w:color w:val="0B2545"/>
                <w:sz w:val="19"/>
              </w:rPr>
              <w:t>Official</w:t>
            </w:r>
          </w:p>
        </w:tc>
        <w:tc>
          <w:tcPr>
            <w:tcW w:type="dxa" w:w="3970"/>
            <w:vAlign w:val="center"/>
          </w:tcPr>
          <w:p>
            <w:pPr>
              <w:spacing w:before="0" w:after="0" w:line="264" w:lineRule="auto"/>
              <w:jc w:val="left"/>
            </w:pPr>
            <w:r/>
            <w:r>
              <w:rPr>
                <w:rFonts w:ascii="Calibri" w:hAnsi="Calibri"/>
                <w:b w:val="0"/>
                <w:color w:val="000000"/>
                <w:sz w:val="19"/>
              </w:rPr>
              <w:t>New set announcement, anniversary product, price increase, reprint policy.</w:t>
            </w:r>
          </w:p>
        </w:tc>
        <w:tc>
          <w:tcPr>
            <w:tcW w:type="dxa" w:w="3690"/>
            <w:vAlign w:val="center"/>
          </w:tcPr>
          <w:p>
            <w:pPr>
              <w:spacing w:before="0" w:after="0" w:line="264" w:lineRule="auto"/>
              <w:jc w:val="left"/>
            </w:pPr>
            <w:r/>
            <w:r>
              <w:rPr>
                <w:rFonts w:ascii="Calibri" w:hAnsi="Calibri"/>
                <w:b w:val="0"/>
                <w:color w:val="000000"/>
                <w:sz w:val="19"/>
              </w:rPr>
              <w:t>Demand, supply, category attention.</w:t>
            </w:r>
          </w:p>
        </w:tc>
      </w:tr>
      <w:tr>
        <w:trPr>
          <w:cantSplit/>
        </w:trPr>
        <w:tc>
          <w:tcPr>
            <w:tcW w:type="dxa" w:w="1700"/>
            <w:vAlign w:val="center"/>
          </w:tcPr>
          <w:p>
            <w:pPr>
              <w:spacing w:before="0" w:after="0" w:line="264" w:lineRule="auto"/>
              <w:jc w:val="left"/>
            </w:pPr>
            <w:r/>
            <w:r>
              <w:rPr>
                <w:rFonts w:ascii="Calibri" w:hAnsi="Calibri"/>
                <w:b/>
                <w:color w:val="0B2545"/>
                <w:sz w:val="19"/>
              </w:rPr>
              <w:t>Grading</w:t>
            </w:r>
          </w:p>
        </w:tc>
        <w:tc>
          <w:tcPr>
            <w:tcW w:type="dxa" w:w="3970"/>
            <w:vAlign w:val="center"/>
          </w:tcPr>
          <w:p>
            <w:pPr>
              <w:spacing w:before="0" w:after="0" w:line="264" w:lineRule="auto"/>
              <w:jc w:val="left"/>
            </w:pPr>
            <w:r/>
            <w:r>
              <w:rPr>
                <w:rFonts w:ascii="Calibri" w:hAnsi="Calibri"/>
                <w:b w:val="0"/>
                <w:color w:val="000000"/>
                <w:sz w:val="19"/>
              </w:rPr>
              <w:t>PSA fee change, population update, grading special, policy change.</w:t>
            </w:r>
          </w:p>
        </w:tc>
        <w:tc>
          <w:tcPr>
            <w:tcW w:type="dxa" w:w="3690"/>
            <w:vAlign w:val="center"/>
          </w:tcPr>
          <w:p>
            <w:pPr>
              <w:spacing w:before="0" w:after="0" w:line="264" w:lineRule="auto"/>
              <w:jc w:val="left"/>
            </w:pPr>
            <w:r/>
            <w:r>
              <w:rPr>
                <w:rFonts w:ascii="Calibri" w:hAnsi="Calibri"/>
                <w:b w:val="0"/>
                <w:color w:val="000000"/>
                <w:sz w:val="19"/>
              </w:rPr>
              <w:t>Population, liquidity, graded supply.</w:t>
            </w:r>
          </w:p>
        </w:tc>
      </w:tr>
      <w:tr>
        <w:trPr>
          <w:cantSplit/>
        </w:trPr>
        <w:tc>
          <w:tcPr>
            <w:tcW w:type="dxa" w:w="1700"/>
            <w:vAlign w:val="center"/>
          </w:tcPr>
          <w:p>
            <w:pPr>
              <w:spacing w:before="0" w:after="0" w:line="264" w:lineRule="auto"/>
              <w:jc w:val="left"/>
            </w:pPr>
            <w:r/>
            <w:r>
              <w:rPr>
                <w:rFonts w:ascii="Calibri" w:hAnsi="Calibri"/>
                <w:b/>
                <w:color w:val="0B2545"/>
                <w:sz w:val="19"/>
              </w:rPr>
              <w:t>Event</w:t>
            </w:r>
          </w:p>
        </w:tc>
        <w:tc>
          <w:tcPr>
            <w:tcW w:type="dxa" w:w="3970"/>
            <w:vAlign w:val="center"/>
          </w:tcPr>
          <w:p>
            <w:pPr>
              <w:spacing w:before="0" w:after="0" w:line="264" w:lineRule="auto"/>
              <w:jc w:val="left"/>
            </w:pPr>
            <w:r/>
            <w:r>
              <w:rPr>
                <w:rFonts w:ascii="Calibri" w:hAnsi="Calibri"/>
                <w:b w:val="0"/>
                <w:color w:val="000000"/>
                <w:sz w:val="19"/>
              </w:rPr>
              <w:t>World Championship, tournament result, promotional distribution.</w:t>
            </w:r>
          </w:p>
        </w:tc>
        <w:tc>
          <w:tcPr>
            <w:tcW w:type="dxa" w:w="3690"/>
            <w:vAlign w:val="center"/>
          </w:tcPr>
          <w:p>
            <w:pPr>
              <w:spacing w:before="0" w:after="0" w:line="264" w:lineRule="auto"/>
              <w:jc w:val="left"/>
            </w:pPr>
            <w:r/>
            <w:r>
              <w:rPr>
                <w:rFonts w:ascii="Calibri" w:hAnsi="Calibri"/>
                <w:b w:val="0"/>
                <w:color w:val="000000"/>
                <w:sz w:val="19"/>
              </w:rPr>
              <w:t>Attention, demand, specific card relevance.</w:t>
            </w:r>
          </w:p>
        </w:tc>
      </w:tr>
      <w:tr>
        <w:trPr>
          <w:cantSplit/>
        </w:trPr>
        <w:tc>
          <w:tcPr>
            <w:tcW w:type="dxa" w:w="1700"/>
            <w:vAlign w:val="center"/>
          </w:tcPr>
          <w:p>
            <w:pPr>
              <w:spacing w:before="0" w:after="0" w:line="264" w:lineRule="auto"/>
              <w:jc w:val="left"/>
            </w:pPr>
            <w:r/>
            <w:r>
              <w:rPr>
                <w:rFonts w:ascii="Calibri" w:hAnsi="Calibri"/>
                <w:b/>
                <w:color w:val="0B2545"/>
                <w:sz w:val="19"/>
              </w:rPr>
              <w:t>Media</w:t>
            </w:r>
          </w:p>
        </w:tc>
        <w:tc>
          <w:tcPr>
            <w:tcW w:type="dxa" w:w="3970"/>
            <w:vAlign w:val="center"/>
          </w:tcPr>
          <w:p>
            <w:pPr>
              <w:spacing w:before="0" w:after="0" w:line="264" w:lineRule="auto"/>
              <w:jc w:val="left"/>
            </w:pPr>
            <w:r/>
            <w:r>
              <w:rPr>
                <w:rFonts w:ascii="Calibri" w:hAnsi="Calibri"/>
                <w:b w:val="0"/>
                <w:color w:val="000000"/>
                <w:sz w:val="19"/>
              </w:rPr>
              <w:t>Influencer video, livestream spike, major creator coverage.</w:t>
            </w:r>
          </w:p>
        </w:tc>
        <w:tc>
          <w:tcPr>
            <w:tcW w:type="dxa" w:w="3690"/>
            <w:vAlign w:val="center"/>
          </w:tcPr>
          <w:p>
            <w:pPr>
              <w:spacing w:before="0" w:after="0" w:line="264" w:lineRule="auto"/>
              <w:jc w:val="left"/>
            </w:pPr>
            <w:r/>
            <w:r>
              <w:rPr>
                <w:rFonts w:ascii="Calibri" w:hAnsi="Calibri"/>
                <w:b w:val="0"/>
                <w:color w:val="000000"/>
                <w:sz w:val="19"/>
              </w:rPr>
              <w:t>Attention, short-term liquidity, social volume.</w:t>
            </w:r>
          </w:p>
        </w:tc>
      </w:tr>
      <w:tr>
        <w:trPr>
          <w:cantSplit/>
        </w:trPr>
        <w:tc>
          <w:tcPr>
            <w:tcW w:type="dxa" w:w="1700"/>
            <w:vAlign w:val="center"/>
          </w:tcPr>
          <w:p>
            <w:pPr>
              <w:spacing w:before="0" w:after="0" w:line="264" w:lineRule="auto"/>
              <w:jc w:val="left"/>
            </w:pPr>
            <w:r/>
            <w:r>
              <w:rPr>
                <w:rFonts w:ascii="Calibri" w:hAnsi="Calibri"/>
                <w:b/>
                <w:color w:val="0B2545"/>
                <w:sz w:val="19"/>
              </w:rPr>
              <w:t>Market</w:t>
            </w:r>
          </w:p>
        </w:tc>
        <w:tc>
          <w:tcPr>
            <w:tcW w:type="dxa" w:w="3970"/>
            <w:vAlign w:val="center"/>
          </w:tcPr>
          <w:p>
            <w:pPr>
              <w:spacing w:before="0" w:after="0" w:line="264" w:lineRule="auto"/>
              <w:jc w:val="left"/>
            </w:pPr>
            <w:r/>
            <w:r>
              <w:rPr>
                <w:rFonts w:ascii="Calibri" w:hAnsi="Calibri"/>
                <w:b w:val="0"/>
                <w:color w:val="000000"/>
                <w:sz w:val="19"/>
              </w:rPr>
              <w:t>Large public sale, auction record, regional price gap.</w:t>
            </w:r>
          </w:p>
        </w:tc>
        <w:tc>
          <w:tcPr>
            <w:tcW w:type="dxa" w:w="3690"/>
            <w:vAlign w:val="center"/>
          </w:tcPr>
          <w:p>
            <w:pPr>
              <w:spacing w:before="0" w:after="0" w:line="264" w:lineRule="auto"/>
              <w:jc w:val="left"/>
            </w:pPr>
            <w:r/>
            <w:r>
              <w:rPr>
                <w:rFonts w:ascii="Calibri" w:hAnsi="Calibri"/>
                <w:b w:val="0"/>
                <w:color w:val="000000"/>
                <w:sz w:val="19"/>
              </w:rPr>
              <w:t>Comparable pricing, collector perception, confidence.</w:t>
            </w:r>
          </w:p>
        </w:tc>
      </w:tr>
    </w:tbl>
    <w:p>
      <w:pPr>
        <w:spacing w:after="40"/>
      </w:pPr>
    </w:p>
    <w:p>
      <w:r>
        <w:rPr>
          <w:rFonts w:ascii="Calibri" w:hAnsi="Calibri"/>
        </w:rPr>
        <w:t>Catalysts must include status, start date, estimated duration, affected assets, affected sets, affected categories, impact score, evidence references, and expiration logic.</w:t>
      </w:r>
    </w:p>
    <w:p>
      <w:pPr>
        <w:pStyle w:val="Heading2"/>
      </w:pPr>
      <w:r>
        <w:t>2.8 Signal Engine</w:t>
      </w:r>
    </w:p>
    <w:p>
      <w:r>
        <w:rPr>
          <w:rFonts w:ascii="Calibri" w:hAnsi="Calibri"/>
        </w:rPr>
        <w:t>Signals are machine-detected market conditions. They are not recommendations by themselves. A signal can feed a recommendation only after evidence, confidence, liquidity, and risk checks pass.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550"/>
        <w:gridCol w:w="4060"/>
        <w:gridCol w:w="3750"/>
      </w:tblGrid>
      <w:tr>
        <w:trPr>
          <w:tblHeader w:val="true"/>
          <w:cantSplit/>
        </w:trPr>
        <w:tc>
          <w:tcPr>
            <w:tcW w:type="dxa" w:w="1550"/>
            <w:shd w:fill="F2F4F7"/>
            <w:vAlign w:val="center"/>
          </w:tcPr>
          <w:p>
            <w:pPr>
              <w:spacing w:before="0" w:after="0" w:line="264" w:lineRule="auto"/>
              <w:jc w:val="center"/>
            </w:pPr>
            <w:r/>
            <w:r>
              <w:rPr>
                <w:rFonts w:ascii="Calibri" w:hAnsi="Calibri"/>
                <w:b/>
                <w:color w:val="0B2545"/>
                <w:sz w:val="20"/>
              </w:rPr>
              <w:t>Signal</w:t>
            </w:r>
          </w:p>
        </w:tc>
        <w:tc>
          <w:tcPr>
            <w:tcW w:type="dxa" w:w="4060"/>
            <w:shd w:fill="F2F4F7"/>
            <w:vAlign w:val="center"/>
          </w:tcPr>
          <w:p>
            <w:pPr>
              <w:spacing w:before="0" w:after="0" w:line="264" w:lineRule="auto"/>
              <w:jc w:val="center"/>
            </w:pPr>
            <w:r/>
            <w:r>
              <w:rPr>
                <w:rFonts w:ascii="Calibri" w:hAnsi="Calibri"/>
                <w:b/>
                <w:color w:val="0B2545"/>
                <w:sz w:val="20"/>
              </w:rPr>
              <w:t>Trigger Pattern</w:t>
            </w:r>
          </w:p>
        </w:tc>
        <w:tc>
          <w:tcPr>
            <w:tcW w:type="dxa" w:w="3750"/>
            <w:shd w:fill="F2F4F7"/>
            <w:vAlign w:val="center"/>
          </w:tcPr>
          <w:p>
            <w:pPr>
              <w:spacing w:before="0" w:after="0" w:line="264" w:lineRule="auto"/>
              <w:jc w:val="center"/>
            </w:pPr>
            <w:r/>
            <w:r>
              <w:rPr>
                <w:rFonts w:ascii="Calibri" w:hAnsi="Calibri"/>
                <w:b/>
                <w:color w:val="0B2545"/>
                <w:sz w:val="20"/>
              </w:rPr>
              <w:t>Guardrail</w:t>
            </w:r>
          </w:p>
        </w:tc>
      </w:tr>
      <w:tr>
        <w:trPr>
          <w:cantSplit/>
        </w:trPr>
        <w:tc>
          <w:tcPr>
            <w:tcW w:type="dxa" w:w="1550"/>
            <w:vAlign w:val="center"/>
          </w:tcPr>
          <w:p>
            <w:pPr>
              <w:spacing w:before="0" w:after="0" w:line="264" w:lineRule="auto"/>
              <w:jc w:val="left"/>
            </w:pPr>
            <w:r/>
            <w:r>
              <w:rPr>
                <w:rFonts w:ascii="Calibri" w:hAnsi="Calibri"/>
                <w:b/>
                <w:color w:val="0B2545"/>
                <w:sz w:val="19"/>
              </w:rPr>
              <w:t>Breakout</w:t>
            </w:r>
          </w:p>
        </w:tc>
        <w:tc>
          <w:tcPr>
            <w:tcW w:type="dxa" w:w="4060"/>
            <w:vAlign w:val="center"/>
          </w:tcPr>
          <w:p>
            <w:pPr>
              <w:spacing w:before="0" w:after="0" w:line="264" w:lineRule="auto"/>
              <w:jc w:val="left"/>
            </w:pPr>
            <w:r/>
            <w:r>
              <w:rPr>
                <w:rFonts w:ascii="Calibri" w:hAnsi="Calibri"/>
                <w:b w:val="0"/>
                <w:color w:val="000000"/>
                <w:sz w:val="19"/>
              </w:rPr>
              <w:t>Price breaks above recent range with volume support.</w:t>
            </w:r>
          </w:p>
        </w:tc>
        <w:tc>
          <w:tcPr>
            <w:tcW w:type="dxa" w:w="3750"/>
            <w:vAlign w:val="center"/>
          </w:tcPr>
          <w:p>
            <w:pPr>
              <w:spacing w:before="0" w:after="0" w:line="264" w:lineRule="auto"/>
              <w:jc w:val="left"/>
            </w:pPr>
            <w:r/>
            <w:r>
              <w:rPr>
                <w:rFonts w:ascii="Calibri" w:hAnsi="Calibri"/>
                <w:b w:val="0"/>
                <w:color w:val="000000"/>
                <w:sz w:val="19"/>
              </w:rPr>
              <w:t>Reject if sale count is too low or only one outlier sale exists.</w:t>
            </w:r>
          </w:p>
        </w:tc>
      </w:tr>
      <w:tr>
        <w:trPr>
          <w:cantSplit/>
        </w:trPr>
        <w:tc>
          <w:tcPr>
            <w:tcW w:type="dxa" w:w="1550"/>
            <w:vAlign w:val="center"/>
          </w:tcPr>
          <w:p>
            <w:pPr>
              <w:spacing w:before="0" w:after="0" w:line="264" w:lineRule="auto"/>
              <w:jc w:val="left"/>
            </w:pPr>
            <w:r/>
            <w:r>
              <w:rPr>
                <w:rFonts w:ascii="Calibri" w:hAnsi="Calibri"/>
                <w:b/>
                <w:color w:val="0B2545"/>
                <w:sz w:val="19"/>
              </w:rPr>
              <w:t>Fake Rally</w:t>
            </w:r>
          </w:p>
        </w:tc>
        <w:tc>
          <w:tcPr>
            <w:tcW w:type="dxa" w:w="4060"/>
            <w:vAlign w:val="center"/>
          </w:tcPr>
          <w:p>
            <w:pPr>
              <w:spacing w:before="0" w:after="0" w:line="264" w:lineRule="auto"/>
              <w:jc w:val="left"/>
            </w:pPr>
            <w:r/>
            <w:r>
              <w:rPr>
                <w:rFonts w:ascii="Calibri" w:hAnsi="Calibri"/>
                <w:b w:val="0"/>
                <w:color w:val="000000"/>
                <w:sz w:val="19"/>
              </w:rPr>
              <w:t>Price rises sharply while volume, liquidity, or cross-source confirmation is weak.</w:t>
            </w:r>
          </w:p>
        </w:tc>
        <w:tc>
          <w:tcPr>
            <w:tcW w:type="dxa" w:w="3750"/>
            <w:vAlign w:val="center"/>
          </w:tcPr>
          <w:p>
            <w:pPr>
              <w:spacing w:before="0" w:after="0" w:line="264" w:lineRule="auto"/>
              <w:jc w:val="left"/>
            </w:pPr>
            <w:r/>
            <w:r>
              <w:rPr>
                <w:rFonts w:ascii="Calibri" w:hAnsi="Calibri"/>
                <w:b w:val="0"/>
                <w:color w:val="000000"/>
                <w:sz w:val="19"/>
              </w:rPr>
              <w:t>Prefer risk language over opportunity language.</w:t>
            </w:r>
          </w:p>
        </w:tc>
      </w:tr>
      <w:tr>
        <w:trPr>
          <w:cantSplit/>
        </w:trPr>
        <w:tc>
          <w:tcPr>
            <w:tcW w:type="dxa" w:w="1550"/>
            <w:vAlign w:val="center"/>
          </w:tcPr>
          <w:p>
            <w:pPr>
              <w:spacing w:before="0" w:after="0" w:line="264" w:lineRule="auto"/>
              <w:jc w:val="left"/>
            </w:pPr>
            <w:r/>
            <w:r>
              <w:rPr>
                <w:rFonts w:ascii="Calibri" w:hAnsi="Calibri"/>
                <w:b/>
                <w:color w:val="0B2545"/>
                <w:sz w:val="19"/>
              </w:rPr>
              <w:t>Undervalued</w:t>
            </w:r>
          </w:p>
        </w:tc>
        <w:tc>
          <w:tcPr>
            <w:tcW w:type="dxa" w:w="4060"/>
            <w:vAlign w:val="center"/>
          </w:tcPr>
          <w:p>
            <w:pPr>
              <w:spacing w:before="0" w:after="0" w:line="264" w:lineRule="auto"/>
              <w:jc w:val="left"/>
            </w:pPr>
            <w:r/>
            <w:r>
              <w:rPr>
                <w:rFonts w:ascii="Calibri" w:hAnsi="Calibri"/>
                <w:b w:val="0"/>
                <w:color w:val="000000"/>
                <w:sz w:val="19"/>
              </w:rPr>
              <w:t>Asset trades below comparable assets after adjusting for grade, population, and liquidity.</w:t>
            </w:r>
          </w:p>
        </w:tc>
        <w:tc>
          <w:tcPr>
            <w:tcW w:type="dxa" w:w="3750"/>
            <w:vAlign w:val="center"/>
          </w:tcPr>
          <w:p>
            <w:pPr>
              <w:spacing w:before="0" w:after="0" w:line="264" w:lineRule="auto"/>
              <w:jc w:val="left"/>
            </w:pPr>
            <w:r/>
            <w:r>
              <w:rPr>
                <w:rFonts w:ascii="Calibri" w:hAnsi="Calibri"/>
                <w:b w:val="0"/>
                <w:color w:val="000000"/>
                <w:sz w:val="19"/>
              </w:rPr>
              <w:t>Require reliable comps and enough transaction history.</w:t>
            </w:r>
          </w:p>
        </w:tc>
      </w:tr>
      <w:tr>
        <w:trPr>
          <w:cantSplit/>
        </w:trPr>
        <w:tc>
          <w:tcPr>
            <w:tcW w:type="dxa" w:w="1550"/>
            <w:vAlign w:val="center"/>
          </w:tcPr>
          <w:p>
            <w:pPr>
              <w:spacing w:before="0" w:after="0" w:line="264" w:lineRule="auto"/>
              <w:jc w:val="left"/>
            </w:pPr>
            <w:r/>
            <w:r>
              <w:rPr>
                <w:rFonts w:ascii="Calibri" w:hAnsi="Calibri"/>
                <w:b/>
                <w:color w:val="0B2545"/>
                <w:sz w:val="19"/>
              </w:rPr>
              <w:t>Liquidity Drop</w:t>
            </w:r>
          </w:p>
        </w:tc>
        <w:tc>
          <w:tcPr>
            <w:tcW w:type="dxa" w:w="4060"/>
            <w:vAlign w:val="center"/>
          </w:tcPr>
          <w:p>
            <w:pPr>
              <w:spacing w:before="0" w:after="0" w:line="264" w:lineRule="auto"/>
              <w:jc w:val="left"/>
            </w:pPr>
            <w:r/>
            <w:r>
              <w:rPr>
                <w:rFonts w:ascii="Calibri" w:hAnsi="Calibri"/>
                <w:b w:val="0"/>
                <w:color w:val="000000"/>
                <w:sz w:val="19"/>
              </w:rPr>
              <w:t>Sale count, listing depth, or bid activity weakens materially.</w:t>
            </w:r>
          </w:p>
        </w:tc>
        <w:tc>
          <w:tcPr>
            <w:tcW w:type="dxa" w:w="3750"/>
            <w:vAlign w:val="center"/>
          </w:tcPr>
          <w:p>
            <w:pPr>
              <w:spacing w:before="0" w:after="0" w:line="264" w:lineRule="auto"/>
              <w:jc w:val="left"/>
            </w:pPr>
            <w:r/>
            <w:r>
              <w:rPr>
                <w:rFonts w:ascii="Calibri" w:hAnsi="Calibri"/>
                <w:b w:val="0"/>
                <w:color w:val="000000"/>
                <w:sz w:val="19"/>
              </w:rPr>
              <w:t>Do not frame as buy signal without separate demand evidence.</w:t>
            </w:r>
          </w:p>
        </w:tc>
      </w:tr>
      <w:tr>
        <w:trPr>
          <w:cantSplit/>
        </w:trPr>
        <w:tc>
          <w:tcPr>
            <w:tcW w:type="dxa" w:w="1550"/>
            <w:vAlign w:val="center"/>
          </w:tcPr>
          <w:p>
            <w:pPr>
              <w:spacing w:before="0" w:after="0" w:line="264" w:lineRule="auto"/>
              <w:jc w:val="left"/>
            </w:pPr>
            <w:r/>
            <w:r>
              <w:rPr>
                <w:rFonts w:ascii="Calibri" w:hAnsi="Calibri"/>
                <w:b/>
                <w:color w:val="0B2545"/>
                <w:sz w:val="19"/>
              </w:rPr>
              <w:t>Supply Risk</w:t>
            </w:r>
          </w:p>
        </w:tc>
        <w:tc>
          <w:tcPr>
            <w:tcW w:type="dxa" w:w="4060"/>
            <w:vAlign w:val="center"/>
          </w:tcPr>
          <w:p>
            <w:pPr>
              <w:spacing w:before="0" w:after="0" w:line="264" w:lineRule="auto"/>
              <w:jc w:val="left"/>
            </w:pPr>
            <w:r/>
            <w:r>
              <w:rPr>
                <w:rFonts w:ascii="Calibri" w:hAnsi="Calibri"/>
                <w:b w:val="0"/>
                <w:color w:val="000000"/>
                <w:sz w:val="19"/>
              </w:rPr>
              <w:t>Population or listing supply rises faster than demand.</w:t>
            </w:r>
          </w:p>
        </w:tc>
        <w:tc>
          <w:tcPr>
            <w:tcW w:type="dxa" w:w="3750"/>
            <w:vAlign w:val="center"/>
          </w:tcPr>
          <w:p>
            <w:pPr>
              <w:spacing w:before="0" w:after="0" w:line="264" w:lineRule="auto"/>
              <w:jc w:val="left"/>
            </w:pPr>
            <w:r/>
            <w:r>
              <w:rPr>
                <w:rFonts w:ascii="Calibri" w:hAnsi="Calibri"/>
                <w:b w:val="0"/>
                <w:color w:val="000000"/>
                <w:sz w:val="19"/>
              </w:rPr>
              <w:t>Tie explanation to observable supply deltas.</w:t>
            </w:r>
          </w:p>
        </w:tc>
      </w:tr>
      <w:tr>
        <w:trPr>
          <w:cantSplit/>
        </w:trPr>
        <w:tc>
          <w:tcPr>
            <w:tcW w:type="dxa" w:w="1550"/>
            <w:vAlign w:val="center"/>
          </w:tcPr>
          <w:p>
            <w:pPr>
              <w:spacing w:before="0" w:after="0" w:line="264" w:lineRule="auto"/>
              <w:jc w:val="left"/>
            </w:pPr>
            <w:r/>
            <w:r>
              <w:rPr>
                <w:rFonts w:ascii="Calibri" w:hAnsi="Calibri"/>
                <w:b/>
                <w:color w:val="0B2545"/>
                <w:sz w:val="19"/>
              </w:rPr>
              <w:t>Watch</w:t>
            </w:r>
          </w:p>
        </w:tc>
        <w:tc>
          <w:tcPr>
            <w:tcW w:type="dxa" w:w="4060"/>
            <w:vAlign w:val="center"/>
          </w:tcPr>
          <w:p>
            <w:pPr>
              <w:spacing w:before="0" w:after="0" w:line="264" w:lineRule="auto"/>
              <w:jc w:val="left"/>
            </w:pPr>
            <w:r/>
            <w:r>
              <w:rPr>
                <w:rFonts w:ascii="Calibri" w:hAnsi="Calibri"/>
                <w:b w:val="0"/>
                <w:color w:val="000000"/>
                <w:sz w:val="19"/>
              </w:rPr>
              <w:t>Early catalyst, attention, or price compression suggests monitoring.</w:t>
            </w:r>
          </w:p>
        </w:tc>
        <w:tc>
          <w:tcPr>
            <w:tcW w:type="dxa" w:w="3750"/>
            <w:vAlign w:val="center"/>
          </w:tcPr>
          <w:p>
            <w:pPr>
              <w:spacing w:before="0" w:after="0" w:line="264" w:lineRule="auto"/>
              <w:jc w:val="left"/>
            </w:pPr>
            <w:r/>
            <w:r>
              <w:rPr>
                <w:rFonts w:ascii="Calibri" w:hAnsi="Calibri"/>
                <w:b w:val="0"/>
                <w:color w:val="000000"/>
                <w:sz w:val="19"/>
              </w:rPr>
              <w:t>Use when evidence is promising but not strong enough for action.</w:t>
            </w:r>
          </w:p>
        </w:tc>
      </w:tr>
    </w:tbl>
    <w:p>
      <w:pPr>
        <w:spacing w:after="40"/>
      </w:pPr>
    </w:p>
    <w:p>
      <w:pPr>
        <w:pStyle w:val="Heading2"/>
      </w:pPr>
      <w:r>
        <w:t>2.9 AI Explanation Engine</w:t>
      </w:r>
    </w:p>
    <w:p>
      <w:r>
        <w:rPr>
          <w:rFonts w:ascii="Calibri" w:hAnsi="Calibri"/>
        </w:rPr>
        <w:t>The AI Explanation Engine should convert evidence bundles into clear market commentary. It should never invent reasons, cite unavailable data, or imply certainty that the evidence does not support.</w:t>
      </w:r>
    </w:p>
    <w:p>
      <w:pPr>
        <w:numPr>
          <w:ilvl w:val="0"/>
          <w:numId w:val="12"/>
        </w:numPr>
        <w:spacing w:after="40" w:line="280" w:lineRule="auto"/>
        <w:ind w:left="720" w:hanging="360"/>
      </w:pPr>
      <w:r>
        <w:rPr>
          <w:rFonts w:ascii="Calibri" w:hAnsi="Calibri"/>
          <w:sz w:val="22"/>
        </w:rPr>
        <w:t>Receive a validated evidence bundle and requested explanation type.</w:t>
      </w:r>
    </w:p>
    <w:p>
      <w:pPr>
        <w:numPr>
          <w:ilvl w:val="0"/>
          <w:numId w:val="12"/>
        </w:numPr>
        <w:spacing w:after="40" w:line="280" w:lineRule="auto"/>
        <w:ind w:left="720" w:hanging="360"/>
      </w:pPr>
      <w:r>
        <w:rPr>
          <w:rFonts w:ascii="Calibri" w:hAnsi="Calibri"/>
          <w:sz w:val="22"/>
        </w:rPr>
        <w:t>Check whether minimum evidence thresholds are met.</w:t>
      </w:r>
    </w:p>
    <w:p>
      <w:pPr>
        <w:numPr>
          <w:ilvl w:val="0"/>
          <w:numId w:val="12"/>
        </w:numPr>
        <w:spacing w:after="40" w:line="280" w:lineRule="auto"/>
        <w:ind w:left="720" w:hanging="360"/>
      </w:pPr>
      <w:r>
        <w:rPr>
          <w:rFonts w:ascii="Calibri" w:hAnsi="Calibri"/>
          <w:sz w:val="22"/>
        </w:rPr>
        <w:t>Generate a concise explanation that names the strongest observable drivers.</w:t>
      </w:r>
    </w:p>
    <w:p>
      <w:pPr>
        <w:numPr>
          <w:ilvl w:val="0"/>
          <w:numId w:val="12"/>
        </w:numPr>
        <w:spacing w:after="40" w:line="280" w:lineRule="auto"/>
        <w:ind w:left="720" w:hanging="360"/>
      </w:pPr>
      <w:r>
        <w:rPr>
          <w:rFonts w:ascii="Calibri" w:hAnsi="Calibri"/>
          <w:sz w:val="22"/>
        </w:rPr>
        <w:t>Attach confidence score, caveats, and missing-data notes.</w:t>
      </w:r>
    </w:p>
    <w:p>
      <w:pPr>
        <w:numPr>
          <w:ilvl w:val="0"/>
          <w:numId w:val="12"/>
        </w:numPr>
        <w:spacing w:after="40" w:line="280" w:lineRule="auto"/>
        <w:ind w:left="720" w:hanging="360"/>
      </w:pPr>
      <w:r>
        <w:rPr>
          <w:rFonts w:ascii="Calibri" w:hAnsi="Calibri"/>
          <w:sz w:val="22"/>
        </w:rPr>
        <w:t>Store the output, prompt version, model version, evidence references, and evaluation status.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AI rule: </w:t>
            </w:r>
            <w:r>
              <w:rPr>
                <w:rFonts w:ascii="Calibri" w:hAnsi="Calibri"/>
                <w:color w:val="0B2545"/>
                <w:sz w:val="21"/>
              </w:rPr>
              <w:t>If evidence is weak, the answer is 'Insufficient evidence.' A quiet refusal is better than a confident hallucination.</w:t>
            </w:r>
          </w:p>
        </w:tc>
      </w:tr>
    </w:tbl>
    <w:p>
      <w:pPr>
        <w:spacing w:after="40"/>
      </w:pPr>
    </w:p>
    <w:p>
      <w:pPr>
        <w:pStyle w:val="Heading2"/>
      </w:pPr>
      <w:r>
        <w:t>2.10 Market Index Model</w:t>
      </w:r>
    </w:p>
    <w:p>
      <w:r>
        <w:rPr>
          <w:rFonts w:ascii="Calibri" w:hAnsi="Calibri"/>
        </w:rPr>
        <w:t>Flashcard Planet should build proprietary indexes that make the collectibles market legible at a glance. Indexes should be explainable, versioned, and resistant to manipulation by outlier sales.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50"/>
        <w:gridCol w:w="3610"/>
        <w:gridCol w:w="3600"/>
      </w:tblGrid>
      <w:tr>
        <w:trPr>
          <w:tblHeader w:val="true"/>
          <w:cantSplit/>
        </w:trPr>
        <w:tc>
          <w:tcPr>
            <w:tcW w:type="dxa" w:w="2150"/>
            <w:shd w:fill="F2F4F7"/>
            <w:vAlign w:val="center"/>
          </w:tcPr>
          <w:p>
            <w:pPr>
              <w:spacing w:before="0" w:after="0" w:line="264" w:lineRule="auto"/>
              <w:jc w:val="center"/>
            </w:pPr>
            <w:r/>
            <w:r>
              <w:rPr>
                <w:rFonts w:ascii="Calibri" w:hAnsi="Calibri"/>
                <w:b/>
                <w:color w:val="0B2545"/>
                <w:sz w:val="20"/>
              </w:rPr>
              <w:t>Index</w:t>
            </w:r>
          </w:p>
        </w:tc>
        <w:tc>
          <w:tcPr>
            <w:tcW w:type="dxa" w:w="3610"/>
            <w:shd w:fill="F2F4F7"/>
            <w:vAlign w:val="center"/>
          </w:tcPr>
          <w:p>
            <w:pPr>
              <w:spacing w:before="0" w:after="0" w:line="264" w:lineRule="auto"/>
              <w:jc w:val="center"/>
            </w:pPr>
            <w:r/>
            <w:r>
              <w:rPr>
                <w:rFonts w:ascii="Calibri" w:hAnsi="Calibri"/>
                <w:b/>
                <w:color w:val="0B2545"/>
                <w:sz w:val="20"/>
              </w:rPr>
              <w:t>Scope</w:t>
            </w:r>
          </w:p>
        </w:tc>
        <w:tc>
          <w:tcPr>
            <w:tcW w:type="dxa" w:w="3600"/>
            <w:shd w:fill="F2F4F7"/>
            <w:vAlign w:val="center"/>
          </w:tcPr>
          <w:p>
            <w:pPr>
              <w:spacing w:before="0" w:after="0" w:line="264" w:lineRule="auto"/>
              <w:jc w:val="center"/>
            </w:pPr>
            <w:r/>
            <w:r>
              <w:rPr>
                <w:rFonts w:ascii="Calibri" w:hAnsi="Calibri"/>
                <w:b/>
                <w:color w:val="0B2545"/>
                <w:sz w:val="20"/>
              </w:rPr>
              <w:t>Purpose</w:t>
            </w:r>
          </w:p>
        </w:tc>
      </w:tr>
      <w:tr>
        <w:trPr>
          <w:cantSplit/>
        </w:trPr>
        <w:tc>
          <w:tcPr>
            <w:tcW w:type="dxa" w:w="2150"/>
            <w:vAlign w:val="center"/>
          </w:tcPr>
          <w:p>
            <w:pPr>
              <w:spacing w:before="0" w:after="0" w:line="264" w:lineRule="auto"/>
              <w:jc w:val="left"/>
            </w:pPr>
            <w:r/>
            <w:r>
              <w:rPr>
                <w:rFonts w:ascii="Calibri" w:hAnsi="Calibri"/>
                <w:b/>
                <w:color w:val="0B2545"/>
                <w:sz w:val="19"/>
              </w:rPr>
              <w:t>FP Pokemon 100</w:t>
            </w:r>
          </w:p>
        </w:tc>
        <w:tc>
          <w:tcPr>
            <w:tcW w:type="dxa" w:w="3610"/>
            <w:vAlign w:val="center"/>
          </w:tcPr>
          <w:p>
            <w:pPr>
              <w:spacing w:before="0" w:after="0" w:line="264" w:lineRule="auto"/>
              <w:jc w:val="left"/>
            </w:pPr>
            <w:r/>
            <w:r>
              <w:rPr>
                <w:rFonts w:ascii="Calibri" w:hAnsi="Calibri"/>
                <w:b w:val="0"/>
                <w:color w:val="000000"/>
                <w:sz w:val="19"/>
              </w:rPr>
              <w:t>Representative basket of high-liquidity Pokemon assets.</w:t>
            </w:r>
          </w:p>
        </w:tc>
        <w:tc>
          <w:tcPr>
            <w:tcW w:type="dxa" w:w="3600"/>
            <w:vAlign w:val="center"/>
          </w:tcPr>
          <w:p>
            <w:pPr>
              <w:spacing w:before="0" w:after="0" w:line="264" w:lineRule="auto"/>
              <w:jc w:val="left"/>
            </w:pPr>
            <w:r/>
            <w:r>
              <w:rPr>
                <w:rFonts w:ascii="Calibri" w:hAnsi="Calibri"/>
                <w:b w:val="0"/>
                <w:color w:val="000000"/>
                <w:sz w:val="19"/>
              </w:rPr>
              <w:t>Headline Pokemon market direction.</w:t>
            </w:r>
          </w:p>
        </w:tc>
      </w:tr>
      <w:tr>
        <w:trPr>
          <w:cantSplit/>
        </w:trPr>
        <w:tc>
          <w:tcPr>
            <w:tcW w:type="dxa" w:w="2150"/>
            <w:vAlign w:val="center"/>
          </w:tcPr>
          <w:p>
            <w:pPr>
              <w:spacing w:before="0" w:after="0" w:line="264" w:lineRule="auto"/>
              <w:jc w:val="left"/>
            </w:pPr>
            <w:r/>
            <w:r>
              <w:rPr>
                <w:rFonts w:ascii="Calibri" w:hAnsi="Calibri"/>
                <w:b/>
                <w:color w:val="0B2545"/>
                <w:sz w:val="19"/>
              </w:rPr>
              <w:t>FP Vintage Index</w:t>
            </w:r>
          </w:p>
        </w:tc>
        <w:tc>
          <w:tcPr>
            <w:tcW w:type="dxa" w:w="3610"/>
            <w:vAlign w:val="center"/>
          </w:tcPr>
          <w:p>
            <w:pPr>
              <w:spacing w:before="0" w:after="0" w:line="264" w:lineRule="auto"/>
              <w:jc w:val="left"/>
            </w:pPr>
            <w:r/>
            <w:r>
              <w:rPr>
                <w:rFonts w:ascii="Calibri" w:hAnsi="Calibri"/>
                <w:b w:val="0"/>
                <w:color w:val="000000"/>
                <w:sz w:val="19"/>
              </w:rPr>
              <w:t>Vintage cards across major categories and grades.</w:t>
            </w:r>
          </w:p>
        </w:tc>
        <w:tc>
          <w:tcPr>
            <w:tcW w:type="dxa" w:w="3600"/>
            <w:vAlign w:val="center"/>
          </w:tcPr>
          <w:p>
            <w:pPr>
              <w:spacing w:before="0" w:after="0" w:line="264" w:lineRule="auto"/>
              <w:jc w:val="left"/>
            </w:pPr>
            <w:r/>
            <w:r>
              <w:rPr>
                <w:rFonts w:ascii="Calibri" w:hAnsi="Calibri"/>
                <w:b w:val="0"/>
                <w:color w:val="000000"/>
                <w:sz w:val="19"/>
              </w:rPr>
              <w:t>Track mature collectible demand.</w:t>
            </w:r>
          </w:p>
        </w:tc>
      </w:tr>
      <w:tr>
        <w:trPr>
          <w:cantSplit/>
        </w:trPr>
        <w:tc>
          <w:tcPr>
            <w:tcW w:type="dxa" w:w="2150"/>
            <w:vAlign w:val="center"/>
          </w:tcPr>
          <w:p>
            <w:pPr>
              <w:spacing w:before="0" w:after="0" w:line="264" w:lineRule="auto"/>
              <w:jc w:val="left"/>
            </w:pPr>
            <w:r/>
            <w:r>
              <w:rPr>
                <w:rFonts w:ascii="Calibri" w:hAnsi="Calibri"/>
                <w:b/>
                <w:color w:val="0B2545"/>
                <w:sz w:val="19"/>
              </w:rPr>
              <w:t>FP Japanese Index</w:t>
            </w:r>
          </w:p>
        </w:tc>
        <w:tc>
          <w:tcPr>
            <w:tcW w:type="dxa" w:w="3610"/>
            <w:vAlign w:val="center"/>
          </w:tcPr>
          <w:p>
            <w:pPr>
              <w:spacing w:before="0" w:after="0" w:line="264" w:lineRule="auto"/>
              <w:jc w:val="left"/>
            </w:pPr>
            <w:r/>
            <w:r>
              <w:rPr>
                <w:rFonts w:ascii="Calibri" w:hAnsi="Calibri"/>
                <w:b w:val="0"/>
                <w:color w:val="000000"/>
                <w:sz w:val="19"/>
              </w:rPr>
              <w:t>Japanese-language cards and products.</w:t>
            </w:r>
          </w:p>
        </w:tc>
        <w:tc>
          <w:tcPr>
            <w:tcW w:type="dxa" w:w="3600"/>
            <w:vAlign w:val="center"/>
          </w:tcPr>
          <w:p>
            <w:pPr>
              <w:spacing w:before="0" w:after="0" w:line="264" w:lineRule="auto"/>
              <w:jc w:val="left"/>
            </w:pPr>
            <w:r/>
            <w:r>
              <w:rPr>
                <w:rFonts w:ascii="Calibri" w:hAnsi="Calibri"/>
                <w:b w:val="0"/>
                <w:color w:val="000000"/>
                <w:sz w:val="19"/>
              </w:rPr>
              <w:t>Regional/language market signal.</w:t>
            </w:r>
          </w:p>
        </w:tc>
      </w:tr>
      <w:tr>
        <w:trPr>
          <w:cantSplit/>
        </w:trPr>
        <w:tc>
          <w:tcPr>
            <w:tcW w:type="dxa" w:w="2150"/>
            <w:vAlign w:val="center"/>
          </w:tcPr>
          <w:p>
            <w:pPr>
              <w:spacing w:before="0" w:after="0" w:line="264" w:lineRule="auto"/>
              <w:jc w:val="left"/>
            </w:pPr>
            <w:r/>
            <w:r>
              <w:rPr>
                <w:rFonts w:ascii="Calibri" w:hAnsi="Calibri"/>
                <w:b/>
                <w:color w:val="0B2545"/>
                <w:sz w:val="19"/>
              </w:rPr>
              <w:t>FP PSA10 Index</w:t>
            </w:r>
          </w:p>
        </w:tc>
        <w:tc>
          <w:tcPr>
            <w:tcW w:type="dxa" w:w="3610"/>
            <w:vAlign w:val="center"/>
          </w:tcPr>
          <w:p>
            <w:pPr>
              <w:spacing w:before="0" w:after="0" w:line="264" w:lineRule="auto"/>
              <w:jc w:val="left"/>
            </w:pPr>
            <w:r/>
            <w:r>
              <w:rPr>
                <w:rFonts w:ascii="Calibri" w:hAnsi="Calibri"/>
                <w:b w:val="0"/>
                <w:color w:val="000000"/>
                <w:sz w:val="19"/>
              </w:rPr>
              <w:t>Graded PSA10 assets with enough liquidity.</w:t>
            </w:r>
          </w:p>
        </w:tc>
        <w:tc>
          <w:tcPr>
            <w:tcW w:type="dxa" w:w="3600"/>
            <w:vAlign w:val="center"/>
          </w:tcPr>
          <w:p>
            <w:pPr>
              <w:spacing w:before="0" w:after="0" w:line="264" w:lineRule="auto"/>
              <w:jc w:val="left"/>
            </w:pPr>
            <w:r/>
            <w:r>
              <w:rPr>
                <w:rFonts w:ascii="Calibri" w:hAnsi="Calibri"/>
                <w:b w:val="0"/>
                <w:color w:val="000000"/>
                <w:sz w:val="19"/>
              </w:rPr>
              <w:t>Premium graded-market health.</w:t>
            </w:r>
          </w:p>
        </w:tc>
      </w:tr>
      <w:tr>
        <w:trPr>
          <w:cantSplit/>
        </w:trPr>
        <w:tc>
          <w:tcPr>
            <w:tcW w:type="dxa" w:w="2150"/>
            <w:vAlign w:val="center"/>
          </w:tcPr>
          <w:p>
            <w:pPr>
              <w:spacing w:before="0" w:after="0" w:line="264" w:lineRule="auto"/>
              <w:jc w:val="left"/>
            </w:pPr>
            <w:r/>
            <w:r>
              <w:rPr>
                <w:rFonts w:ascii="Calibri" w:hAnsi="Calibri"/>
                <w:b/>
                <w:color w:val="0B2545"/>
                <w:sz w:val="19"/>
              </w:rPr>
              <w:t>FP Sealed Index</w:t>
            </w:r>
          </w:p>
        </w:tc>
        <w:tc>
          <w:tcPr>
            <w:tcW w:type="dxa" w:w="3610"/>
            <w:vAlign w:val="center"/>
          </w:tcPr>
          <w:p>
            <w:pPr>
              <w:spacing w:before="0" w:after="0" w:line="264" w:lineRule="auto"/>
              <w:jc w:val="left"/>
            </w:pPr>
            <w:r/>
            <w:r>
              <w:rPr>
                <w:rFonts w:ascii="Calibri" w:hAnsi="Calibri"/>
                <w:b w:val="0"/>
                <w:color w:val="000000"/>
                <w:sz w:val="19"/>
              </w:rPr>
              <w:t>Sealed products across eligible categories.</w:t>
            </w:r>
          </w:p>
        </w:tc>
        <w:tc>
          <w:tcPr>
            <w:tcW w:type="dxa" w:w="3600"/>
            <w:vAlign w:val="center"/>
          </w:tcPr>
          <w:p>
            <w:pPr>
              <w:spacing w:before="0" w:after="0" w:line="264" w:lineRule="auto"/>
              <w:jc w:val="left"/>
            </w:pPr>
            <w:r/>
            <w:r>
              <w:rPr>
                <w:rFonts w:ascii="Calibri" w:hAnsi="Calibri"/>
                <w:b w:val="0"/>
                <w:color w:val="000000"/>
                <w:sz w:val="19"/>
              </w:rPr>
              <w:t>Track sealed-product performance.</w:t>
            </w:r>
          </w:p>
        </w:tc>
      </w:tr>
      <w:tr>
        <w:trPr>
          <w:cantSplit/>
        </w:trPr>
        <w:tc>
          <w:tcPr>
            <w:tcW w:type="dxa" w:w="2150"/>
            <w:vAlign w:val="center"/>
          </w:tcPr>
          <w:p>
            <w:pPr>
              <w:spacing w:before="0" w:after="0" w:line="264" w:lineRule="auto"/>
              <w:jc w:val="left"/>
            </w:pPr>
            <w:r/>
            <w:r>
              <w:rPr>
                <w:rFonts w:ascii="Calibri" w:hAnsi="Calibri"/>
                <w:b/>
                <w:color w:val="0B2545"/>
                <w:sz w:val="19"/>
              </w:rPr>
              <w:t>FP Sports Index</w:t>
            </w:r>
          </w:p>
        </w:tc>
        <w:tc>
          <w:tcPr>
            <w:tcW w:type="dxa" w:w="3610"/>
            <w:vAlign w:val="center"/>
          </w:tcPr>
          <w:p>
            <w:pPr>
              <w:spacing w:before="0" w:after="0" w:line="264" w:lineRule="auto"/>
              <w:jc w:val="left"/>
            </w:pPr>
            <w:r/>
            <w:r>
              <w:rPr>
                <w:rFonts w:ascii="Calibri" w:hAnsi="Calibri"/>
                <w:b w:val="0"/>
                <w:color w:val="000000"/>
                <w:sz w:val="19"/>
              </w:rPr>
              <w:t>Sports-card basket across NBA, soccer, MLB, and future categories.</w:t>
            </w:r>
          </w:p>
        </w:tc>
        <w:tc>
          <w:tcPr>
            <w:tcW w:type="dxa" w:w="3600"/>
            <w:vAlign w:val="center"/>
          </w:tcPr>
          <w:p>
            <w:pPr>
              <w:spacing w:before="0" w:after="0" w:line="264" w:lineRule="auto"/>
              <w:jc w:val="left"/>
            </w:pPr>
            <w:r/>
            <w:r>
              <w:rPr>
                <w:rFonts w:ascii="Calibri" w:hAnsi="Calibri"/>
                <w:b w:val="0"/>
                <w:color w:val="000000"/>
                <w:sz w:val="19"/>
              </w:rPr>
              <w:t>Cross-category expansion path.</w:t>
            </w:r>
          </w:p>
        </w:tc>
      </w:tr>
    </w:tbl>
    <w:p>
      <w:pPr>
        <w:spacing w:after="40"/>
      </w:pPr>
    </w:p>
    <w:p>
      <w:r>
        <w:rPr>
          <w:rFonts w:ascii="Calibri" w:hAnsi="Calibri"/>
        </w:rPr>
        <w:t>Index methodology should define inclusion criteria, weighting, rebalancing cadence, stale-price handling, outlier filtering, and public methodology notes.</w:t>
      </w:r>
    </w:p>
    <w:p>
      <w:pPr>
        <w:pStyle w:val="Heading2"/>
      </w:pPr>
      <w:r>
        <w:t>2.11 Daily Intelligence Pipeline</w:t>
      </w:r>
    </w:p>
    <w:p>
      <w:r>
        <w:rPr>
          <w:rFonts w:ascii="Calibri" w:hAnsi="Calibri"/>
        </w:rPr>
        <w:t>The Daily Intelligence Pipeline is the automatic workflow that turns the previous day's observations into the homepage, Daily Market Report, alerts, and portfolio summaries.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00"/>
        <w:gridCol w:w="4080"/>
        <w:gridCol w:w="4380"/>
      </w:tblGrid>
      <w:tr>
        <w:trPr>
          <w:tblHeader w:val="true"/>
          <w:cantSplit/>
        </w:trPr>
        <w:tc>
          <w:tcPr>
            <w:tcW w:type="dxa" w:w="900"/>
            <w:shd w:fill="F2F4F7"/>
            <w:vAlign w:val="center"/>
          </w:tcPr>
          <w:p>
            <w:pPr>
              <w:spacing w:before="0" w:after="0" w:line="264" w:lineRule="auto"/>
              <w:jc w:val="center"/>
            </w:pPr>
            <w:r/>
            <w:r>
              <w:rPr>
                <w:rFonts w:ascii="Calibri" w:hAnsi="Calibri"/>
                <w:b/>
                <w:color w:val="0B2545"/>
                <w:sz w:val="20"/>
              </w:rPr>
              <w:t>Stage</w:t>
            </w:r>
          </w:p>
        </w:tc>
        <w:tc>
          <w:tcPr>
            <w:tcW w:type="dxa" w:w="4080"/>
            <w:shd w:fill="F2F4F7"/>
            <w:vAlign w:val="center"/>
          </w:tcPr>
          <w:p>
            <w:pPr>
              <w:spacing w:before="0" w:after="0" w:line="264" w:lineRule="auto"/>
              <w:jc w:val="center"/>
            </w:pPr>
            <w:r/>
            <w:r>
              <w:rPr>
                <w:rFonts w:ascii="Calibri" w:hAnsi="Calibri"/>
                <w:b/>
                <w:color w:val="0B2545"/>
                <w:sz w:val="20"/>
              </w:rPr>
              <w:t>Job</w:t>
            </w:r>
          </w:p>
        </w:tc>
        <w:tc>
          <w:tcPr>
            <w:tcW w:type="dxa" w:w="4380"/>
            <w:shd w:fill="F2F4F7"/>
            <w:vAlign w:val="center"/>
          </w:tcPr>
          <w:p>
            <w:pPr>
              <w:spacing w:before="0" w:after="0" w:line="264" w:lineRule="auto"/>
              <w:jc w:val="center"/>
            </w:pPr>
            <w:r/>
            <w:r>
              <w:rPr>
                <w:rFonts w:ascii="Calibri" w:hAnsi="Calibri"/>
                <w:b/>
                <w:color w:val="0B2545"/>
                <w:sz w:val="20"/>
              </w:rPr>
              <w:t>Output</w:t>
            </w:r>
          </w:p>
        </w:tc>
      </w:tr>
      <w:tr>
        <w:trPr>
          <w:cantSplit/>
        </w:trPr>
        <w:tc>
          <w:tcPr>
            <w:tcW w:type="dxa" w:w="900"/>
            <w:vAlign w:val="center"/>
          </w:tcPr>
          <w:p>
            <w:pPr>
              <w:spacing w:before="0" w:after="0" w:line="264" w:lineRule="auto"/>
              <w:jc w:val="center"/>
            </w:pPr>
            <w:r/>
            <w:r>
              <w:rPr>
                <w:rFonts w:ascii="Calibri" w:hAnsi="Calibri"/>
                <w:b/>
                <w:color w:val="0B2545"/>
                <w:sz w:val="19"/>
              </w:rPr>
              <w:t>1</w:t>
            </w:r>
          </w:p>
        </w:tc>
        <w:tc>
          <w:tcPr>
            <w:tcW w:type="dxa" w:w="4080"/>
            <w:vAlign w:val="center"/>
          </w:tcPr>
          <w:p>
            <w:pPr>
              <w:spacing w:before="0" w:after="0" w:line="264" w:lineRule="auto"/>
              <w:jc w:val="left"/>
            </w:pPr>
            <w:r/>
            <w:r>
              <w:rPr>
                <w:rFonts w:ascii="Calibri" w:hAnsi="Calibri"/>
                <w:b w:val="0"/>
                <w:color w:val="000000"/>
                <w:sz w:val="19"/>
              </w:rPr>
              <w:t>Ingest new provider observations.</w:t>
            </w:r>
          </w:p>
        </w:tc>
        <w:tc>
          <w:tcPr>
            <w:tcW w:type="dxa" w:w="4380"/>
            <w:vAlign w:val="center"/>
          </w:tcPr>
          <w:p>
            <w:pPr>
              <w:spacing w:before="0" w:after="0" w:line="264" w:lineRule="auto"/>
              <w:jc w:val="left"/>
            </w:pPr>
            <w:r/>
            <w:r>
              <w:rPr>
                <w:rFonts w:ascii="Calibri" w:hAnsi="Calibri"/>
                <w:b w:val="0"/>
                <w:color w:val="000000"/>
                <w:sz w:val="19"/>
              </w:rPr>
              <w:t>Raw and normalized observation records.</w:t>
            </w:r>
          </w:p>
        </w:tc>
      </w:tr>
      <w:tr>
        <w:trPr>
          <w:cantSplit/>
        </w:trPr>
        <w:tc>
          <w:tcPr>
            <w:tcW w:type="dxa" w:w="900"/>
            <w:vAlign w:val="center"/>
          </w:tcPr>
          <w:p>
            <w:pPr>
              <w:spacing w:before="0" w:after="0" w:line="264" w:lineRule="auto"/>
              <w:jc w:val="center"/>
            </w:pPr>
            <w:r/>
            <w:r>
              <w:rPr>
                <w:rFonts w:ascii="Calibri" w:hAnsi="Calibri"/>
                <w:b/>
                <w:color w:val="0B2545"/>
                <w:sz w:val="19"/>
              </w:rPr>
              <w:t>2</w:t>
            </w:r>
          </w:p>
        </w:tc>
        <w:tc>
          <w:tcPr>
            <w:tcW w:type="dxa" w:w="4080"/>
            <w:vAlign w:val="center"/>
          </w:tcPr>
          <w:p>
            <w:pPr>
              <w:spacing w:before="0" w:after="0" w:line="264" w:lineRule="auto"/>
              <w:jc w:val="left"/>
            </w:pPr>
            <w:r/>
            <w:r>
              <w:rPr>
                <w:rFonts w:ascii="Calibri" w:hAnsi="Calibri"/>
                <w:b w:val="0"/>
                <w:color w:val="000000"/>
                <w:sz w:val="19"/>
              </w:rPr>
              <w:t>Validate and deduplicate observations.</w:t>
            </w:r>
          </w:p>
        </w:tc>
        <w:tc>
          <w:tcPr>
            <w:tcW w:type="dxa" w:w="4380"/>
            <w:vAlign w:val="center"/>
          </w:tcPr>
          <w:p>
            <w:pPr>
              <w:spacing w:before="0" w:after="0" w:line="264" w:lineRule="auto"/>
              <w:jc w:val="left"/>
            </w:pPr>
            <w:r/>
            <w:r>
              <w:rPr>
                <w:rFonts w:ascii="Calibri" w:hAnsi="Calibri"/>
                <w:b w:val="0"/>
                <w:color w:val="000000"/>
                <w:sz w:val="19"/>
              </w:rPr>
              <w:t>Clean evidence stream with confidence scores.</w:t>
            </w:r>
          </w:p>
        </w:tc>
      </w:tr>
      <w:tr>
        <w:trPr>
          <w:cantSplit/>
        </w:trPr>
        <w:tc>
          <w:tcPr>
            <w:tcW w:type="dxa" w:w="900"/>
            <w:vAlign w:val="center"/>
          </w:tcPr>
          <w:p>
            <w:pPr>
              <w:spacing w:before="0" w:after="0" w:line="264" w:lineRule="auto"/>
              <w:jc w:val="center"/>
            </w:pPr>
            <w:r/>
            <w:r>
              <w:rPr>
                <w:rFonts w:ascii="Calibri" w:hAnsi="Calibri"/>
                <w:b/>
                <w:color w:val="0B2545"/>
                <w:sz w:val="19"/>
              </w:rPr>
              <w:t>3</w:t>
            </w:r>
          </w:p>
        </w:tc>
        <w:tc>
          <w:tcPr>
            <w:tcW w:type="dxa" w:w="4080"/>
            <w:vAlign w:val="center"/>
          </w:tcPr>
          <w:p>
            <w:pPr>
              <w:spacing w:before="0" w:after="0" w:line="264" w:lineRule="auto"/>
              <w:jc w:val="left"/>
            </w:pPr>
            <w:r/>
            <w:r>
              <w:rPr>
                <w:rFonts w:ascii="Calibri" w:hAnsi="Calibri"/>
                <w:b w:val="0"/>
                <w:color w:val="000000"/>
                <w:sz w:val="19"/>
              </w:rPr>
              <w:t>Calculate market metrics and indexes.</w:t>
            </w:r>
          </w:p>
        </w:tc>
        <w:tc>
          <w:tcPr>
            <w:tcW w:type="dxa" w:w="4380"/>
            <w:vAlign w:val="center"/>
          </w:tcPr>
          <w:p>
            <w:pPr>
              <w:spacing w:before="0" w:after="0" w:line="264" w:lineRule="auto"/>
              <w:jc w:val="left"/>
            </w:pPr>
            <w:r/>
            <w:r>
              <w:rPr>
                <w:rFonts w:ascii="Calibri" w:hAnsi="Calibri"/>
                <w:b w:val="0"/>
                <w:color w:val="000000"/>
                <w:sz w:val="19"/>
              </w:rPr>
              <w:t>Movers, liquidity, market sentiment, category performance.</w:t>
            </w:r>
          </w:p>
        </w:tc>
      </w:tr>
      <w:tr>
        <w:trPr>
          <w:cantSplit/>
        </w:trPr>
        <w:tc>
          <w:tcPr>
            <w:tcW w:type="dxa" w:w="900"/>
            <w:vAlign w:val="center"/>
          </w:tcPr>
          <w:p>
            <w:pPr>
              <w:spacing w:before="0" w:after="0" w:line="264" w:lineRule="auto"/>
              <w:jc w:val="center"/>
            </w:pPr>
            <w:r/>
            <w:r>
              <w:rPr>
                <w:rFonts w:ascii="Calibri" w:hAnsi="Calibri"/>
                <w:b/>
                <w:color w:val="0B2545"/>
                <w:sz w:val="19"/>
              </w:rPr>
              <w:t>4</w:t>
            </w:r>
          </w:p>
        </w:tc>
        <w:tc>
          <w:tcPr>
            <w:tcW w:type="dxa" w:w="4080"/>
            <w:vAlign w:val="center"/>
          </w:tcPr>
          <w:p>
            <w:pPr>
              <w:spacing w:before="0" w:after="0" w:line="264" w:lineRule="auto"/>
              <w:jc w:val="left"/>
            </w:pPr>
            <w:r/>
            <w:r>
              <w:rPr>
                <w:rFonts w:ascii="Calibri" w:hAnsi="Calibri"/>
                <w:b w:val="0"/>
                <w:color w:val="000000"/>
                <w:sz w:val="19"/>
              </w:rPr>
              <w:t>Detect catalysts and signals.</w:t>
            </w:r>
          </w:p>
        </w:tc>
        <w:tc>
          <w:tcPr>
            <w:tcW w:type="dxa" w:w="4380"/>
            <w:vAlign w:val="center"/>
          </w:tcPr>
          <w:p>
            <w:pPr>
              <w:spacing w:before="0" w:after="0" w:line="264" w:lineRule="auto"/>
              <w:jc w:val="left"/>
            </w:pPr>
            <w:r/>
            <w:r>
              <w:rPr>
                <w:rFonts w:ascii="Calibri" w:hAnsi="Calibri"/>
                <w:b w:val="0"/>
                <w:color w:val="000000"/>
                <w:sz w:val="19"/>
              </w:rPr>
              <w:t>Signal records with evidence bundles and risk flags.</w:t>
            </w:r>
          </w:p>
        </w:tc>
      </w:tr>
      <w:tr>
        <w:trPr>
          <w:cantSplit/>
        </w:trPr>
        <w:tc>
          <w:tcPr>
            <w:tcW w:type="dxa" w:w="900"/>
            <w:vAlign w:val="center"/>
          </w:tcPr>
          <w:p>
            <w:pPr>
              <w:spacing w:before="0" w:after="0" w:line="264" w:lineRule="auto"/>
              <w:jc w:val="center"/>
            </w:pPr>
            <w:r/>
            <w:r>
              <w:rPr>
                <w:rFonts w:ascii="Calibri" w:hAnsi="Calibri"/>
                <w:b/>
                <w:color w:val="0B2545"/>
                <w:sz w:val="19"/>
              </w:rPr>
              <w:t>5</w:t>
            </w:r>
          </w:p>
        </w:tc>
        <w:tc>
          <w:tcPr>
            <w:tcW w:type="dxa" w:w="4080"/>
            <w:vAlign w:val="center"/>
          </w:tcPr>
          <w:p>
            <w:pPr>
              <w:spacing w:before="0" w:after="0" w:line="264" w:lineRule="auto"/>
              <w:jc w:val="left"/>
            </w:pPr>
            <w:r/>
            <w:r>
              <w:rPr>
                <w:rFonts w:ascii="Calibri" w:hAnsi="Calibri"/>
                <w:b w:val="0"/>
                <w:color w:val="000000"/>
                <w:sz w:val="19"/>
              </w:rPr>
              <w:t>Generate AI explanations.</w:t>
            </w:r>
          </w:p>
        </w:tc>
        <w:tc>
          <w:tcPr>
            <w:tcW w:type="dxa" w:w="4380"/>
            <w:vAlign w:val="center"/>
          </w:tcPr>
          <w:p>
            <w:pPr>
              <w:spacing w:before="0" w:after="0" w:line="264" w:lineRule="auto"/>
              <w:jc w:val="left"/>
            </w:pPr>
            <w:r/>
            <w:r>
              <w:rPr>
                <w:rFonts w:ascii="Calibri" w:hAnsi="Calibri"/>
                <w:b w:val="0"/>
                <w:color w:val="000000"/>
                <w:sz w:val="19"/>
              </w:rPr>
              <w:t>Market commentary, why-did-it-move summaries, report sections.</w:t>
            </w:r>
          </w:p>
        </w:tc>
      </w:tr>
      <w:tr>
        <w:trPr>
          <w:cantSplit/>
        </w:trPr>
        <w:tc>
          <w:tcPr>
            <w:tcW w:type="dxa" w:w="900"/>
            <w:vAlign w:val="center"/>
          </w:tcPr>
          <w:p>
            <w:pPr>
              <w:spacing w:before="0" w:after="0" w:line="264" w:lineRule="auto"/>
              <w:jc w:val="center"/>
            </w:pPr>
            <w:r/>
            <w:r>
              <w:rPr>
                <w:rFonts w:ascii="Calibri" w:hAnsi="Calibri"/>
                <w:b/>
                <w:color w:val="0B2545"/>
                <w:sz w:val="19"/>
              </w:rPr>
              <w:t>6</w:t>
            </w:r>
          </w:p>
        </w:tc>
        <w:tc>
          <w:tcPr>
            <w:tcW w:type="dxa" w:w="4080"/>
            <w:vAlign w:val="center"/>
          </w:tcPr>
          <w:p>
            <w:pPr>
              <w:spacing w:before="0" w:after="0" w:line="264" w:lineRule="auto"/>
              <w:jc w:val="left"/>
            </w:pPr>
            <w:r/>
            <w:r>
              <w:rPr>
                <w:rFonts w:ascii="Calibri" w:hAnsi="Calibri"/>
                <w:b w:val="0"/>
                <w:color w:val="000000"/>
                <w:sz w:val="19"/>
              </w:rPr>
              <w:t>Assemble distribution surfaces.</w:t>
            </w:r>
          </w:p>
        </w:tc>
        <w:tc>
          <w:tcPr>
            <w:tcW w:type="dxa" w:w="4380"/>
            <w:vAlign w:val="center"/>
          </w:tcPr>
          <w:p>
            <w:pPr>
              <w:spacing w:before="0" w:after="0" w:line="264" w:lineRule="auto"/>
              <w:jc w:val="left"/>
            </w:pPr>
            <w:r/>
            <w:r>
              <w:rPr>
                <w:rFonts w:ascii="Calibri" w:hAnsi="Calibri"/>
                <w:b w:val="0"/>
                <w:color w:val="000000"/>
                <w:sz w:val="19"/>
              </w:rPr>
              <w:t>Website dashboard, email, Discord, push notification, PDF export.</w:t>
            </w:r>
          </w:p>
        </w:tc>
      </w:tr>
      <w:tr>
        <w:trPr>
          <w:cantSplit/>
        </w:trPr>
        <w:tc>
          <w:tcPr>
            <w:tcW w:type="dxa" w:w="900"/>
            <w:vAlign w:val="center"/>
          </w:tcPr>
          <w:p>
            <w:pPr>
              <w:spacing w:before="0" w:after="0" w:line="264" w:lineRule="auto"/>
              <w:jc w:val="center"/>
            </w:pPr>
            <w:r/>
            <w:r>
              <w:rPr>
                <w:rFonts w:ascii="Calibri" w:hAnsi="Calibri"/>
                <w:b/>
                <w:color w:val="0B2545"/>
                <w:sz w:val="19"/>
              </w:rPr>
              <w:t>7</w:t>
            </w:r>
          </w:p>
        </w:tc>
        <w:tc>
          <w:tcPr>
            <w:tcW w:type="dxa" w:w="4080"/>
            <w:vAlign w:val="center"/>
          </w:tcPr>
          <w:p>
            <w:pPr>
              <w:spacing w:before="0" w:after="0" w:line="264" w:lineRule="auto"/>
              <w:jc w:val="left"/>
            </w:pPr>
            <w:r/>
            <w:r>
              <w:rPr>
                <w:rFonts w:ascii="Calibri" w:hAnsi="Calibri"/>
                <w:b w:val="0"/>
                <w:color w:val="000000"/>
                <w:sz w:val="19"/>
              </w:rPr>
              <w:t>Audit and monitor quality.</w:t>
            </w:r>
          </w:p>
        </w:tc>
        <w:tc>
          <w:tcPr>
            <w:tcW w:type="dxa" w:w="4380"/>
            <w:vAlign w:val="center"/>
          </w:tcPr>
          <w:p>
            <w:pPr>
              <w:spacing w:before="0" w:after="0" w:line="264" w:lineRule="auto"/>
              <w:jc w:val="left"/>
            </w:pPr>
            <w:r/>
            <w:r>
              <w:rPr>
                <w:rFonts w:ascii="Calibri" w:hAnsi="Calibri"/>
                <w:b w:val="0"/>
                <w:color w:val="000000"/>
                <w:sz w:val="19"/>
              </w:rPr>
              <w:t>Error logs, low-confidence queues, human review candidates.</w:t>
            </w:r>
          </w:p>
        </w:tc>
      </w:tr>
    </w:tbl>
    <w:p>
      <w:pPr>
        <w:spacing w:after="40"/>
      </w:pPr>
    </w:p>
    <w:p>
      <w:pPr>
        <w:pStyle w:val="Heading2"/>
      </w:pPr>
      <w:r>
        <w:t>2.12 Codex Implementation Rules</w:t>
      </w:r>
    </w:p>
    <w:p>
      <w:pPr>
        <w:pStyle w:val="ListBullet"/>
        <w:spacing w:after="40" w:line="280" w:lineRule="auto"/>
        <w:ind w:left="720" w:hanging="360"/>
      </w:pPr>
      <w:r>
        <w:rPr>
          <w:rFonts w:ascii="Calibri" w:hAnsi="Calibri"/>
          <w:sz w:val="22"/>
        </w:rPr>
        <w:t>Do not hardcode market values, prices, confidence scores, or report text.</w:t>
      </w:r>
    </w:p>
    <w:p>
      <w:pPr>
        <w:pStyle w:val="ListBullet"/>
        <w:spacing w:after="40" w:line="280" w:lineRule="auto"/>
        <w:ind w:left="720" w:hanging="360"/>
      </w:pPr>
      <w:r>
        <w:rPr>
          <w:rFonts w:ascii="Calibri" w:hAnsi="Calibri"/>
          <w:sz w:val="22"/>
        </w:rPr>
        <w:t>Keep provider adapters isolated from normalized business logic.</w:t>
      </w:r>
    </w:p>
    <w:p>
      <w:pPr>
        <w:pStyle w:val="ListBullet"/>
        <w:spacing w:after="40" w:line="280" w:lineRule="auto"/>
        <w:ind w:left="720" w:hanging="360"/>
      </w:pPr>
      <w:r>
        <w:rPr>
          <w:rFonts w:ascii="Calibri" w:hAnsi="Calibri"/>
          <w:sz w:val="22"/>
        </w:rPr>
        <w:t>Every AI output must store evidence references and prompt/model metadata.</w:t>
      </w:r>
    </w:p>
    <w:p>
      <w:pPr>
        <w:pStyle w:val="ListBullet"/>
        <w:spacing w:after="40" w:line="280" w:lineRule="auto"/>
        <w:ind w:left="720" w:hanging="360"/>
      </w:pPr>
      <w:r>
        <w:rPr>
          <w:rFonts w:ascii="Calibri" w:hAnsi="Calibri"/>
          <w:sz w:val="22"/>
        </w:rPr>
        <w:t>Every signal must include confidence, evidence, and reason codes.</w:t>
      </w:r>
    </w:p>
    <w:p>
      <w:pPr>
        <w:pStyle w:val="ListBullet"/>
        <w:spacing w:after="40" w:line="280" w:lineRule="auto"/>
        <w:ind w:left="720" w:hanging="360"/>
      </w:pPr>
      <w:r>
        <w:rPr>
          <w:rFonts w:ascii="Calibri" w:hAnsi="Calibri"/>
          <w:sz w:val="22"/>
        </w:rPr>
        <w:t>Every public recommendation must include risk and missing-data context.</w:t>
      </w:r>
    </w:p>
    <w:p>
      <w:pPr>
        <w:pStyle w:val="ListBullet"/>
        <w:spacing w:after="40" w:line="280" w:lineRule="auto"/>
        <w:ind w:left="720" w:hanging="360"/>
      </w:pPr>
      <w:r>
        <w:rPr>
          <w:rFonts w:ascii="Calibri" w:hAnsi="Calibri"/>
          <w:sz w:val="22"/>
        </w:rPr>
        <w:t>All market calculations must be covered by focused tests with representative edge cases.</w:t>
      </w:r>
    </w:p>
    <w:p>
      <w:pPr>
        <w:pStyle w:val="Heading2"/>
      </w:pPr>
      <w:r>
        <w:t>2.13 Chapter 2 Acceptance Criteria</w:t>
      </w:r>
    </w:p>
    <w:p>
      <w:r>
        <w:rPr>
          <w:rFonts w:ascii="Calibri" w:hAnsi="Calibri"/>
        </w:rPr>
        <w:t>When Codex implements the Market Intelligence Framework, the module should be considered complete only when the following conditions are met.</w:t>
      </w:r>
    </w:p>
    <w:p>
      <w:pPr>
        <w:pStyle w:val="ListBullet"/>
        <w:spacing w:after="40" w:line="280" w:lineRule="auto"/>
        <w:ind w:left="720" w:hanging="360"/>
      </w:pPr>
      <w:r>
        <w:rPr>
          <w:rFonts w:ascii="Calibri" w:hAnsi="Calibri"/>
          <w:sz w:val="22"/>
        </w:rPr>
        <w:t>Raw observations can be ingested, stored, normalized, validated, and linked to canonical assets.</w:t>
      </w:r>
    </w:p>
    <w:p>
      <w:pPr>
        <w:pStyle w:val="ListBullet"/>
        <w:spacing w:after="40" w:line="280" w:lineRule="auto"/>
        <w:ind w:left="720" w:hanging="360"/>
      </w:pPr>
      <w:r>
        <w:rPr>
          <w:rFonts w:ascii="Calibri" w:hAnsi="Calibri"/>
          <w:sz w:val="22"/>
        </w:rPr>
        <w:t>Evidence bundles can be produced for price movement, liquidity, supply, news, and community context.</w:t>
      </w:r>
    </w:p>
    <w:p>
      <w:pPr>
        <w:pStyle w:val="ListBullet"/>
        <w:spacing w:after="40" w:line="280" w:lineRule="auto"/>
        <w:ind w:left="720" w:hanging="360"/>
      </w:pPr>
      <w:r>
        <w:rPr>
          <w:rFonts w:ascii="Calibri" w:hAnsi="Calibri"/>
          <w:sz w:val="22"/>
        </w:rPr>
        <w:t>Confidence scoring is deterministic, testable, and visible in downstream records.</w:t>
      </w:r>
    </w:p>
    <w:p>
      <w:pPr>
        <w:pStyle w:val="ListBullet"/>
        <w:spacing w:after="40" w:line="280" w:lineRule="auto"/>
        <w:ind w:left="720" w:hanging="360"/>
      </w:pPr>
      <w:r>
        <w:rPr>
          <w:rFonts w:ascii="Calibri" w:hAnsi="Calibri"/>
          <w:sz w:val="22"/>
        </w:rPr>
        <w:t>Catalysts and signals are stored as structured records with evidence references.</w:t>
      </w:r>
    </w:p>
    <w:p>
      <w:pPr>
        <w:pStyle w:val="ListBullet"/>
        <w:spacing w:after="40" w:line="280" w:lineRule="auto"/>
        <w:ind w:left="720" w:hanging="360"/>
      </w:pPr>
      <w:r>
        <w:rPr>
          <w:rFonts w:ascii="Calibri" w:hAnsi="Calibri"/>
          <w:sz w:val="22"/>
        </w:rPr>
        <w:t>AI explanations refuse unsupported claims and include confidence labels.</w:t>
      </w:r>
    </w:p>
    <w:p>
      <w:pPr>
        <w:pStyle w:val="ListBullet"/>
        <w:spacing w:after="40" w:line="280" w:lineRule="auto"/>
        <w:ind w:left="720" w:hanging="360"/>
      </w:pPr>
      <w:r>
        <w:rPr>
          <w:rFonts w:ascii="Calibri" w:hAnsi="Calibri"/>
          <w:sz w:val="22"/>
        </w:rPr>
        <w:t>Daily pipeline jobs can run in a repeatable order with logs, retries, and failure visibility.</w:t>
      </w:r>
    </w:p>
    <w:p>
      <w:pPr>
        <w:pStyle w:val="Heading1"/>
      </w:pPr>
      <w:r>
        <w:t>Chapter 3: System Architecture</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Architecture goal: </w:t>
            </w:r>
            <w:r>
              <w:rPr>
                <w:rFonts w:ascii="Calibri" w:hAnsi="Calibri"/>
                <w:color w:val="0B2545"/>
                <w:sz w:val="21"/>
              </w:rPr>
              <w:t>Build a modular intelligence platform where providers, calculations, AI outputs, and user-facing surfaces can evolve independently.</w:t>
            </w:r>
          </w:p>
        </w:tc>
      </w:tr>
    </w:tbl>
    <w:p>
      <w:pPr>
        <w:spacing w:after="40"/>
      </w:pPr>
    </w:p>
    <w:p>
      <w:pPr>
        <w:pStyle w:val="Heading2"/>
      </w:pPr>
      <w:r>
        <w:t>3.1 Architecture Principles</w:t>
      </w:r>
    </w:p>
    <w:p>
      <w:pPr>
        <w:pStyle w:val="ListBullet"/>
        <w:spacing w:after="40" w:line="280" w:lineRule="auto"/>
        <w:ind w:left="720" w:hanging="360"/>
      </w:pPr>
      <w:r>
        <w:rPr>
          <w:rFonts w:ascii="Calibri" w:hAnsi="Calibri"/>
          <w:sz w:val="22"/>
        </w:rPr>
        <w:t>Provider integrations must be isolated from normalized domain models.</w:t>
      </w:r>
    </w:p>
    <w:p>
      <w:pPr>
        <w:pStyle w:val="ListBullet"/>
        <w:spacing w:after="40" w:line="280" w:lineRule="auto"/>
        <w:ind w:left="720" w:hanging="360"/>
      </w:pPr>
      <w:r>
        <w:rPr>
          <w:rFonts w:ascii="Calibri" w:hAnsi="Calibri"/>
          <w:sz w:val="22"/>
        </w:rPr>
        <w:t>Market intelligence should be computed by explicit jobs, not hidden inside UI requests.</w:t>
      </w:r>
    </w:p>
    <w:p>
      <w:pPr>
        <w:pStyle w:val="ListBullet"/>
        <w:spacing w:after="40" w:line="280" w:lineRule="auto"/>
        <w:ind w:left="720" w:hanging="360"/>
      </w:pPr>
      <w:r>
        <w:rPr>
          <w:rFonts w:ascii="Calibri" w:hAnsi="Calibri"/>
          <w:sz w:val="22"/>
        </w:rPr>
        <w:t>AI output must be a stored, auditable artifact with evidence references.</w:t>
      </w:r>
    </w:p>
    <w:p>
      <w:pPr>
        <w:pStyle w:val="ListBullet"/>
        <w:spacing w:after="40" w:line="280" w:lineRule="auto"/>
        <w:ind w:left="720" w:hanging="360"/>
      </w:pPr>
      <w:r>
        <w:rPr>
          <w:rFonts w:ascii="Calibri" w:hAnsi="Calibri"/>
          <w:sz w:val="22"/>
        </w:rPr>
        <w:t>Every user-facing metric should be reproducible from stored observations and calculation versions.</w:t>
      </w:r>
    </w:p>
    <w:p>
      <w:pPr>
        <w:pStyle w:val="ListBullet"/>
        <w:spacing w:after="40" w:line="280" w:lineRule="auto"/>
        <w:ind w:left="720" w:hanging="360"/>
      </w:pPr>
      <w:r>
        <w:rPr>
          <w:rFonts w:ascii="Calibri" w:hAnsi="Calibri"/>
          <w:sz w:val="22"/>
        </w:rPr>
        <w:t>The system must support multiple collectible categories without hardcoding Pokemon-only assumptions.</w:t>
      </w:r>
    </w:p>
    <w:p>
      <w:pPr>
        <w:pStyle w:val="Heading2"/>
      </w:pPr>
      <w:r>
        <w:t>3.2 Core Services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3920"/>
        <w:gridCol w:w="3340"/>
      </w:tblGrid>
      <w:tr>
        <w:trPr>
          <w:tblHeader w:val="true"/>
          <w:cantSplit/>
        </w:trPr>
        <w:tc>
          <w:tcPr>
            <w:tcW w:type="dxa" w:w="2100"/>
            <w:shd w:fill="F2F4F7"/>
            <w:vAlign w:val="center"/>
          </w:tcPr>
          <w:p>
            <w:pPr>
              <w:spacing w:before="0" w:after="0" w:line="264" w:lineRule="auto"/>
              <w:jc w:val="center"/>
            </w:pPr>
            <w:r/>
            <w:r>
              <w:rPr>
                <w:rFonts w:ascii="Calibri" w:hAnsi="Calibri"/>
                <w:b/>
                <w:color w:val="0B2545"/>
                <w:sz w:val="20"/>
              </w:rPr>
              <w:t>Service</w:t>
            </w:r>
          </w:p>
        </w:tc>
        <w:tc>
          <w:tcPr>
            <w:tcW w:type="dxa" w:w="3920"/>
            <w:shd w:fill="F2F4F7"/>
            <w:vAlign w:val="center"/>
          </w:tcPr>
          <w:p>
            <w:pPr>
              <w:spacing w:before="0" w:after="0" w:line="264" w:lineRule="auto"/>
              <w:jc w:val="center"/>
            </w:pPr>
            <w:r/>
            <w:r>
              <w:rPr>
                <w:rFonts w:ascii="Calibri" w:hAnsi="Calibri"/>
                <w:b/>
                <w:color w:val="0B2545"/>
                <w:sz w:val="20"/>
              </w:rPr>
              <w:t>Responsibility</w:t>
            </w:r>
          </w:p>
        </w:tc>
        <w:tc>
          <w:tcPr>
            <w:tcW w:type="dxa" w:w="3340"/>
            <w:shd w:fill="F2F4F7"/>
            <w:vAlign w:val="center"/>
          </w:tcPr>
          <w:p>
            <w:pPr>
              <w:spacing w:before="0" w:after="0" w:line="264" w:lineRule="auto"/>
              <w:jc w:val="center"/>
            </w:pPr>
            <w:r/>
            <w:r>
              <w:rPr>
                <w:rFonts w:ascii="Calibri" w:hAnsi="Calibri"/>
                <w:b/>
                <w:color w:val="0B2545"/>
                <w:sz w:val="20"/>
              </w:rPr>
              <w:t>Notes</w:t>
            </w:r>
          </w:p>
        </w:tc>
      </w:tr>
      <w:tr>
        <w:trPr>
          <w:cantSplit/>
        </w:trPr>
        <w:tc>
          <w:tcPr>
            <w:tcW w:type="dxa" w:w="2100"/>
            <w:vAlign w:val="center"/>
          </w:tcPr>
          <w:p>
            <w:pPr>
              <w:spacing w:before="0" w:after="0" w:line="264" w:lineRule="auto"/>
              <w:jc w:val="left"/>
            </w:pPr>
            <w:r/>
            <w:r>
              <w:rPr>
                <w:rFonts w:ascii="Calibri" w:hAnsi="Calibri"/>
                <w:b/>
                <w:color w:val="0B2545"/>
                <w:sz w:val="19"/>
              </w:rPr>
              <w:t>Ingestion Service</w:t>
            </w:r>
          </w:p>
        </w:tc>
        <w:tc>
          <w:tcPr>
            <w:tcW w:type="dxa" w:w="3920"/>
            <w:vAlign w:val="center"/>
          </w:tcPr>
          <w:p>
            <w:pPr>
              <w:spacing w:before="0" w:after="0" w:line="264" w:lineRule="auto"/>
              <w:jc w:val="left"/>
            </w:pPr>
            <w:r/>
            <w:r>
              <w:rPr>
                <w:rFonts w:ascii="Calibri" w:hAnsi="Calibri"/>
                <w:b w:val="0"/>
                <w:color w:val="000000"/>
                <w:sz w:val="19"/>
              </w:rPr>
              <w:t>Fetches provider data and stores immutable raw payloads.</w:t>
            </w:r>
          </w:p>
        </w:tc>
        <w:tc>
          <w:tcPr>
            <w:tcW w:type="dxa" w:w="3340"/>
            <w:vAlign w:val="center"/>
          </w:tcPr>
          <w:p>
            <w:pPr>
              <w:spacing w:before="0" w:after="0" w:line="264" w:lineRule="auto"/>
              <w:jc w:val="left"/>
            </w:pPr>
            <w:r/>
            <w:r>
              <w:rPr>
                <w:rFonts w:ascii="Calibri" w:hAnsi="Calibri"/>
                <w:b w:val="0"/>
                <w:color w:val="000000"/>
                <w:sz w:val="19"/>
              </w:rPr>
              <w:t>Adapters for eBay, TCGPlayer, Cardmarket, PSA, social feeds, and future providers.</w:t>
            </w:r>
          </w:p>
        </w:tc>
      </w:tr>
      <w:tr>
        <w:trPr>
          <w:cantSplit/>
        </w:trPr>
        <w:tc>
          <w:tcPr>
            <w:tcW w:type="dxa" w:w="2100"/>
            <w:vAlign w:val="center"/>
          </w:tcPr>
          <w:p>
            <w:pPr>
              <w:spacing w:before="0" w:after="0" w:line="264" w:lineRule="auto"/>
              <w:jc w:val="left"/>
            </w:pPr>
            <w:r/>
            <w:r>
              <w:rPr>
                <w:rFonts w:ascii="Calibri" w:hAnsi="Calibri"/>
                <w:b/>
                <w:color w:val="0B2545"/>
                <w:sz w:val="19"/>
              </w:rPr>
              <w:t>Normalization Service</w:t>
            </w:r>
          </w:p>
        </w:tc>
        <w:tc>
          <w:tcPr>
            <w:tcW w:type="dxa" w:w="3920"/>
            <w:vAlign w:val="center"/>
          </w:tcPr>
          <w:p>
            <w:pPr>
              <w:spacing w:before="0" w:after="0" w:line="264" w:lineRule="auto"/>
              <w:jc w:val="left"/>
            </w:pPr>
            <w:r/>
            <w:r>
              <w:rPr>
                <w:rFonts w:ascii="Calibri" w:hAnsi="Calibri"/>
                <w:b w:val="0"/>
                <w:color w:val="000000"/>
                <w:sz w:val="19"/>
              </w:rPr>
              <w:t>Converts raw payloads into canonical observations.</w:t>
            </w:r>
          </w:p>
        </w:tc>
        <w:tc>
          <w:tcPr>
            <w:tcW w:type="dxa" w:w="3340"/>
            <w:vAlign w:val="center"/>
          </w:tcPr>
          <w:p>
            <w:pPr>
              <w:spacing w:before="0" w:after="0" w:line="264" w:lineRule="auto"/>
              <w:jc w:val="left"/>
            </w:pPr>
            <w:r/>
            <w:r>
              <w:rPr>
                <w:rFonts w:ascii="Calibri" w:hAnsi="Calibri"/>
                <w:b w:val="0"/>
                <w:color w:val="000000"/>
                <w:sz w:val="19"/>
              </w:rPr>
              <w:t>Handles matching, currency conversion, condition mapping, grade mapping, and duplicate detection.</w:t>
            </w:r>
          </w:p>
        </w:tc>
      </w:tr>
      <w:tr>
        <w:trPr>
          <w:cantSplit/>
        </w:trPr>
        <w:tc>
          <w:tcPr>
            <w:tcW w:type="dxa" w:w="2100"/>
            <w:vAlign w:val="center"/>
          </w:tcPr>
          <w:p>
            <w:pPr>
              <w:spacing w:before="0" w:after="0" w:line="264" w:lineRule="auto"/>
              <w:jc w:val="left"/>
            </w:pPr>
            <w:r/>
            <w:r>
              <w:rPr>
                <w:rFonts w:ascii="Calibri" w:hAnsi="Calibri"/>
                <w:b/>
                <w:color w:val="0B2545"/>
                <w:sz w:val="19"/>
              </w:rPr>
              <w:t>Market Metrics Service</w:t>
            </w:r>
          </w:p>
        </w:tc>
        <w:tc>
          <w:tcPr>
            <w:tcW w:type="dxa" w:w="3920"/>
            <w:vAlign w:val="center"/>
          </w:tcPr>
          <w:p>
            <w:pPr>
              <w:spacing w:before="0" w:after="0" w:line="264" w:lineRule="auto"/>
              <w:jc w:val="left"/>
            </w:pPr>
            <w:r/>
            <w:r>
              <w:rPr>
                <w:rFonts w:ascii="Calibri" w:hAnsi="Calibri"/>
                <w:b w:val="0"/>
                <w:color w:val="000000"/>
                <w:sz w:val="19"/>
              </w:rPr>
              <w:t>Calculates prices, liquidity, indexes, volatility, and category metrics.</w:t>
            </w:r>
          </w:p>
        </w:tc>
        <w:tc>
          <w:tcPr>
            <w:tcW w:type="dxa" w:w="3340"/>
            <w:vAlign w:val="center"/>
          </w:tcPr>
          <w:p>
            <w:pPr>
              <w:spacing w:before="0" w:after="0" w:line="264" w:lineRule="auto"/>
              <w:jc w:val="left"/>
            </w:pPr>
            <w:r/>
            <w:r>
              <w:rPr>
                <w:rFonts w:ascii="Calibri" w:hAnsi="Calibri"/>
                <w:b w:val="0"/>
                <w:color w:val="000000"/>
                <w:sz w:val="19"/>
              </w:rPr>
              <w:t>Must be deterministic and versioned.</w:t>
            </w:r>
          </w:p>
        </w:tc>
      </w:tr>
      <w:tr>
        <w:trPr>
          <w:cantSplit/>
        </w:trPr>
        <w:tc>
          <w:tcPr>
            <w:tcW w:type="dxa" w:w="2100"/>
            <w:vAlign w:val="center"/>
          </w:tcPr>
          <w:p>
            <w:pPr>
              <w:spacing w:before="0" w:after="0" w:line="264" w:lineRule="auto"/>
              <w:jc w:val="left"/>
            </w:pPr>
            <w:r/>
            <w:r>
              <w:rPr>
                <w:rFonts w:ascii="Calibri" w:hAnsi="Calibri"/>
                <w:b/>
                <w:color w:val="0B2545"/>
                <w:sz w:val="19"/>
              </w:rPr>
              <w:t>Catalyst Service</w:t>
            </w:r>
          </w:p>
        </w:tc>
        <w:tc>
          <w:tcPr>
            <w:tcW w:type="dxa" w:w="3920"/>
            <w:vAlign w:val="center"/>
          </w:tcPr>
          <w:p>
            <w:pPr>
              <w:spacing w:before="0" w:after="0" w:line="264" w:lineRule="auto"/>
              <w:jc w:val="left"/>
            </w:pPr>
            <w:r/>
            <w:r>
              <w:rPr>
                <w:rFonts w:ascii="Calibri" w:hAnsi="Calibri"/>
                <w:b w:val="0"/>
                <w:color w:val="000000"/>
                <w:sz w:val="19"/>
              </w:rPr>
              <w:t>Stores market events and maps affected assets.</w:t>
            </w:r>
          </w:p>
        </w:tc>
        <w:tc>
          <w:tcPr>
            <w:tcW w:type="dxa" w:w="3340"/>
            <w:vAlign w:val="center"/>
          </w:tcPr>
          <w:p>
            <w:pPr>
              <w:spacing w:before="0" w:after="0" w:line="264" w:lineRule="auto"/>
              <w:jc w:val="left"/>
            </w:pPr>
            <w:r/>
            <w:r>
              <w:rPr>
                <w:rFonts w:ascii="Calibri" w:hAnsi="Calibri"/>
                <w:b w:val="0"/>
                <w:color w:val="000000"/>
                <w:sz w:val="19"/>
              </w:rPr>
              <w:t>Feeds dashboards, reports, timelines, and signals.</w:t>
            </w:r>
          </w:p>
        </w:tc>
      </w:tr>
      <w:tr>
        <w:trPr>
          <w:cantSplit/>
        </w:trPr>
        <w:tc>
          <w:tcPr>
            <w:tcW w:type="dxa" w:w="2100"/>
            <w:vAlign w:val="center"/>
          </w:tcPr>
          <w:p>
            <w:pPr>
              <w:spacing w:before="0" w:after="0" w:line="264" w:lineRule="auto"/>
              <w:jc w:val="left"/>
            </w:pPr>
            <w:r/>
            <w:r>
              <w:rPr>
                <w:rFonts w:ascii="Calibri" w:hAnsi="Calibri"/>
                <w:b/>
                <w:color w:val="0B2545"/>
                <w:sz w:val="19"/>
              </w:rPr>
              <w:t>Signal Service</w:t>
            </w:r>
          </w:p>
        </w:tc>
        <w:tc>
          <w:tcPr>
            <w:tcW w:type="dxa" w:w="3920"/>
            <w:vAlign w:val="center"/>
          </w:tcPr>
          <w:p>
            <w:pPr>
              <w:spacing w:before="0" w:after="0" w:line="264" w:lineRule="auto"/>
              <w:jc w:val="left"/>
            </w:pPr>
            <w:r/>
            <w:r>
              <w:rPr>
                <w:rFonts w:ascii="Calibri" w:hAnsi="Calibri"/>
                <w:b w:val="0"/>
                <w:color w:val="000000"/>
                <w:sz w:val="19"/>
              </w:rPr>
              <w:t>Detects breakout, risk, watch, undervalued, liquidity, and supply signals.</w:t>
            </w:r>
          </w:p>
        </w:tc>
        <w:tc>
          <w:tcPr>
            <w:tcW w:type="dxa" w:w="3340"/>
            <w:vAlign w:val="center"/>
          </w:tcPr>
          <w:p>
            <w:pPr>
              <w:spacing w:before="0" w:after="0" w:line="264" w:lineRule="auto"/>
              <w:jc w:val="left"/>
            </w:pPr>
            <w:r/>
            <w:r>
              <w:rPr>
                <w:rFonts w:ascii="Calibri" w:hAnsi="Calibri"/>
                <w:b w:val="0"/>
                <w:color w:val="000000"/>
                <w:sz w:val="19"/>
              </w:rPr>
              <w:t>Every signal requires evidence, reason codes, and confidence.</w:t>
            </w:r>
          </w:p>
        </w:tc>
      </w:tr>
      <w:tr>
        <w:trPr>
          <w:cantSplit/>
        </w:trPr>
        <w:tc>
          <w:tcPr>
            <w:tcW w:type="dxa" w:w="2100"/>
            <w:vAlign w:val="center"/>
          </w:tcPr>
          <w:p>
            <w:pPr>
              <w:spacing w:before="0" w:after="0" w:line="264" w:lineRule="auto"/>
              <w:jc w:val="left"/>
            </w:pPr>
            <w:r/>
            <w:r>
              <w:rPr>
                <w:rFonts w:ascii="Calibri" w:hAnsi="Calibri"/>
                <w:b/>
                <w:color w:val="0B2545"/>
                <w:sz w:val="19"/>
              </w:rPr>
              <w:t>AI Service</w:t>
            </w:r>
          </w:p>
        </w:tc>
        <w:tc>
          <w:tcPr>
            <w:tcW w:type="dxa" w:w="3920"/>
            <w:vAlign w:val="center"/>
          </w:tcPr>
          <w:p>
            <w:pPr>
              <w:spacing w:before="0" w:after="0" w:line="264" w:lineRule="auto"/>
              <w:jc w:val="left"/>
            </w:pPr>
            <w:r/>
            <w:r>
              <w:rPr>
                <w:rFonts w:ascii="Calibri" w:hAnsi="Calibri"/>
                <w:b w:val="0"/>
                <w:color w:val="000000"/>
                <w:sz w:val="19"/>
              </w:rPr>
              <w:t>Generates explanations, summaries, report text, and portfolio notes.</w:t>
            </w:r>
          </w:p>
        </w:tc>
        <w:tc>
          <w:tcPr>
            <w:tcW w:type="dxa" w:w="3340"/>
            <w:vAlign w:val="center"/>
          </w:tcPr>
          <w:p>
            <w:pPr>
              <w:spacing w:before="0" w:after="0" w:line="264" w:lineRule="auto"/>
              <w:jc w:val="left"/>
            </w:pPr>
            <w:r/>
            <w:r>
              <w:rPr>
                <w:rFonts w:ascii="Calibri" w:hAnsi="Calibri"/>
                <w:b w:val="0"/>
                <w:color w:val="000000"/>
                <w:sz w:val="19"/>
              </w:rPr>
              <w:t>Reads evidence bundles only; never queries raw provider data directly.</w:t>
            </w:r>
          </w:p>
        </w:tc>
      </w:tr>
      <w:tr>
        <w:trPr>
          <w:cantSplit/>
        </w:trPr>
        <w:tc>
          <w:tcPr>
            <w:tcW w:type="dxa" w:w="2100"/>
            <w:vAlign w:val="center"/>
          </w:tcPr>
          <w:p>
            <w:pPr>
              <w:spacing w:before="0" w:after="0" w:line="264" w:lineRule="auto"/>
              <w:jc w:val="left"/>
            </w:pPr>
            <w:r/>
            <w:r>
              <w:rPr>
                <w:rFonts w:ascii="Calibri" w:hAnsi="Calibri"/>
                <w:b/>
                <w:color w:val="0B2545"/>
                <w:sz w:val="19"/>
              </w:rPr>
              <w:t>Portfolio Service</w:t>
            </w:r>
          </w:p>
        </w:tc>
        <w:tc>
          <w:tcPr>
            <w:tcW w:type="dxa" w:w="3920"/>
            <w:vAlign w:val="center"/>
          </w:tcPr>
          <w:p>
            <w:pPr>
              <w:spacing w:before="0" w:after="0" w:line="264" w:lineRule="auto"/>
              <w:jc w:val="left"/>
            </w:pPr>
            <w:r/>
            <w:r>
              <w:rPr>
                <w:rFonts w:ascii="Calibri" w:hAnsi="Calibri"/>
                <w:b w:val="0"/>
                <w:color w:val="000000"/>
                <w:sz w:val="19"/>
              </w:rPr>
              <w:t>Manages user holdings, valuation, allocation, and risk.</w:t>
            </w:r>
          </w:p>
        </w:tc>
        <w:tc>
          <w:tcPr>
            <w:tcW w:type="dxa" w:w="3340"/>
            <w:vAlign w:val="center"/>
          </w:tcPr>
          <w:p>
            <w:pPr>
              <w:spacing w:before="0" w:after="0" w:line="264" w:lineRule="auto"/>
              <w:jc w:val="left"/>
            </w:pPr>
            <w:r/>
            <w:r>
              <w:rPr>
                <w:rFonts w:ascii="Calibri" w:hAnsi="Calibri"/>
                <w:b w:val="0"/>
                <w:color w:val="000000"/>
                <w:sz w:val="19"/>
              </w:rPr>
              <w:t>Uses normalized price snapshots and confidence-aware valuation.</w:t>
            </w:r>
          </w:p>
        </w:tc>
      </w:tr>
      <w:tr>
        <w:trPr>
          <w:cantSplit/>
        </w:trPr>
        <w:tc>
          <w:tcPr>
            <w:tcW w:type="dxa" w:w="2100"/>
            <w:vAlign w:val="center"/>
          </w:tcPr>
          <w:p>
            <w:pPr>
              <w:spacing w:before="0" w:after="0" w:line="264" w:lineRule="auto"/>
              <w:jc w:val="left"/>
            </w:pPr>
            <w:r/>
            <w:r>
              <w:rPr>
                <w:rFonts w:ascii="Calibri" w:hAnsi="Calibri"/>
                <w:b/>
                <w:color w:val="0B2545"/>
                <w:sz w:val="19"/>
              </w:rPr>
              <w:t>Notification Service</w:t>
            </w:r>
          </w:p>
        </w:tc>
        <w:tc>
          <w:tcPr>
            <w:tcW w:type="dxa" w:w="3920"/>
            <w:vAlign w:val="center"/>
          </w:tcPr>
          <w:p>
            <w:pPr>
              <w:spacing w:before="0" w:after="0" w:line="264" w:lineRule="auto"/>
              <w:jc w:val="left"/>
            </w:pPr>
            <w:r/>
            <w:r>
              <w:rPr>
                <w:rFonts w:ascii="Calibri" w:hAnsi="Calibri"/>
                <w:b w:val="0"/>
                <w:color w:val="000000"/>
                <w:sz w:val="19"/>
              </w:rPr>
              <w:t>Sends watchlist alerts, report distribution, and portfolio warnings.</w:t>
            </w:r>
          </w:p>
        </w:tc>
        <w:tc>
          <w:tcPr>
            <w:tcW w:type="dxa" w:w="3340"/>
            <w:vAlign w:val="center"/>
          </w:tcPr>
          <w:p>
            <w:pPr>
              <w:spacing w:before="0" w:after="0" w:line="264" w:lineRule="auto"/>
              <w:jc w:val="left"/>
            </w:pPr>
            <w:r/>
            <w:r>
              <w:rPr>
                <w:rFonts w:ascii="Calibri" w:hAnsi="Calibri"/>
                <w:b w:val="0"/>
                <w:color w:val="000000"/>
                <w:sz w:val="19"/>
              </w:rPr>
              <w:t>Channels include email, Discord, push, and in-app.</w:t>
            </w:r>
          </w:p>
        </w:tc>
      </w:tr>
    </w:tbl>
    <w:p>
      <w:pPr>
        <w:spacing w:after="40"/>
      </w:pPr>
    </w:p>
    <w:p>
      <w:pPr>
        <w:pStyle w:val="Heading2"/>
      </w:pPr>
      <w:r>
        <w:t>3.3 Data Flow</w:t>
      </w:r>
    </w:p>
    <w:p>
      <w:pPr>
        <w:numPr>
          <w:ilvl w:val="0"/>
          <w:numId w:val="13"/>
        </w:numPr>
        <w:spacing w:after="40" w:line="280" w:lineRule="auto"/>
        <w:ind w:left="720" w:hanging="360"/>
      </w:pPr>
      <w:r>
        <w:rPr>
          <w:rFonts w:ascii="Calibri" w:hAnsi="Calibri"/>
          <w:sz w:val="22"/>
        </w:rPr>
        <w:t>Providers produce raw market payloads.</w:t>
      </w:r>
    </w:p>
    <w:p>
      <w:pPr>
        <w:numPr>
          <w:ilvl w:val="0"/>
          <w:numId w:val="13"/>
        </w:numPr>
        <w:spacing w:after="40" w:line="280" w:lineRule="auto"/>
        <w:ind w:left="720" w:hanging="360"/>
      </w:pPr>
      <w:r>
        <w:rPr>
          <w:rFonts w:ascii="Calibri" w:hAnsi="Calibri"/>
          <w:sz w:val="22"/>
        </w:rPr>
        <w:t>Raw payloads are stored unchanged for traceability.</w:t>
      </w:r>
    </w:p>
    <w:p>
      <w:pPr>
        <w:numPr>
          <w:ilvl w:val="0"/>
          <w:numId w:val="13"/>
        </w:numPr>
        <w:spacing w:after="40" w:line="280" w:lineRule="auto"/>
        <w:ind w:left="720" w:hanging="360"/>
      </w:pPr>
      <w:r>
        <w:rPr>
          <w:rFonts w:ascii="Calibri" w:hAnsi="Calibri"/>
          <w:sz w:val="22"/>
        </w:rPr>
        <w:t>Normalization creates canonical observations linked to assets and evidence records.</w:t>
      </w:r>
    </w:p>
    <w:p>
      <w:pPr>
        <w:numPr>
          <w:ilvl w:val="0"/>
          <w:numId w:val="13"/>
        </w:numPr>
        <w:spacing w:after="40" w:line="280" w:lineRule="auto"/>
        <w:ind w:left="720" w:hanging="360"/>
      </w:pPr>
      <w:r>
        <w:rPr>
          <w:rFonts w:ascii="Calibri" w:hAnsi="Calibri"/>
          <w:sz w:val="22"/>
        </w:rPr>
        <w:t>Metric jobs calculate prices, liquidity, population changes, indexes, and regional differences.</w:t>
      </w:r>
    </w:p>
    <w:p>
      <w:pPr>
        <w:numPr>
          <w:ilvl w:val="0"/>
          <w:numId w:val="13"/>
        </w:numPr>
        <w:spacing w:after="40" w:line="280" w:lineRule="auto"/>
        <w:ind w:left="720" w:hanging="360"/>
      </w:pPr>
      <w:r>
        <w:rPr>
          <w:rFonts w:ascii="Calibri" w:hAnsi="Calibri"/>
          <w:sz w:val="22"/>
        </w:rPr>
        <w:t>Catalyst and signal jobs produce structured intelligence records.</w:t>
      </w:r>
    </w:p>
    <w:p>
      <w:pPr>
        <w:numPr>
          <w:ilvl w:val="0"/>
          <w:numId w:val="13"/>
        </w:numPr>
        <w:spacing w:after="40" w:line="280" w:lineRule="auto"/>
        <w:ind w:left="720" w:hanging="360"/>
      </w:pPr>
      <w:r>
        <w:rPr>
          <w:rFonts w:ascii="Calibri" w:hAnsi="Calibri"/>
          <w:sz w:val="22"/>
        </w:rPr>
        <w:t>AI jobs generate explanations from evidence bundles.</w:t>
      </w:r>
    </w:p>
    <w:p>
      <w:pPr>
        <w:numPr>
          <w:ilvl w:val="0"/>
          <w:numId w:val="13"/>
        </w:numPr>
        <w:spacing w:after="40" w:line="280" w:lineRule="auto"/>
        <w:ind w:left="720" w:hanging="360"/>
      </w:pPr>
      <w:r>
        <w:rPr>
          <w:rFonts w:ascii="Calibri" w:hAnsi="Calibri"/>
          <w:sz w:val="22"/>
        </w:rPr>
        <w:t>Product APIs serve dashboards, card pages, portfolio views, reports, and alerts.</w:t>
      </w:r>
    </w:p>
    <w:p>
      <w:pPr>
        <w:pStyle w:val="Heading2"/>
      </w:pPr>
      <w:r>
        <w:t>3.4 Storage Layers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2800"/>
        <w:gridCol w:w="4460"/>
      </w:tblGrid>
      <w:tr>
        <w:trPr>
          <w:tblHeader w:val="true"/>
          <w:cantSplit/>
        </w:trPr>
        <w:tc>
          <w:tcPr>
            <w:tcW w:type="dxa" w:w="2100"/>
            <w:shd w:fill="F2F4F7"/>
            <w:vAlign w:val="center"/>
          </w:tcPr>
          <w:p>
            <w:pPr>
              <w:spacing w:before="0" w:after="0" w:line="264" w:lineRule="auto"/>
              <w:jc w:val="center"/>
            </w:pPr>
            <w:r/>
            <w:r>
              <w:rPr>
                <w:rFonts w:ascii="Calibri" w:hAnsi="Calibri"/>
                <w:b/>
                <w:color w:val="0B2545"/>
                <w:sz w:val="20"/>
              </w:rPr>
              <w:t>Layer</w:t>
            </w:r>
          </w:p>
        </w:tc>
        <w:tc>
          <w:tcPr>
            <w:tcW w:type="dxa" w:w="2800"/>
            <w:shd w:fill="F2F4F7"/>
            <w:vAlign w:val="center"/>
          </w:tcPr>
          <w:p>
            <w:pPr>
              <w:spacing w:before="0" w:after="0" w:line="264" w:lineRule="auto"/>
              <w:jc w:val="center"/>
            </w:pPr>
            <w:r/>
            <w:r>
              <w:rPr>
                <w:rFonts w:ascii="Calibri" w:hAnsi="Calibri"/>
                <w:b/>
                <w:color w:val="0B2545"/>
                <w:sz w:val="20"/>
              </w:rPr>
              <w:t>Technology Direction</w:t>
            </w:r>
          </w:p>
        </w:tc>
        <w:tc>
          <w:tcPr>
            <w:tcW w:type="dxa" w:w="4460"/>
            <w:shd w:fill="F2F4F7"/>
            <w:vAlign w:val="center"/>
          </w:tcPr>
          <w:p>
            <w:pPr>
              <w:spacing w:before="0" w:after="0" w:line="264" w:lineRule="auto"/>
              <w:jc w:val="center"/>
            </w:pPr>
            <w:r/>
            <w:r>
              <w:rPr>
                <w:rFonts w:ascii="Calibri" w:hAnsi="Calibri"/>
                <w:b/>
                <w:color w:val="0B2545"/>
                <w:sz w:val="20"/>
              </w:rPr>
              <w:t>Purpose</w:t>
            </w:r>
          </w:p>
        </w:tc>
      </w:tr>
      <w:tr>
        <w:trPr>
          <w:cantSplit/>
        </w:trPr>
        <w:tc>
          <w:tcPr>
            <w:tcW w:type="dxa" w:w="2100"/>
            <w:vAlign w:val="center"/>
          </w:tcPr>
          <w:p>
            <w:pPr>
              <w:spacing w:before="0" w:after="0" w:line="264" w:lineRule="auto"/>
              <w:jc w:val="left"/>
            </w:pPr>
            <w:r/>
            <w:r>
              <w:rPr>
                <w:rFonts w:ascii="Calibri" w:hAnsi="Calibri"/>
                <w:b/>
                <w:color w:val="0B2545"/>
                <w:sz w:val="19"/>
              </w:rPr>
              <w:t>Primary relational store</w:t>
            </w:r>
          </w:p>
        </w:tc>
        <w:tc>
          <w:tcPr>
            <w:tcW w:type="dxa" w:w="2800"/>
            <w:vAlign w:val="center"/>
          </w:tcPr>
          <w:p>
            <w:pPr>
              <w:spacing w:before="0" w:after="0" w:line="264" w:lineRule="auto"/>
              <w:jc w:val="left"/>
            </w:pPr>
            <w:r/>
            <w:r>
              <w:rPr>
                <w:rFonts w:ascii="Calibri" w:hAnsi="Calibri"/>
                <w:b w:val="0"/>
                <w:color w:val="000000"/>
                <w:sz w:val="19"/>
              </w:rPr>
              <w:t>Postgres</w:t>
            </w:r>
          </w:p>
        </w:tc>
        <w:tc>
          <w:tcPr>
            <w:tcW w:type="dxa" w:w="4460"/>
            <w:vAlign w:val="center"/>
          </w:tcPr>
          <w:p>
            <w:pPr>
              <w:spacing w:before="0" w:after="0" w:line="264" w:lineRule="auto"/>
              <w:jc w:val="left"/>
            </w:pPr>
            <w:r/>
            <w:r>
              <w:rPr>
                <w:rFonts w:ascii="Calibri" w:hAnsi="Calibri"/>
                <w:b w:val="0"/>
                <w:color w:val="000000"/>
                <w:sz w:val="19"/>
              </w:rPr>
              <w:t>Canonical assets, observations, users, portfolios, signals, catalysts, reports, and audit logs.</w:t>
            </w:r>
          </w:p>
        </w:tc>
      </w:tr>
      <w:tr>
        <w:trPr>
          <w:cantSplit/>
        </w:trPr>
        <w:tc>
          <w:tcPr>
            <w:tcW w:type="dxa" w:w="2100"/>
            <w:vAlign w:val="center"/>
          </w:tcPr>
          <w:p>
            <w:pPr>
              <w:spacing w:before="0" w:after="0" w:line="264" w:lineRule="auto"/>
              <w:jc w:val="left"/>
            </w:pPr>
            <w:r/>
            <w:r>
              <w:rPr>
                <w:rFonts w:ascii="Calibri" w:hAnsi="Calibri"/>
                <w:b/>
                <w:color w:val="0B2545"/>
                <w:sz w:val="19"/>
              </w:rPr>
              <w:t>Cache</w:t>
            </w:r>
          </w:p>
        </w:tc>
        <w:tc>
          <w:tcPr>
            <w:tcW w:type="dxa" w:w="2800"/>
            <w:vAlign w:val="center"/>
          </w:tcPr>
          <w:p>
            <w:pPr>
              <w:spacing w:before="0" w:after="0" w:line="264" w:lineRule="auto"/>
              <w:jc w:val="left"/>
            </w:pPr>
            <w:r/>
            <w:r>
              <w:rPr>
                <w:rFonts w:ascii="Calibri" w:hAnsi="Calibri"/>
                <w:b w:val="0"/>
                <w:color w:val="000000"/>
                <w:sz w:val="19"/>
              </w:rPr>
              <w:t>Redis</w:t>
            </w:r>
          </w:p>
        </w:tc>
        <w:tc>
          <w:tcPr>
            <w:tcW w:type="dxa" w:w="4460"/>
            <w:vAlign w:val="center"/>
          </w:tcPr>
          <w:p>
            <w:pPr>
              <w:spacing w:before="0" w:after="0" w:line="264" w:lineRule="auto"/>
              <w:jc w:val="left"/>
            </w:pPr>
            <w:r/>
            <w:r>
              <w:rPr>
                <w:rFonts w:ascii="Calibri" w:hAnsi="Calibri"/>
                <w:b w:val="0"/>
                <w:color w:val="000000"/>
                <w:sz w:val="19"/>
              </w:rPr>
              <w:t>Dashboard summaries, hot cards, session data, rate limits, and queue coordination.</w:t>
            </w:r>
          </w:p>
        </w:tc>
      </w:tr>
      <w:tr>
        <w:trPr>
          <w:cantSplit/>
        </w:trPr>
        <w:tc>
          <w:tcPr>
            <w:tcW w:type="dxa" w:w="2100"/>
            <w:vAlign w:val="center"/>
          </w:tcPr>
          <w:p>
            <w:pPr>
              <w:spacing w:before="0" w:after="0" w:line="264" w:lineRule="auto"/>
              <w:jc w:val="left"/>
            </w:pPr>
            <w:r/>
            <w:r>
              <w:rPr>
                <w:rFonts w:ascii="Calibri" w:hAnsi="Calibri"/>
                <w:b/>
                <w:color w:val="0B2545"/>
                <w:sz w:val="19"/>
              </w:rPr>
              <w:t>Search</w:t>
            </w:r>
          </w:p>
        </w:tc>
        <w:tc>
          <w:tcPr>
            <w:tcW w:type="dxa" w:w="2800"/>
            <w:vAlign w:val="center"/>
          </w:tcPr>
          <w:p>
            <w:pPr>
              <w:spacing w:before="0" w:after="0" w:line="264" w:lineRule="auto"/>
              <w:jc w:val="left"/>
            </w:pPr>
            <w:r/>
            <w:r>
              <w:rPr>
                <w:rFonts w:ascii="Calibri" w:hAnsi="Calibri"/>
                <w:b w:val="0"/>
                <w:color w:val="000000"/>
                <w:sz w:val="19"/>
              </w:rPr>
              <w:t>OpenSearch or Elasticsearch</w:t>
            </w:r>
          </w:p>
        </w:tc>
        <w:tc>
          <w:tcPr>
            <w:tcW w:type="dxa" w:w="4460"/>
            <w:vAlign w:val="center"/>
          </w:tcPr>
          <w:p>
            <w:pPr>
              <w:spacing w:before="0" w:after="0" w:line="264" w:lineRule="auto"/>
              <w:jc w:val="left"/>
            </w:pPr>
            <w:r/>
            <w:r>
              <w:rPr>
                <w:rFonts w:ascii="Calibri" w:hAnsi="Calibri"/>
                <w:b w:val="0"/>
                <w:color w:val="000000"/>
                <w:sz w:val="19"/>
              </w:rPr>
              <w:t>Card search, news search, fuzzy matching, and full-text discovery.</w:t>
            </w:r>
          </w:p>
        </w:tc>
      </w:tr>
      <w:tr>
        <w:trPr>
          <w:cantSplit/>
        </w:trPr>
        <w:tc>
          <w:tcPr>
            <w:tcW w:type="dxa" w:w="2100"/>
            <w:vAlign w:val="center"/>
          </w:tcPr>
          <w:p>
            <w:pPr>
              <w:spacing w:before="0" w:after="0" w:line="264" w:lineRule="auto"/>
              <w:jc w:val="left"/>
            </w:pPr>
            <w:r/>
            <w:r>
              <w:rPr>
                <w:rFonts w:ascii="Calibri" w:hAnsi="Calibri"/>
                <w:b/>
                <w:color w:val="0B2545"/>
                <w:sz w:val="19"/>
              </w:rPr>
              <w:t>Vector store</w:t>
            </w:r>
          </w:p>
        </w:tc>
        <w:tc>
          <w:tcPr>
            <w:tcW w:type="dxa" w:w="2800"/>
            <w:vAlign w:val="center"/>
          </w:tcPr>
          <w:p>
            <w:pPr>
              <w:spacing w:before="0" w:after="0" w:line="264" w:lineRule="auto"/>
              <w:jc w:val="left"/>
            </w:pPr>
            <w:r/>
            <w:r>
              <w:rPr>
                <w:rFonts w:ascii="Calibri" w:hAnsi="Calibri"/>
                <w:b w:val="0"/>
                <w:color w:val="000000"/>
                <w:sz w:val="19"/>
              </w:rPr>
              <w:t>pgvector or dedicated vector database</w:t>
            </w:r>
          </w:p>
        </w:tc>
        <w:tc>
          <w:tcPr>
            <w:tcW w:type="dxa" w:w="4460"/>
            <w:vAlign w:val="center"/>
          </w:tcPr>
          <w:p>
            <w:pPr>
              <w:spacing w:before="0" w:after="0" w:line="264" w:lineRule="auto"/>
              <w:jc w:val="left"/>
            </w:pPr>
            <w:r/>
            <w:r>
              <w:rPr>
                <w:rFonts w:ascii="Calibri" w:hAnsi="Calibri"/>
                <w:b w:val="0"/>
                <w:color w:val="000000"/>
                <w:sz w:val="19"/>
              </w:rPr>
              <w:t>Knowledge retrieval, article embeddings, card context retrieval, and AI evidence support.</w:t>
            </w:r>
          </w:p>
        </w:tc>
      </w:tr>
      <w:tr>
        <w:trPr>
          <w:cantSplit/>
        </w:trPr>
        <w:tc>
          <w:tcPr>
            <w:tcW w:type="dxa" w:w="2100"/>
            <w:vAlign w:val="center"/>
          </w:tcPr>
          <w:p>
            <w:pPr>
              <w:spacing w:before="0" w:after="0" w:line="264" w:lineRule="auto"/>
              <w:jc w:val="left"/>
            </w:pPr>
            <w:r/>
            <w:r>
              <w:rPr>
                <w:rFonts w:ascii="Calibri" w:hAnsi="Calibri"/>
                <w:b/>
                <w:color w:val="0B2545"/>
                <w:sz w:val="19"/>
              </w:rPr>
              <w:t>Object storage</w:t>
            </w:r>
          </w:p>
        </w:tc>
        <w:tc>
          <w:tcPr>
            <w:tcW w:type="dxa" w:w="2800"/>
            <w:vAlign w:val="center"/>
          </w:tcPr>
          <w:p>
            <w:pPr>
              <w:spacing w:before="0" w:after="0" w:line="264" w:lineRule="auto"/>
              <w:jc w:val="left"/>
            </w:pPr>
            <w:r/>
            <w:r>
              <w:rPr>
                <w:rFonts w:ascii="Calibri" w:hAnsi="Calibri"/>
                <w:b w:val="0"/>
                <w:color w:val="000000"/>
                <w:sz w:val="19"/>
              </w:rPr>
              <w:t>S3-compatible storage</w:t>
            </w:r>
          </w:p>
        </w:tc>
        <w:tc>
          <w:tcPr>
            <w:tcW w:type="dxa" w:w="4460"/>
            <w:vAlign w:val="center"/>
          </w:tcPr>
          <w:p>
            <w:pPr>
              <w:spacing w:before="0" w:after="0" w:line="264" w:lineRule="auto"/>
              <w:jc w:val="left"/>
            </w:pPr>
            <w:r/>
            <w:r>
              <w:rPr>
                <w:rFonts w:ascii="Calibri" w:hAnsi="Calibri"/>
                <w:b w:val="0"/>
                <w:color w:val="000000"/>
                <w:sz w:val="19"/>
              </w:rPr>
              <w:t>Raw payload archives, report PDFs, generated assets, and exports.</w:t>
            </w:r>
          </w:p>
        </w:tc>
      </w:tr>
    </w:tbl>
    <w:p>
      <w:pPr>
        <w:spacing w:after="40"/>
      </w:pPr>
    </w:p>
    <w:p>
      <w:pPr>
        <w:pStyle w:val="Heading2"/>
      </w:pPr>
      <w:r>
        <w:t>3.5 Scheduler and Jobs</w:t>
      </w:r>
    </w:p>
    <w:p>
      <w:r>
        <w:rPr>
          <w:rFonts w:ascii="Calibri" w:hAnsi="Calibri"/>
        </w:rPr>
        <w:t>Scheduled jobs should be explicit, observable, retryable, and idempotent. The scheduler must support hourly ingestion, nightly index rebuilds, daily report generation, and delayed retry queues.</w:t>
      </w:r>
    </w:p>
    <w:p>
      <w:pPr>
        <w:pStyle w:val="ListBullet"/>
        <w:spacing w:after="40" w:line="280" w:lineRule="auto"/>
        <w:ind w:left="720" w:hanging="360"/>
      </w:pPr>
      <w:r>
        <w:rPr>
          <w:rFonts w:ascii="Calibri" w:hAnsi="Calibri"/>
          <w:sz w:val="22"/>
        </w:rPr>
        <w:t>Hourly: provider ingestion, hot card refresh, listing delta checks.</w:t>
      </w:r>
    </w:p>
    <w:p>
      <w:pPr>
        <w:pStyle w:val="ListBullet"/>
        <w:spacing w:after="40" w:line="280" w:lineRule="auto"/>
        <w:ind w:left="720" w:hanging="360"/>
      </w:pPr>
      <w:r>
        <w:rPr>
          <w:rFonts w:ascii="Calibri" w:hAnsi="Calibri"/>
          <w:sz w:val="22"/>
        </w:rPr>
        <w:t>Every 4 hours: market metrics refresh, signal scan, catalyst status update.</w:t>
      </w:r>
    </w:p>
    <w:p>
      <w:pPr>
        <w:pStyle w:val="ListBullet"/>
        <w:spacing w:after="40" w:line="280" w:lineRule="auto"/>
        <w:ind w:left="720" w:hanging="360"/>
      </w:pPr>
      <w:r>
        <w:rPr>
          <w:rFonts w:ascii="Calibri" w:hAnsi="Calibri"/>
          <w:sz w:val="22"/>
        </w:rPr>
        <w:t>Daily: index calculation, Daily Market Report generation, portfolio summary jobs.</w:t>
      </w:r>
    </w:p>
    <w:p>
      <w:pPr>
        <w:pStyle w:val="ListBullet"/>
        <w:spacing w:after="40" w:line="280" w:lineRule="auto"/>
        <w:ind w:left="720" w:hanging="360"/>
      </w:pPr>
      <w:r>
        <w:rPr>
          <w:rFonts w:ascii="Calibri" w:hAnsi="Calibri"/>
          <w:sz w:val="22"/>
        </w:rPr>
        <w:t>Weekly: long-form market review, model evaluation, stale asset cleanup.</w:t>
      </w:r>
    </w:p>
    <w:p>
      <w:pPr>
        <w:pStyle w:val="Heading2"/>
      </w:pPr>
      <w:r>
        <w:t>3.6 Security and Trust</w:t>
      </w:r>
    </w:p>
    <w:p>
      <w:pPr>
        <w:pStyle w:val="ListBullet"/>
        <w:spacing w:after="40" w:line="280" w:lineRule="auto"/>
        <w:ind w:left="720" w:hanging="360"/>
      </w:pPr>
      <w:r>
        <w:rPr>
          <w:rFonts w:ascii="Calibri" w:hAnsi="Calibri"/>
          <w:sz w:val="22"/>
        </w:rPr>
        <w:t>All user accounts must support secure authentication and least-privilege API access.</w:t>
      </w:r>
    </w:p>
    <w:p>
      <w:pPr>
        <w:pStyle w:val="ListBullet"/>
        <w:spacing w:after="40" w:line="280" w:lineRule="auto"/>
        <w:ind w:left="720" w:hanging="360"/>
      </w:pPr>
      <w:r>
        <w:rPr>
          <w:rFonts w:ascii="Calibri" w:hAnsi="Calibri"/>
          <w:sz w:val="22"/>
        </w:rPr>
        <w:t>Enterprise API keys must be scoped, rate-limited, logged, and revocable.</w:t>
      </w:r>
    </w:p>
    <w:p>
      <w:pPr>
        <w:pStyle w:val="ListBullet"/>
        <w:spacing w:after="40" w:line="280" w:lineRule="auto"/>
        <w:ind w:left="720" w:hanging="360"/>
      </w:pPr>
      <w:r>
        <w:rPr>
          <w:rFonts w:ascii="Calibri" w:hAnsi="Calibri"/>
          <w:sz w:val="22"/>
        </w:rPr>
        <w:t>User portfolio data is private by default.</w:t>
      </w:r>
    </w:p>
    <w:p>
      <w:pPr>
        <w:pStyle w:val="ListBullet"/>
        <w:spacing w:after="40" w:line="280" w:lineRule="auto"/>
        <w:ind w:left="720" w:hanging="360"/>
      </w:pPr>
      <w:r>
        <w:rPr>
          <w:rFonts w:ascii="Calibri" w:hAnsi="Calibri"/>
          <w:sz w:val="22"/>
        </w:rPr>
        <w:t>AI prompts and evidence bundles must avoid leaking private user holdings across users.</w:t>
      </w:r>
    </w:p>
    <w:p>
      <w:pPr>
        <w:pStyle w:val="ListBullet"/>
        <w:spacing w:after="40" w:line="280" w:lineRule="auto"/>
        <w:ind w:left="720" w:hanging="360"/>
      </w:pPr>
      <w:r>
        <w:rPr>
          <w:rFonts w:ascii="Calibri" w:hAnsi="Calibri"/>
          <w:sz w:val="22"/>
        </w:rPr>
        <w:t>Every external provider integration must have clear retry, timeout, and abuse controls.</w:t>
      </w:r>
    </w:p>
    <w:p>
      <w:pPr>
        <w:pStyle w:val="Heading2"/>
      </w:pPr>
      <w:r>
        <w:t>3.7 Architecture Acceptance Criteria</w:t>
      </w:r>
    </w:p>
    <w:p>
      <w:pPr>
        <w:pStyle w:val="ListBullet"/>
        <w:spacing w:after="40" w:line="280" w:lineRule="auto"/>
        <w:ind w:left="720" w:hanging="360"/>
      </w:pPr>
      <w:r>
        <w:rPr>
          <w:rFonts w:ascii="Calibri" w:hAnsi="Calibri"/>
          <w:sz w:val="22"/>
        </w:rPr>
        <w:t>A new data provider can be added without modifying dashboard or AI code.</w:t>
      </w:r>
    </w:p>
    <w:p>
      <w:pPr>
        <w:pStyle w:val="ListBullet"/>
        <w:spacing w:after="40" w:line="280" w:lineRule="auto"/>
        <w:ind w:left="720" w:hanging="360"/>
      </w:pPr>
      <w:r>
        <w:rPr>
          <w:rFonts w:ascii="Calibri" w:hAnsi="Calibri"/>
          <w:sz w:val="22"/>
        </w:rPr>
        <w:t>A market signal can be traced back to evidence records and calculation version.</w:t>
      </w:r>
    </w:p>
    <w:p>
      <w:pPr>
        <w:pStyle w:val="ListBullet"/>
        <w:spacing w:after="40" w:line="280" w:lineRule="auto"/>
        <w:ind w:left="720" w:hanging="360"/>
      </w:pPr>
      <w:r>
        <w:rPr>
          <w:rFonts w:ascii="Calibri" w:hAnsi="Calibri"/>
          <w:sz w:val="22"/>
        </w:rPr>
        <w:t>A failed scheduled job is visible in logs and can be retried safely.</w:t>
      </w:r>
    </w:p>
    <w:p>
      <w:pPr>
        <w:pStyle w:val="ListBullet"/>
        <w:spacing w:after="40" w:line="280" w:lineRule="auto"/>
        <w:ind w:left="720" w:hanging="360"/>
      </w:pPr>
      <w:r>
        <w:rPr>
          <w:rFonts w:ascii="Calibri" w:hAnsi="Calibri"/>
          <w:sz w:val="22"/>
        </w:rPr>
        <w:t>Product APIs do not calculate heavy metrics synchronously during dashboard requests.</w:t>
      </w:r>
    </w:p>
    <w:p>
      <w:pPr>
        <w:pStyle w:val="ListBullet"/>
        <w:spacing w:after="40" w:line="280" w:lineRule="auto"/>
        <w:ind w:left="720" w:hanging="360"/>
      </w:pPr>
      <w:r>
        <w:rPr>
          <w:rFonts w:ascii="Calibri" w:hAnsi="Calibri"/>
          <w:sz w:val="22"/>
        </w:rPr>
        <w:t>Category expansion does not require a database redesign.</w:t>
      </w:r>
    </w:p>
    <w:p>
      <w:pPr>
        <w:pStyle w:val="Heading1"/>
      </w:pPr>
      <w:r>
        <w:t>Chapter 4: Database Design</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Database goal: </w:t>
            </w:r>
            <w:r>
              <w:rPr>
                <w:rFonts w:ascii="Calibri" w:hAnsi="Calibri"/>
                <w:color w:val="0B2545"/>
                <w:sz w:val="21"/>
              </w:rPr>
              <w:t>Model collectibles, market observations, intelligence outputs, and user decisions with enough structure for reliable analytics and AI evidence tracing.</w:t>
            </w:r>
          </w:p>
        </w:tc>
      </w:tr>
    </w:tbl>
    <w:p>
      <w:pPr>
        <w:spacing w:after="40"/>
      </w:pPr>
    </w:p>
    <w:p>
      <w:pPr>
        <w:pStyle w:val="Heading2"/>
      </w:pPr>
      <w:r>
        <w:t>4.1 Database Principles</w:t>
      </w:r>
    </w:p>
    <w:p>
      <w:pPr>
        <w:pStyle w:val="ListBullet"/>
        <w:spacing w:after="40" w:line="280" w:lineRule="auto"/>
        <w:ind w:left="720" w:hanging="360"/>
      </w:pPr>
      <w:r>
        <w:rPr>
          <w:rFonts w:ascii="Calibri" w:hAnsi="Calibri"/>
          <w:sz w:val="22"/>
        </w:rPr>
        <w:t>Raw provider payloads are immutable.</w:t>
      </w:r>
    </w:p>
    <w:p>
      <w:pPr>
        <w:pStyle w:val="ListBullet"/>
        <w:spacing w:after="40" w:line="280" w:lineRule="auto"/>
        <w:ind w:left="720" w:hanging="360"/>
      </w:pPr>
      <w:r>
        <w:rPr>
          <w:rFonts w:ascii="Calibri" w:hAnsi="Calibri"/>
          <w:sz w:val="22"/>
        </w:rPr>
        <w:t>Normalized records must preserve links to raw evidence.</w:t>
      </w:r>
    </w:p>
    <w:p>
      <w:pPr>
        <w:pStyle w:val="ListBullet"/>
        <w:spacing w:after="40" w:line="280" w:lineRule="auto"/>
        <w:ind w:left="720" w:hanging="360"/>
      </w:pPr>
      <w:r>
        <w:rPr>
          <w:rFonts w:ascii="Calibri" w:hAnsi="Calibri"/>
          <w:sz w:val="22"/>
        </w:rPr>
        <w:t>Calculated outputs must store calculation version and input window.</w:t>
      </w:r>
    </w:p>
    <w:p>
      <w:pPr>
        <w:pStyle w:val="ListBullet"/>
        <w:spacing w:after="40" w:line="280" w:lineRule="auto"/>
        <w:ind w:left="720" w:hanging="360"/>
      </w:pPr>
      <w:r>
        <w:rPr>
          <w:rFonts w:ascii="Calibri" w:hAnsi="Calibri"/>
          <w:sz w:val="22"/>
        </w:rPr>
        <w:t>AI outputs must store prompt version, model version, evidence references, and confidence.</w:t>
      </w:r>
    </w:p>
    <w:p>
      <w:pPr>
        <w:pStyle w:val="ListBullet"/>
        <w:spacing w:after="40" w:line="280" w:lineRule="auto"/>
        <w:ind w:left="720" w:hanging="360"/>
      </w:pPr>
      <w:r>
        <w:rPr>
          <w:rFonts w:ascii="Calibri" w:hAnsi="Calibri"/>
          <w:sz w:val="22"/>
        </w:rPr>
        <w:t>Soft deletion is preferred for user-facing records that may be audited later.</w:t>
      </w:r>
    </w:p>
    <w:p>
      <w:pPr>
        <w:pStyle w:val="Heading2"/>
      </w:pPr>
      <w:r>
        <w:t>4.2 Core Entity Groups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3960"/>
        <w:gridCol w:w="3500"/>
      </w:tblGrid>
      <w:tr>
        <w:trPr>
          <w:tblHeader w:val="true"/>
          <w:cantSplit/>
        </w:trPr>
        <w:tc>
          <w:tcPr>
            <w:tcW w:type="dxa" w:w="1900"/>
            <w:shd w:fill="F2F4F7"/>
            <w:vAlign w:val="center"/>
          </w:tcPr>
          <w:p>
            <w:pPr>
              <w:spacing w:before="0" w:after="0" w:line="264" w:lineRule="auto"/>
              <w:jc w:val="center"/>
            </w:pPr>
            <w:r/>
            <w:r>
              <w:rPr>
                <w:rFonts w:ascii="Calibri" w:hAnsi="Calibri"/>
                <w:b/>
                <w:color w:val="0B2545"/>
                <w:sz w:val="20"/>
              </w:rPr>
              <w:t>Entity Group</w:t>
            </w:r>
          </w:p>
        </w:tc>
        <w:tc>
          <w:tcPr>
            <w:tcW w:type="dxa" w:w="3960"/>
            <w:shd w:fill="F2F4F7"/>
            <w:vAlign w:val="center"/>
          </w:tcPr>
          <w:p>
            <w:pPr>
              <w:spacing w:before="0" w:after="0" w:line="264" w:lineRule="auto"/>
              <w:jc w:val="center"/>
            </w:pPr>
            <w:r/>
            <w:r>
              <w:rPr>
                <w:rFonts w:ascii="Calibri" w:hAnsi="Calibri"/>
                <w:b/>
                <w:color w:val="0B2545"/>
                <w:sz w:val="20"/>
              </w:rPr>
              <w:t>Tables</w:t>
            </w:r>
          </w:p>
        </w:tc>
        <w:tc>
          <w:tcPr>
            <w:tcW w:type="dxa" w:w="3500"/>
            <w:shd w:fill="F2F4F7"/>
            <w:vAlign w:val="center"/>
          </w:tcPr>
          <w:p>
            <w:pPr>
              <w:spacing w:before="0" w:after="0" w:line="264" w:lineRule="auto"/>
              <w:jc w:val="center"/>
            </w:pPr>
            <w:r/>
            <w:r>
              <w:rPr>
                <w:rFonts w:ascii="Calibri" w:hAnsi="Calibri"/>
                <w:b/>
                <w:color w:val="0B2545"/>
                <w:sz w:val="20"/>
              </w:rPr>
              <w:t>Purpose</w:t>
            </w:r>
          </w:p>
        </w:tc>
      </w:tr>
      <w:tr>
        <w:trPr>
          <w:cantSplit/>
        </w:trPr>
        <w:tc>
          <w:tcPr>
            <w:tcW w:type="dxa" w:w="1900"/>
            <w:vAlign w:val="center"/>
          </w:tcPr>
          <w:p>
            <w:pPr>
              <w:spacing w:before="0" w:after="0" w:line="264" w:lineRule="auto"/>
              <w:jc w:val="left"/>
            </w:pPr>
            <w:r/>
            <w:r>
              <w:rPr>
                <w:rFonts w:ascii="Calibri" w:hAnsi="Calibri"/>
                <w:b/>
                <w:color w:val="0B2545"/>
                <w:sz w:val="19"/>
              </w:rPr>
              <w:t>Catalog</w:t>
            </w:r>
          </w:p>
        </w:tc>
        <w:tc>
          <w:tcPr>
            <w:tcW w:type="dxa" w:w="3960"/>
            <w:vAlign w:val="center"/>
          </w:tcPr>
          <w:p>
            <w:pPr>
              <w:spacing w:before="0" w:after="0" w:line="264" w:lineRule="auto"/>
              <w:jc w:val="left"/>
            </w:pPr>
            <w:r/>
            <w:r>
              <w:rPr>
                <w:rFonts w:ascii="Calibri" w:hAnsi="Calibri"/>
                <w:b w:val="0"/>
                <w:color w:val="000000"/>
                <w:sz w:val="19"/>
              </w:rPr>
              <w:t>categories, franchises, sets, assets, asset_variants, grades, grading_companies.</w:t>
            </w:r>
          </w:p>
        </w:tc>
        <w:tc>
          <w:tcPr>
            <w:tcW w:type="dxa" w:w="3500"/>
            <w:vAlign w:val="center"/>
          </w:tcPr>
          <w:p>
            <w:pPr>
              <w:spacing w:before="0" w:after="0" w:line="264" w:lineRule="auto"/>
              <w:jc w:val="left"/>
            </w:pPr>
            <w:r/>
            <w:r>
              <w:rPr>
                <w:rFonts w:ascii="Calibri" w:hAnsi="Calibri"/>
                <w:b w:val="0"/>
                <w:color w:val="000000"/>
                <w:sz w:val="19"/>
              </w:rPr>
              <w:t>Canonical asset identity and metadata.</w:t>
            </w:r>
          </w:p>
        </w:tc>
      </w:tr>
      <w:tr>
        <w:trPr>
          <w:cantSplit/>
        </w:trPr>
        <w:tc>
          <w:tcPr>
            <w:tcW w:type="dxa" w:w="1900"/>
            <w:vAlign w:val="center"/>
          </w:tcPr>
          <w:p>
            <w:pPr>
              <w:spacing w:before="0" w:after="0" w:line="264" w:lineRule="auto"/>
              <w:jc w:val="left"/>
            </w:pPr>
            <w:r/>
            <w:r>
              <w:rPr>
                <w:rFonts w:ascii="Calibri" w:hAnsi="Calibri"/>
                <w:b/>
                <w:color w:val="0B2545"/>
                <w:sz w:val="19"/>
              </w:rPr>
              <w:t>Market Data</w:t>
            </w:r>
          </w:p>
        </w:tc>
        <w:tc>
          <w:tcPr>
            <w:tcW w:type="dxa" w:w="3960"/>
            <w:vAlign w:val="center"/>
          </w:tcPr>
          <w:p>
            <w:pPr>
              <w:spacing w:before="0" w:after="0" w:line="264" w:lineRule="auto"/>
              <w:jc w:val="left"/>
            </w:pPr>
            <w:r/>
            <w:r>
              <w:rPr>
                <w:rFonts w:ascii="Calibri" w:hAnsi="Calibri"/>
                <w:b w:val="0"/>
                <w:color w:val="000000"/>
                <w:sz w:val="19"/>
              </w:rPr>
              <w:t>raw_payloads, observations, sales, listings, price_snapshots, population_snapshots.</w:t>
            </w:r>
          </w:p>
        </w:tc>
        <w:tc>
          <w:tcPr>
            <w:tcW w:type="dxa" w:w="3500"/>
            <w:vAlign w:val="center"/>
          </w:tcPr>
          <w:p>
            <w:pPr>
              <w:spacing w:before="0" w:after="0" w:line="264" w:lineRule="auto"/>
              <w:jc w:val="left"/>
            </w:pPr>
            <w:r/>
            <w:r>
              <w:rPr>
                <w:rFonts w:ascii="Calibri" w:hAnsi="Calibri"/>
                <w:b w:val="0"/>
                <w:color w:val="000000"/>
                <w:sz w:val="19"/>
              </w:rPr>
              <w:t>Observed market facts and normalized price/supply history.</w:t>
            </w:r>
          </w:p>
        </w:tc>
      </w:tr>
      <w:tr>
        <w:trPr>
          <w:cantSplit/>
        </w:trPr>
        <w:tc>
          <w:tcPr>
            <w:tcW w:type="dxa" w:w="1900"/>
            <w:vAlign w:val="center"/>
          </w:tcPr>
          <w:p>
            <w:pPr>
              <w:spacing w:before="0" w:after="0" w:line="264" w:lineRule="auto"/>
              <w:jc w:val="left"/>
            </w:pPr>
            <w:r/>
            <w:r>
              <w:rPr>
                <w:rFonts w:ascii="Calibri" w:hAnsi="Calibri"/>
                <w:b/>
                <w:color w:val="0B2545"/>
                <w:sz w:val="19"/>
              </w:rPr>
              <w:t>Intelligence</w:t>
            </w:r>
          </w:p>
        </w:tc>
        <w:tc>
          <w:tcPr>
            <w:tcW w:type="dxa" w:w="3960"/>
            <w:vAlign w:val="center"/>
          </w:tcPr>
          <w:p>
            <w:pPr>
              <w:spacing w:before="0" w:after="0" w:line="264" w:lineRule="auto"/>
              <w:jc w:val="left"/>
            </w:pPr>
            <w:r/>
            <w:r>
              <w:rPr>
                <w:rFonts w:ascii="Calibri" w:hAnsi="Calibri"/>
                <w:b w:val="0"/>
                <w:color w:val="000000"/>
                <w:sz w:val="19"/>
              </w:rPr>
              <w:t>evidence_bundles, catalysts, signals, ai_explanations, market_indexes, index_values.</w:t>
            </w:r>
          </w:p>
        </w:tc>
        <w:tc>
          <w:tcPr>
            <w:tcW w:type="dxa" w:w="3500"/>
            <w:vAlign w:val="center"/>
          </w:tcPr>
          <w:p>
            <w:pPr>
              <w:spacing w:before="0" w:after="0" w:line="264" w:lineRule="auto"/>
              <w:jc w:val="left"/>
            </w:pPr>
            <w:r/>
            <w:r>
              <w:rPr>
                <w:rFonts w:ascii="Calibri" w:hAnsi="Calibri"/>
                <w:b w:val="0"/>
                <w:color w:val="000000"/>
                <w:sz w:val="19"/>
              </w:rPr>
              <w:t>Market interpretation and product intelligence.</w:t>
            </w:r>
          </w:p>
        </w:tc>
      </w:tr>
      <w:tr>
        <w:trPr>
          <w:cantSplit/>
        </w:trPr>
        <w:tc>
          <w:tcPr>
            <w:tcW w:type="dxa" w:w="1900"/>
            <w:vAlign w:val="center"/>
          </w:tcPr>
          <w:p>
            <w:pPr>
              <w:spacing w:before="0" w:after="0" w:line="264" w:lineRule="auto"/>
              <w:jc w:val="left"/>
            </w:pPr>
            <w:r/>
            <w:r>
              <w:rPr>
                <w:rFonts w:ascii="Calibri" w:hAnsi="Calibri"/>
                <w:b/>
                <w:color w:val="0B2545"/>
                <w:sz w:val="19"/>
              </w:rPr>
              <w:t>Users</w:t>
            </w:r>
          </w:p>
        </w:tc>
        <w:tc>
          <w:tcPr>
            <w:tcW w:type="dxa" w:w="3960"/>
            <w:vAlign w:val="center"/>
          </w:tcPr>
          <w:p>
            <w:pPr>
              <w:spacing w:before="0" w:after="0" w:line="264" w:lineRule="auto"/>
              <w:jc w:val="left"/>
            </w:pPr>
            <w:r/>
            <w:r>
              <w:rPr>
                <w:rFonts w:ascii="Calibri" w:hAnsi="Calibri"/>
                <w:b w:val="0"/>
                <w:color w:val="000000"/>
                <w:sz w:val="19"/>
              </w:rPr>
              <w:t>users, watchlists, portfolios, holdings, alerts, notification_preferences.</w:t>
            </w:r>
          </w:p>
        </w:tc>
        <w:tc>
          <w:tcPr>
            <w:tcW w:type="dxa" w:w="3500"/>
            <w:vAlign w:val="center"/>
          </w:tcPr>
          <w:p>
            <w:pPr>
              <w:spacing w:before="0" w:after="0" w:line="264" w:lineRule="auto"/>
              <w:jc w:val="left"/>
            </w:pPr>
            <w:r/>
            <w:r>
              <w:rPr>
                <w:rFonts w:ascii="Calibri" w:hAnsi="Calibri"/>
                <w:b w:val="0"/>
                <w:color w:val="000000"/>
                <w:sz w:val="19"/>
              </w:rPr>
              <w:t>Personalized tracking and portfolio intelligence.</w:t>
            </w:r>
          </w:p>
        </w:tc>
      </w:tr>
      <w:tr>
        <w:trPr>
          <w:cantSplit/>
        </w:trPr>
        <w:tc>
          <w:tcPr>
            <w:tcW w:type="dxa" w:w="1900"/>
            <w:vAlign w:val="center"/>
          </w:tcPr>
          <w:p>
            <w:pPr>
              <w:spacing w:before="0" w:after="0" w:line="264" w:lineRule="auto"/>
              <w:jc w:val="left"/>
            </w:pPr>
            <w:r/>
            <w:r>
              <w:rPr>
                <w:rFonts w:ascii="Calibri" w:hAnsi="Calibri"/>
                <w:b/>
                <w:color w:val="0B2545"/>
                <w:sz w:val="19"/>
              </w:rPr>
              <w:t>Reports</w:t>
            </w:r>
          </w:p>
        </w:tc>
        <w:tc>
          <w:tcPr>
            <w:tcW w:type="dxa" w:w="3960"/>
            <w:vAlign w:val="center"/>
          </w:tcPr>
          <w:p>
            <w:pPr>
              <w:spacing w:before="0" w:after="0" w:line="264" w:lineRule="auto"/>
              <w:jc w:val="left"/>
            </w:pPr>
            <w:r/>
            <w:r>
              <w:rPr>
                <w:rFonts w:ascii="Calibri" w:hAnsi="Calibri"/>
                <w:b w:val="0"/>
                <w:color w:val="000000"/>
                <w:sz w:val="19"/>
              </w:rPr>
              <w:t>daily_reports, report_sections, report_distributions, report_assets.</w:t>
            </w:r>
          </w:p>
        </w:tc>
        <w:tc>
          <w:tcPr>
            <w:tcW w:type="dxa" w:w="3500"/>
            <w:vAlign w:val="center"/>
          </w:tcPr>
          <w:p>
            <w:pPr>
              <w:spacing w:before="0" w:after="0" w:line="264" w:lineRule="auto"/>
              <w:jc w:val="left"/>
            </w:pPr>
            <w:r/>
            <w:r>
              <w:rPr>
                <w:rFonts w:ascii="Calibri" w:hAnsi="Calibri"/>
                <w:b w:val="0"/>
                <w:color w:val="000000"/>
                <w:sz w:val="19"/>
              </w:rPr>
              <w:t>Generated market reports and delivery history.</w:t>
            </w:r>
          </w:p>
        </w:tc>
      </w:tr>
      <w:tr>
        <w:trPr>
          <w:cantSplit/>
        </w:trPr>
        <w:tc>
          <w:tcPr>
            <w:tcW w:type="dxa" w:w="1900"/>
            <w:vAlign w:val="center"/>
          </w:tcPr>
          <w:p>
            <w:pPr>
              <w:spacing w:before="0" w:after="0" w:line="264" w:lineRule="auto"/>
              <w:jc w:val="left"/>
            </w:pPr>
            <w:r/>
            <w:r>
              <w:rPr>
                <w:rFonts w:ascii="Calibri" w:hAnsi="Calibri"/>
                <w:b/>
                <w:color w:val="0B2545"/>
                <w:sz w:val="19"/>
              </w:rPr>
              <w:t>Audit</w:t>
            </w:r>
          </w:p>
        </w:tc>
        <w:tc>
          <w:tcPr>
            <w:tcW w:type="dxa" w:w="3960"/>
            <w:vAlign w:val="center"/>
          </w:tcPr>
          <w:p>
            <w:pPr>
              <w:spacing w:before="0" w:after="0" w:line="264" w:lineRule="auto"/>
              <w:jc w:val="left"/>
            </w:pPr>
            <w:r/>
            <w:r>
              <w:rPr>
                <w:rFonts w:ascii="Calibri" w:hAnsi="Calibri"/>
                <w:b w:val="0"/>
                <w:color w:val="000000"/>
                <w:sz w:val="19"/>
              </w:rPr>
              <w:t>job_runs, calculation_versions, ai_audits, provider_errors, user_feedback.</w:t>
            </w:r>
          </w:p>
        </w:tc>
        <w:tc>
          <w:tcPr>
            <w:tcW w:type="dxa" w:w="3500"/>
            <w:vAlign w:val="center"/>
          </w:tcPr>
          <w:p>
            <w:pPr>
              <w:spacing w:before="0" w:after="0" w:line="264" w:lineRule="auto"/>
              <w:jc w:val="left"/>
            </w:pPr>
            <w:r/>
            <w:r>
              <w:rPr>
                <w:rFonts w:ascii="Calibri" w:hAnsi="Calibri"/>
                <w:b w:val="0"/>
                <w:color w:val="000000"/>
                <w:sz w:val="19"/>
              </w:rPr>
              <w:t>Trust, debugging, evaluation, and compliance.</w:t>
            </w:r>
          </w:p>
        </w:tc>
      </w:tr>
    </w:tbl>
    <w:p>
      <w:pPr>
        <w:spacing w:after="40"/>
      </w:pPr>
    </w:p>
    <w:p>
      <w:pPr>
        <w:pStyle w:val="Heading2"/>
      </w:pPr>
      <w:r>
        <w:t>4.3 Required Core Tables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00"/>
        <w:gridCol w:w="3860"/>
        <w:gridCol w:w="3300"/>
      </w:tblGrid>
      <w:tr>
        <w:trPr>
          <w:tblHeader w:val="true"/>
          <w:cantSplit/>
        </w:trPr>
        <w:tc>
          <w:tcPr>
            <w:tcW w:type="dxa" w:w="2200"/>
            <w:shd w:fill="F2F4F7"/>
            <w:vAlign w:val="center"/>
          </w:tcPr>
          <w:p>
            <w:pPr>
              <w:spacing w:before="0" w:after="0" w:line="264" w:lineRule="auto"/>
              <w:jc w:val="center"/>
            </w:pPr>
            <w:r/>
            <w:r>
              <w:rPr>
                <w:rFonts w:ascii="Calibri" w:hAnsi="Calibri"/>
                <w:b/>
                <w:color w:val="0B2545"/>
                <w:sz w:val="20"/>
              </w:rPr>
              <w:t>Table</w:t>
            </w:r>
          </w:p>
        </w:tc>
        <w:tc>
          <w:tcPr>
            <w:tcW w:type="dxa" w:w="3860"/>
            <w:shd w:fill="F2F4F7"/>
            <w:vAlign w:val="center"/>
          </w:tcPr>
          <w:p>
            <w:pPr>
              <w:spacing w:before="0" w:after="0" w:line="264" w:lineRule="auto"/>
              <w:jc w:val="center"/>
            </w:pPr>
            <w:r/>
            <w:r>
              <w:rPr>
                <w:rFonts w:ascii="Calibri" w:hAnsi="Calibri"/>
                <w:b/>
                <w:color w:val="0B2545"/>
                <w:sz w:val="20"/>
              </w:rPr>
              <w:t>Key Columns</w:t>
            </w:r>
          </w:p>
        </w:tc>
        <w:tc>
          <w:tcPr>
            <w:tcW w:type="dxa" w:w="3300"/>
            <w:shd w:fill="F2F4F7"/>
            <w:vAlign w:val="center"/>
          </w:tcPr>
          <w:p>
            <w:pPr>
              <w:spacing w:before="0" w:after="0" w:line="264" w:lineRule="auto"/>
              <w:jc w:val="center"/>
            </w:pPr>
            <w:r/>
            <w:r>
              <w:rPr>
                <w:rFonts w:ascii="Calibri" w:hAnsi="Calibri"/>
                <w:b/>
                <w:color w:val="0B2545"/>
                <w:sz w:val="20"/>
              </w:rPr>
              <w:t>Notes</w:t>
            </w:r>
          </w:p>
        </w:tc>
      </w:tr>
      <w:tr>
        <w:trPr>
          <w:cantSplit/>
        </w:trPr>
        <w:tc>
          <w:tcPr>
            <w:tcW w:type="dxa" w:w="2200"/>
            <w:vAlign w:val="center"/>
          </w:tcPr>
          <w:p>
            <w:pPr>
              <w:spacing w:before="0" w:after="0" w:line="264" w:lineRule="auto"/>
              <w:jc w:val="left"/>
            </w:pPr>
            <w:r/>
            <w:r>
              <w:rPr>
                <w:rFonts w:ascii="Calibri" w:hAnsi="Calibri"/>
                <w:b/>
                <w:color w:val="0B2545"/>
                <w:sz w:val="18"/>
              </w:rPr>
              <w:t>assets</w:t>
            </w:r>
          </w:p>
        </w:tc>
        <w:tc>
          <w:tcPr>
            <w:tcW w:type="dxa" w:w="3860"/>
            <w:vAlign w:val="center"/>
          </w:tcPr>
          <w:p>
            <w:pPr>
              <w:spacing w:before="0" w:after="0" w:line="264" w:lineRule="auto"/>
              <w:jc w:val="left"/>
            </w:pPr>
            <w:r/>
            <w:r>
              <w:rPr>
                <w:rFonts w:ascii="Calibri" w:hAnsi="Calibri"/>
                <w:b w:val="0"/>
                <w:color w:val="000000"/>
                <w:sz w:val="18"/>
              </w:rPr>
              <w:t>id, category_id, set_id, name, number, language, release_date, canonical_slug.</w:t>
            </w:r>
          </w:p>
        </w:tc>
        <w:tc>
          <w:tcPr>
            <w:tcW w:type="dxa" w:w="3300"/>
            <w:vAlign w:val="center"/>
          </w:tcPr>
          <w:p>
            <w:pPr>
              <w:spacing w:before="0" w:after="0" w:line="264" w:lineRule="auto"/>
              <w:jc w:val="left"/>
            </w:pPr>
            <w:r/>
            <w:r>
              <w:rPr>
                <w:rFonts w:ascii="Calibri" w:hAnsi="Calibri"/>
                <w:b w:val="0"/>
                <w:color w:val="000000"/>
                <w:sz w:val="18"/>
              </w:rPr>
              <w:t>Represents the base collectible asset.</w:t>
            </w:r>
          </w:p>
        </w:tc>
      </w:tr>
      <w:tr>
        <w:trPr>
          <w:cantSplit/>
        </w:trPr>
        <w:tc>
          <w:tcPr>
            <w:tcW w:type="dxa" w:w="2200"/>
            <w:vAlign w:val="center"/>
          </w:tcPr>
          <w:p>
            <w:pPr>
              <w:spacing w:before="0" w:after="0" w:line="264" w:lineRule="auto"/>
              <w:jc w:val="left"/>
            </w:pPr>
            <w:r/>
            <w:r>
              <w:rPr>
                <w:rFonts w:ascii="Calibri" w:hAnsi="Calibri"/>
                <w:b/>
                <w:color w:val="0B2545"/>
                <w:sz w:val="18"/>
              </w:rPr>
              <w:t>asset_variants</w:t>
            </w:r>
          </w:p>
        </w:tc>
        <w:tc>
          <w:tcPr>
            <w:tcW w:type="dxa" w:w="3860"/>
            <w:vAlign w:val="center"/>
          </w:tcPr>
          <w:p>
            <w:pPr>
              <w:spacing w:before="0" w:after="0" w:line="264" w:lineRule="auto"/>
              <w:jc w:val="left"/>
            </w:pPr>
            <w:r/>
            <w:r>
              <w:rPr>
                <w:rFonts w:ascii="Calibri" w:hAnsi="Calibri"/>
                <w:b w:val="0"/>
                <w:color w:val="000000"/>
                <w:sz w:val="18"/>
              </w:rPr>
              <w:t>id, asset_id, condition, grade_company, grade, finish, region, rarity.</w:t>
            </w:r>
          </w:p>
        </w:tc>
        <w:tc>
          <w:tcPr>
            <w:tcW w:type="dxa" w:w="3300"/>
            <w:vAlign w:val="center"/>
          </w:tcPr>
          <w:p>
            <w:pPr>
              <w:spacing w:before="0" w:after="0" w:line="264" w:lineRule="auto"/>
              <w:jc w:val="left"/>
            </w:pPr>
            <w:r/>
            <w:r>
              <w:rPr>
                <w:rFonts w:ascii="Calibri" w:hAnsi="Calibri"/>
                <w:b w:val="0"/>
                <w:color w:val="000000"/>
                <w:sz w:val="18"/>
              </w:rPr>
              <w:t>Separates raw, PSA10, BGS10, sealed, and other variants.</w:t>
            </w:r>
          </w:p>
        </w:tc>
      </w:tr>
      <w:tr>
        <w:trPr>
          <w:cantSplit/>
        </w:trPr>
        <w:tc>
          <w:tcPr>
            <w:tcW w:type="dxa" w:w="2200"/>
            <w:vAlign w:val="center"/>
          </w:tcPr>
          <w:p>
            <w:pPr>
              <w:spacing w:before="0" w:after="0" w:line="264" w:lineRule="auto"/>
              <w:jc w:val="left"/>
            </w:pPr>
            <w:r/>
            <w:r>
              <w:rPr>
                <w:rFonts w:ascii="Calibri" w:hAnsi="Calibri"/>
                <w:b/>
                <w:color w:val="0B2545"/>
                <w:sz w:val="18"/>
              </w:rPr>
              <w:t>observations</w:t>
            </w:r>
          </w:p>
        </w:tc>
        <w:tc>
          <w:tcPr>
            <w:tcW w:type="dxa" w:w="3860"/>
            <w:vAlign w:val="center"/>
          </w:tcPr>
          <w:p>
            <w:pPr>
              <w:spacing w:before="0" w:after="0" w:line="264" w:lineRule="auto"/>
              <w:jc w:val="left"/>
            </w:pPr>
            <w:r/>
            <w:r>
              <w:rPr>
                <w:rFonts w:ascii="Calibri" w:hAnsi="Calibri"/>
                <w:b w:val="0"/>
                <w:color w:val="000000"/>
                <w:sz w:val="18"/>
              </w:rPr>
              <w:t>id, asset_variant_id, source, type, value, currency, observed_at, confidence.</w:t>
            </w:r>
          </w:p>
        </w:tc>
        <w:tc>
          <w:tcPr>
            <w:tcW w:type="dxa" w:w="3300"/>
            <w:vAlign w:val="center"/>
          </w:tcPr>
          <w:p>
            <w:pPr>
              <w:spacing w:before="0" w:after="0" w:line="264" w:lineRule="auto"/>
              <w:jc w:val="left"/>
            </w:pPr>
            <w:r/>
            <w:r>
              <w:rPr>
                <w:rFonts w:ascii="Calibri" w:hAnsi="Calibri"/>
                <w:b w:val="0"/>
                <w:color w:val="000000"/>
                <w:sz w:val="18"/>
              </w:rPr>
              <w:t>Generic observation record used by downstream engines.</w:t>
            </w:r>
          </w:p>
        </w:tc>
      </w:tr>
      <w:tr>
        <w:trPr>
          <w:cantSplit/>
        </w:trPr>
        <w:tc>
          <w:tcPr>
            <w:tcW w:type="dxa" w:w="2200"/>
            <w:vAlign w:val="center"/>
          </w:tcPr>
          <w:p>
            <w:pPr>
              <w:spacing w:before="0" w:after="0" w:line="264" w:lineRule="auto"/>
              <w:jc w:val="left"/>
            </w:pPr>
            <w:r/>
            <w:r>
              <w:rPr>
                <w:rFonts w:ascii="Calibri" w:hAnsi="Calibri"/>
                <w:b/>
                <w:color w:val="0B2545"/>
                <w:sz w:val="18"/>
              </w:rPr>
              <w:t>sales</w:t>
            </w:r>
          </w:p>
        </w:tc>
        <w:tc>
          <w:tcPr>
            <w:tcW w:type="dxa" w:w="3860"/>
            <w:vAlign w:val="center"/>
          </w:tcPr>
          <w:p>
            <w:pPr>
              <w:spacing w:before="0" w:after="0" w:line="264" w:lineRule="auto"/>
              <w:jc w:val="left"/>
            </w:pPr>
            <w:r/>
            <w:r>
              <w:rPr>
                <w:rFonts w:ascii="Calibri" w:hAnsi="Calibri"/>
                <w:b w:val="0"/>
                <w:color w:val="000000"/>
                <w:sz w:val="18"/>
              </w:rPr>
              <w:t>id, observation_id, sold_price, currency, venue, seller_hash, sold_at.</w:t>
            </w:r>
          </w:p>
        </w:tc>
        <w:tc>
          <w:tcPr>
            <w:tcW w:type="dxa" w:w="3300"/>
            <w:vAlign w:val="center"/>
          </w:tcPr>
          <w:p>
            <w:pPr>
              <w:spacing w:before="0" w:after="0" w:line="264" w:lineRule="auto"/>
              <w:jc w:val="left"/>
            </w:pPr>
            <w:r/>
            <w:r>
              <w:rPr>
                <w:rFonts w:ascii="Calibri" w:hAnsi="Calibri"/>
                <w:b w:val="0"/>
                <w:color w:val="000000"/>
                <w:sz w:val="18"/>
              </w:rPr>
              <w:t>Transactional evidence for valuation and liquidity.</w:t>
            </w:r>
          </w:p>
        </w:tc>
      </w:tr>
      <w:tr>
        <w:trPr>
          <w:cantSplit/>
        </w:trPr>
        <w:tc>
          <w:tcPr>
            <w:tcW w:type="dxa" w:w="2200"/>
            <w:vAlign w:val="center"/>
          </w:tcPr>
          <w:p>
            <w:pPr>
              <w:spacing w:before="0" w:after="0" w:line="264" w:lineRule="auto"/>
              <w:jc w:val="left"/>
            </w:pPr>
            <w:r/>
            <w:r>
              <w:rPr>
                <w:rFonts w:ascii="Calibri" w:hAnsi="Calibri"/>
                <w:b/>
                <w:color w:val="0B2545"/>
                <w:sz w:val="18"/>
              </w:rPr>
              <w:t>population_snapshots</w:t>
            </w:r>
          </w:p>
        </w:tc>
        <w:tc>
          <w:tcPr>
            <w:tcW w:type="dxa" w:w="3860"/>
            <w:vAlign w:val="center"/>
          </w:tcPr>
          <w:p>
            <w:pPr>
              <w:spacing w:before="0" w:after="0" w:line="264" w:lineRule="auto"/>
              <w:jc w:val="left"/>
            </w:pPr>
            <w:r/>
            <w:r>
              <w:rPr>
                <w:rFonts w:ascii="Calibri" w:hAnsi="Calibri"/>
                <w:b w:val="0"/>
                <w:color w:val="000000"/>
                <w:sz w:val="18"/>
              </w:rPr>
              <w:t>id, asset_variant_id, grading_company, grade, population, snapshot_at.</w:t>
            </w:r>
          </w:p>
        </w:tc>
        <w:tc>
          <w:tcPr>
            <w:tcW w:type="dxa" w:w="3300"/>
            <w:vAlign w:val="center"/>
          </w:tcPr>
          <w:p>
            <w:pPr>
              <w:spacing w:before="0" w:after="0" w:line="264" w:lineRule="auto"/>
              <w:jc w:val="left"/>
            </w:pPr>
            <w:r/>
            <w:r>
              <w:rPr>
                <w:rFonts w:ascii="Calibri" w:hAnsi="Calibri"/>
                <w:b w:val="0"/>
                <w:color w:val="000000"/>
                <w:sz w:val="18"/>
              </w:rPr>
              <w:t>Supply-side graded population history.</w:t>
            </w:r>
          </w:p>
        </w:tc>
      </w:tr>
      <w:tr>
        <w:trPr>
          <w:cantSplit/>
        </w:trPr>
        <w:tc>
          <w:tcPr>
            <w:tcW w:type="dxa" w:w="2200"/>
            <w:vAlign w:val="center"/>
          </w:tcPr>
          <w:p>
            <w:pPr>
              <w:spacing w:before="0" w:after="0" w:line="264" w:lineRule="auto"/>
              <w:jc w:val="left"/>
            </w:pPr>
            <w:r/>
            <w:r>
              <w:rPr>
                <w:rFonts w:ascii="Calibri" w:hAnsi="Calibri"/>
                <w:b/>
                <w:color w:val="0B2545"/>
                <w:sz w:val="18"/>
              </w:rPr>
              <w:t>signals</w:t>
            </w:r>
          </w:p>
        </w:tc>
        <w:tc>
          <w:tcPr>
            <w:tcW w:type="dxa" w:w="3860"/>
            <w:vAlign w:val="center"/>
          </w:tcPr>
          <w:p>
            <w:pPr>
              <w:spacing w:before="0" w:after="0" w:line="264" w:lineRule="auto"/>
              <w:jc w:val="left"/>
            </w:pPr>
            <w:r/>
            <w:r>
              <w:rPr>
                <w:rFonts w:ascii="Calibri" w:hAnsi="Calibri"/>
                <w:b w:val="0"/>
                <w:color w:val="000000"/>
                <w:sz w:val="18"/>
              </w:rPr>
              <w:t>id, asset_variant_id, signal_type, confidence, severity, status, generated_at.</w:t>
            </w:r>
          </w:p>
        </w:tc>
        <w:tc>
          <w:tcPr>
            <w:tcW w:type="dxa" w:w="3300"/>
            <w:vAlign w:val="center"/>
          </w:tcPr>
          <w:p>
            <w:pPr>
              <w:spacing w:before="0" w:after="0" w:line="264" w:lineRule="auto"/>
              <w:jc w:val="left"/>
            </w:pPr>
            <w:r/>
            <w:r>
              <w:rPr>
                <w:rFonts w:ascii="Calibri" w:hAnsi="Calibri"/>
                <w:b w:val="0"/>
                <w:color w:val="000000"/>
                <w:sz w:val="18"/>
              </w:rPr>
              <w:t>Structured market condition outputs.</w:t>
            </w:r>
          </w:p>
        </w:tc>
      </w:tr>
      <w:tr>
        <w:trPr>
          <w:cantSplit/>
        </w:trPr>
        <w:tc>
          <w:tcPr>
            <w:tcW w:type="dxa" w:w="2200"/>
            <w:vAlign w:val="center"/>
          </w:tcPr>
          <w:p>
            <w:pPr>
              <w:spacing w:before="0" w:after="0" w:line="264" w:lineRule="auto"/>
              <w:jc w:val="left"/>
            </w:pPr>
            <w:r/>
            <w:r>
              <w:rPr>
                <w:rFonts w:ascii="Calibri" w:hAnsi="Calibri"/>
                <w:b/>
                <w:color w:val="0B2545"/>
                <w:sz w:val="18"/>
              </w:rPr>
              <w:t>ai_explanations</w:t>
            </w:r>
          </w:p>
        </w:tc>
        <w:tc>
          <w:tcPr>
            <w:tcW w:type="dxa" w:w="3860"/>
            <w:vAlign w:val="center"/>
          </w:tcPr>
          <w:p>
            <w:pPr>
              <w:spacing w:before="0" w:after="0" w:line="264" w:lineRule="auto"/>
              <w:jc w:val="left"/>
            </w:pPr>
            <w:r/>
            <w:r>
              <w:rPr>
                <w:rFonts w:ascii="Calibri" w:hAnsi="Calibri"/>
                <w:b w:val="0"/>
                <w:color w:val="000000"/>
                <w:sz w:val="18"/>
              </w:rPr>
              <w:t>id, subject_type, subject_id, model, prompt_version, confidence, text, created_at.</w:t>
            </w:r>
          </w:p>
        </w:tc>
        <w:tc>
          <w:tcPr>
            <w:tcW w:type="dxa" w:w="3300"/>
            <w:vAlign w:val="center"/>
          </w:tcPr>
          <w:p>
            <w:pPr>
              <w:spacing w:before="0" w:after="0" w:line="264" w:lineRule="auto"/>
              <w:jc w:val="left"/>
            </w:pPr>
            <w:r/>
            <w:r>
              <w:rPr>
                <w:rFonts w:ascii="Calibri" w:hAnsi="Calibri"/>
                <w:b w:val="0"/>
                <w:color w:val="000000"/>
                <w:sz w:val="18"/>
              </w:rPr>
              <w:t>Stored AI output with traceability.</w:t>
            </w:r>
          </w:p>
        </w:tc>
      </w:tr>
    </w:tbl>
    <w:p>
      <w:pPr>
        <w:spacing w:after="40"/>
      </w:pPr>
    </w:p>
    <w:p>
      <w:pPr>
        <w:pStyle w:val="Heading2"/>
      </w:pPr>
      <w:r>
        <w:t>4.4 Indexing Strategy</w:t>
      </w:r>
    </w:p>
    <w:p>
      <w:pPr>
        <w:pStyle w:val="ListBullet"/>
        <w:spacing w:after="40" w:line="280" w:lineRule="auto"/>
        <w:ind w:left="720" w:hanging="360"/>
      </w:pPr>
      <w:r>
        <w:rPr>
          <w:rFonts w:ascii="Calibri" w:hAnsi="Calibri"/>
          <w:sz w:val="22"/>
        </w:rPr>
        <w:t>Index observations by asset_variant_id, source, type, observed_at, and confidence.</w:t>
      </w:r>
    </w:p>
    <w:p>
      <w:pPr>
        <w:pStyle w:val="ListBullet"/>
        <w:spacing w:after="40" w:line="280" w:lineRule="auto"/>
        <w:ind w:left="720" w:hanging="360"/>
      </w:pPr>
      <w:r>
        <w:rPr>
          <w:rFonts w:ascii="Calibri" w:hAnsi="Calibri"/>
          <w:sz w:val="22"/>
        </w:rPr>
        <w:t>Index sales by asset_variant_id, sold_at, venue, currency, and normalized price.</w:t>
      </w:r>
    </w:p>
    <w:p>
      <w:pPr>
        <w:pStyle w:val="ListBullet"/>
        <w:spacing w:after="40" w:line="280" w:lineRule="auto"/>
        <w:ind w:left="720" w:hanging="360"/>
      </w:pPr>
      <w:r>
        <w:rPr>
          <w:rFonts w:ascii="Calibri" w:hAnsi="Calibri"/>
          <w:sz w:val="22"/>
        </w:rPr>
        <w:t>Index signals by asset_variant_id, signal_type, status, confidence, and generated_at.</w:t>
      </w:r>
    </w:p>
    <w:p>
      <w:pPr>
        <w:pStyle w:val="ListBullet"/>
        <w:spacing w:after="40" w:line="280" w:lineRule="auto"/>
        <w:ind w:left="720" w:hanging="360"/>
      </w:pPr>
      <w:r>
        <w:rPr>
          <w:rFonts w:ascii="Calibri" w:hAnsi="Calibri"/>
          <w:sz w:val="22"/>
        </w:rPr>
        <w:t>Index catalysts by status, start_at, end_at, category_id, and affected asset mappings.</w:t>
      </w:r>
    </w:p>
    <w:p>
      <w:pPr>
        <w:pStyle w:val="ListBullet"/>
        <w:spacing w:after="40" w:line="280" w:lineRule="auto"/>
        <w:ind w:left="720" w:hanging="360"/>
      </w:pPr>
      <w:r>
        <w:rPr>
          <w:rFonts w:ascii="Calibri" w:hAnsi="Calibri"/>
          <w:sz w:val="22"/>
        </w:rPr>
        <w:t>Add full-text search for asset names, set names, news titles, and aliases.</w:t>
      </w:r>
    </w:p>
    <w:p>
      <w:pPr>
        <w:pStyle w:val="Heading2"/>
      </w:pPr>
      <w:r>
        <w:t>4.5 Migration Rules</w:t>
      </w:r>
    </w:p>
    <w:p>
      <w:pPr>
        <w:pStyle w:val="ListBullet"/>
        <w:spacing w:after="40" w:line="280" w:lineRule="auto"/>
        <w:ind w:left="720" w:hanging="360"/>
      </w:pPr>
      <w:r>
        <w:rPr>
          <w:rFonts w:ascii="Calibri" w:hAnsi="Calibri"/>
          <w:sz w:val="22"/>
        </w:rPr>
        <w:t>All schema migrations must be reversible unless explicitly documented.</w:t>
      </w:r>
    </w:p>
    <w:p>
      <w:pPr>
        <w:pStyle w:val="ListBullet"/>
        <w:spacing w:after="40" w:line="280" w:lineRule="auto"/>
        <w:ind w:left="720" w:hanging="360"/>
      </w:pPr>
      <w:r>
        <w:rPr>
          <w:rFonts w:ascii="Calibri" w:hAnsi="Calibri"/>
          <w:sz w:val="22"/>
        </w:rPr>
        <w:t>Large backfills must run as separate jobs, not inside request paths.</w:t>
      </w:r>
    </w:p>
    <w:p>
      <w:pPr>
        <w:pStyle w:val="ListBullet"/>
        <w:spacing w:after="40" w:line="280" w:lineRule="auto"/>
        <w:ind w:left="720" w:hanging="360"/>
      </w:pPr>
      <w:r>
        <w:rPr>
          <w:rFonts w:ascii="Calibri" w:hAnsi="Calibri"/>
          <w:sz w:val="22"/>
        </w:rPr>
        <w:t>Calculation versions must be stored before changing index, signal, or confidence formulas.</w:t>
      </w:r>
    </w:p>
    <w:p>
      <w:pPr>
        <w:pStyle w:val="ListBullet"/>
        <w:spacing w:after="40" w:line="280" w:lineRule="auto"/>
        <w:ind w:left="720" w:hanging="360"/>
      </w:pPr>
      <w:r>
        <w:rPr>
          <w:rFonts w:ascii="Calibri" w:hAnsi="Calibri"/>
          <w:sz w:val="22"/>
        </w:rPr>
        <w:t>Breaking API changes require a new API version and migration note.</w:t>
      </w:r>
    </w:p>
    <w:p>
      <w:pPr>
        <w:pStyle w:val="Heading2"/>
      </w:pPr>
      <w:r>
        <w:t>4.6 Database Acceptance Criteria</w:t>
      </w:r>
    </w:p>
    <w:p>
      <w:pPr>
        <w:pStyle w:val="ListBullet"/>
        <w:spacing w:after="40" w:line="280" w:lineRule="auto"/>
        <w:ind w:left="720" w:hanging="360"/>
      </w:pPr>
      <w:r>
        <w:rPr>
          <w:rFonts w:ascii="Calibri" w:hAnsi="Calibri"/>
          <w:sz w:val="22"/>
        </w:rPr>
        <w:t>A card page can retrieve catalog data, price history, population, signals, catalysts, AI explanations, and related assets.</w:t>
      </w:r>
    </w:p>
    <w:p>
      <w:pPr>
        <w:pStyle w:val="ListBullet"/>
        <w:spacing w:after="40" w:line="280" w:lineRule="auto"/>
        <w:ind w:left="720" w:hanging="360"/>
      </w:pPr>
      <w:r>
        <w:rPr>
          <w:rFonts w:ascii="Calibri" w:hAnsi="Calibri"/>
          <w:sz w:val="22"/>
        </w:rPr>
        <w:t>A signal can be traced to an evidence bundle and supporting observations.</w:t>
      </w:r>
    </w:p>
    <w:p>
      <w:pPr>
        <w:pStyle w:val="ListBullet"/>
        <w:spacing w:after="40" w:line="280" w:lineRule="auto"/>
        <w:ind w:left="720" w:hanging="360"/>
      </w:pPr>
      <w:r>
        <w:rPr>
          <w:rFonts w:ascii="Calibri" w:hAnsi="Calibri"/>
          <w:sz w:val="22"/>
        </w:rPr>
        <w:t>A daily report can be reconstructed from stored report sections and generated intelligence records.</w:t>
      </w:r>
    </w:p>
    <w:p>
      <w:pPr>
        <w:pStyle w:val="ListBullet"/>
        <w:spacing w:after="40" w:line="280" w:lineRule="auto"/>
        <w:ind w:left="720" w:hanging="360"/>
      </w:pPr>
      <w:r>
        <w:rPr>
          <w:rFonts w:ascii="Calibri" w:hAnsi="Calibri"/>
          <w:sz w:val="22"/>
        </w:rPr>
        <w:t>A user's portfolio valuation can be reproduced from stored holdings and price snapshots.</w:t>
      </w:r>
    </w:p>
    <w:p>
      <w:pPr>
        <w:pStyle w:val="Heading1"/>
      </w:pPr>
      <w:r>
        <w:t>Chapter 5: API Specification</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API goal: </w:t>
            </w:r>
            <w:r>
              <w:rPr>
                <w:rFonts w:ascii="Calibri" w:hAnsi="Calibri"/>
                <w:color w:val="0B2545"/>
                <w:sz w:val="21"/>
              </w:rPr>
              <w:t>Expose reliable, versioned product and intelligence endpoints for the web app, mobile app, enterprise customers, and internal jobs.</w:t>
            </w:r>
          </w:p>
        </w:tc>
      </w:tr>
    </w:tbl>
    <w:p>
      <w:pPr>
        <w:spacing w:after="40"/>
      </w:pPr>
    </w:p>
    <w:p>
      <w:pPr>
        <w:pStyle w:val="Heading2"/>
      </w:pPr>
      <w:r>
        <w:t>5.1 API Principles</w:t>
      </w:r>
    </w:p>
    <w:p>
      <w:pPr>
        <w:pStyle w:val="ListBullet"/>
        <w:spacing w:after="40" w:line="280" w:lineRule="auto"/>
        <w:ind w:left="720" w:hanging="360"/>
      </w:pPr>
      <w:r>
        <w:rPr>
          <w:rFonts w:ascii="Calibri" w:hAnsi="Calibri"/>
          <w:sz w:val="22"/>
        </w:rPr>
        <w:t>All public endpoints must be versioned under /api/v1.</w:t>
      </w:r>
    </w:p>
    <w:p>
      <w:pPr>
        <w:pStyle w:val="ListBullet"/>
        <w:spacing w:after="40" w:line="280" w:lineRule="auto"/>
        <w:ind w:left="720" w:hanging="360"/>
      </w:pPr>
      <w:r>
        <w:rPr>
          <w:rFonts w:ascii="Calibri" w:hAnsi="Calibri"/>
          <w:sz w:val="22"/>
        </w:rPr>
        <w:t>Response shapes should be stable and typed.</w:t>
      </w:r>
    </w:p>
    <w:p>
      <w:pPr>
        <w:pStyle w:val="ListBullet"/>
        <w:spacing w:after="40" w:line="280" w:lineRule="auto"/>
        <w:ind w:left="720" w:hanging="360"/>
      </w:pPr>
      <w:r>
        <w:rPr>
          <w:rFonts w:ascii="Calibri" w:hAnsi="Calibri"/>
          <w:sz w:val="22"/>
        </w:rPr>
        <w:t>Pagination is required for list endpoints.</w:t>
      </w:r>
    </w:p>
    <w:p>
      <w:pPr>
        <w:pStyle w:val="ListBullet"/>
        <w:spacing w:after="40" w:line="280" w:lineRule="auto"/>
        <w:ind w:left="720" w:hanging="360"/>
      </w:pPr>
      <w:r>
        <w:rPr>
          <w:rFonts w:ascii="Calibri" w:hAnsi="Calibri"/>
          <w:sz w:val="22"/>
        </w:rPr>
        <w:t>Errors must be structured and actionable.</w:t>
      </w:r>
    </w:p>
    <w:p>
      <w:pPr>
        <w:pStyle w:val="ListBullet"/>
        <w:spacing w:after="40" w:line="280" w:lineRule="auto"/>
        <w:ind w:left="720" w:hanging="360"/>
      </w:pPr>
      <w:r>
        <w:rPr>
          <w:rFonts w:ascii="Calibri" w:hAnsi="Calibri"/>
          <w:sz w:val="22"/>
        </w:rPr>
        <w:t>Internal endpoints should not leak provider-specific raw payloads unless explicitly authorized.</w:t>
      </w:r>
    </w:p>
    <w:p>
      <w:pPr>
        <w:pStyle w:val="Heading2"/>
      </w:pPr>
      <w:r>
        <w:t>5.2 Response Envelope</w:t>
      </w:r>
    </w:p>
    <w:p>
      <w:r>
        <w:rPr>
          <w:rFonts w:ascii="Calibri" w:hAnsi="Calibri"/>
        </w:rPr>
        <w:t>Most API responses should use a consistent envelope containing data, metadata, and error fields. Heavy analytics endpoints should include calculation_version and generated_at.</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00"/>
        <w:gridCol w:w="5260"/>
        <w:gridCol w:w="2400"/>
      </w:tblGrid>
      <w:tr>
        <w:trPr>
          <w:tblHeader w:val="true"/>
          <w:cantSplit/>
        </w:trPr>
        <w:tc>
          <w:tcPr>
            <w:tcW w:type="dxa" w:w="1700"/>
            <w:shd w:fill="F2F4F7"/>
            <w:vAlign w:val="center"/>
          </w:tcPr>
          <w:p>
            <w:pPr>
              <w:spacing w:before="0" w:after="0" w:line="264" w:lineRule="auto"/>
              <w:jc w:val="center"/>
            </w:pPr>
            <w:r/>
            <w:r>
              <w:rPr>
                <w:rFonts w:ascii="Calibri" w:hAnsi="Calibri"/>
                <w:b/>
                <w:color w:val="0B2545"/>
                <w:sz w:val="20"/>
              </w:rPr>
              <w:t>Field</w:t>
            </w:r>
          </w:p>
        </w:tc>
        <w:tc>
          <w:tcPr>
            <w:tcW w:type="dxa" w:w="5260"/>
            <w:shd w:fill="F2F4F7"/>
            <w:vAlign w:val="center"/>
          </w:tcPr>
          <w:p>
            <w:pPr>
              <w:spacing w:before="0" w:after="0" w:line="264" w:lineRule="auto"/>
              <w:jc w:val="center"/>
            </w:pPr>
            <w:r/>
            <w:r>
              <w:rPr>
                <w:rFonts w:ascii="Calibri" w:hAnsi="Calibri"/>
                <w:b/>
                <w:color w:val="0B2545"/>
                <w:sz w:val="20"/>
              </w:rPr>
              <w:t>Definition</w:t>
            </w:r>
          </w:p>
        </w:tc>
        <w:tc>
          <w:tcPr>
            <w:tcW w:type="dxa" w:w="2400"/>
            <w:shd w:fill="F2F4F7"/>
            <w:vAlign w:val="center"/>
          </w:tcPr>
          <w:p>
            <w:pPr>
              <w:spacing w:before="0" w:after="0" w:line="264" w:lineRule="auto"/>
              <w:jc w:val="center"/>
            </w:pPr>
            <w:r/>
            <w:r>
              <w:rPr>
                <w:rFonts w:ascii="Calibri" w:hAnsi="Calibri"/>
                <w:b/>
                <w:color w:val="0B2545"/>
                <w:sz w:val="20"/>
              </w:rPr>
              <w:t>Required</w:t>
            </w:r>
          </w:p>
        </w:tc>
      </w:tr>
      <w:tr>
        <w:trPr>
          <w:cantSplit/>
        </w:trPr>
        <w:tc>
          <w:tcPr>
            <w:tcW w:type="dxa" w:w="1700"/>
            <w:vAlign w:val="center"/>
          </w:tcPr>
          <w:p>
            <w:pPr>
              <w:spacing w:before="0" w:after="0" w:line="264" w:lineRule="auto"/>
              <w:jc w:val="center"/>
            </w:pPr>
            <w:r/>
            <w:r>
              <w:rPr>
                <w:rFonts w:ascii="Calibri" w:hAnsi="Calibri"/>
                <w:b/>
                <w:color w:val="0B2545"/>
                <w:sz w:val="19"/>
              </w:rPr>
              <w:t>data</w:t>
            </w:r>
          </w:p>
        </w:tc>
        <w:tc>
          <w:tcPr>
            <w:tcW w:type="dxa" w:w="5260"/>
            <w:vAlign w:val="center"/>
          </w:tcPr>
          <w:p>
            <w:pPr>
              <w:spacing w:before="0" w:after="0" w:line="264" w:lineRule="auto"/>
              <w:jc w:val="left"/>
            </w:pPr>
            <w:r/>
            <w:r>
              <w:rPr>
                <w:rFonts w:ascii="Calibri" w:hAnsi="Calibri"/>
                <w:b w:val="0"/>
                <w:color w:val="000000"/>
                <w:sz w:val="19"/>
              </w:rPr>
              <w:t>Primary response body.</w:t>
            </w:r>
          </w:p>
        </w:tc>
        <w:tc>
          <w:tcPr>
            <w:tcW w:type="dxa" w:w="2400"/>
            <w:vAlign w:val="center"/>
          </w:tcPr>
          <w:p>
            <w:pPr>
              <w:spacing w:before="0" w:after="0" w:line="264" w:lineRule="auto"/>
              <w:jc w:val="left"/>
            </w:pPr>
            <w:r/>
            <w:r>
              <w:rPr>
                <w:rFonts w:ascii="Calibri" w:hAnsi="Calibri"/>
                <w:b w:val="0"/>
                <w:color w:val="000000"/>
                <w:sz w:val="19"/>
              </w:rPr>
              <w:t>Yes</w:t>
            </w:r>
          </w:p>
        </w:tc>
      </w:tr>
      <w:tr>
        <w:trPr>
          <w:cantSplit/>
        </w:trPr>
        <w:tc>
          <w:tcPr>
            <w:tcW w:type="dxa" w:w="1700"/>
            <w:vAlign w:val="center"/>
          </w:tcPr>
          <w:p>
            <w:pPr>
              <w:spacing w:before="0" w:after="0" w:line="264" w:lineRule="auto"/>
              <w:jc w:val="center"/>
            </w:pPr>
            <w:r/>
            <w:r>
              <w:rPr>
                <w:rFonts w:ascii="Calibri" w:hAnsi="Calibri"/>
                <w:b/>
                <w:color w:val="0B2545"/>
                <w:sz w:val="19"/>
              </w:rPr>
              <w:t>meta</w:t>
            </w:r>
          </w:p>
        </w:tc>
        <w:tc>
          <w:tcPr>
            <w:tcW w:type="dxa" w:w="5260"/>
            <w:vAlign w:val="center"/>
          </w:tcPr>
          <w:p>
            <w:pPr>
              <w:spacing w:before="0" w:after="0" w:line="264" w:lineRule="auto"/>
              <w:jc w:val="left"/>
            </w:pPr>
            <w:r/>
            <w:r>
              <w:rPr>
                <w:rFonts w:ascii="Calibri" w:hAnsi="Calibri"/>
                <w:b w:val="0"/>
                <w:color w:val="000000"/>
                <w:sz w:val="19"/>
              </w:rPr>
              <w:t>Pagination, calculation version, generated timestamp, source summary.</w:t>
            </w:r>
          </w:p>
        </w:tc>
        <w:tc>
          <w:tcPr>
            <w:tcW w:type="dxa" w:w="2400"/>
            <w:vAlign w:val="center"/>
          </w:tcPr>
          <w:p>
            <w:pPr>
              <w:spacing w:before="0" w:after="0" w:line="264" w:lineRule="auto"/>
              <w:jc w:val="left"/>
            </w:pPr>
            <w:r/>
            <w:r>
              <w:rPr>
                <w:rFonts w:ascii="Calibri" w:hAnsi="Calibri"/>
                <w:b w:val="0"/>
                <w:color w:val="000000"/>
                <w:sz w:val="19"/>
              </w:rPr>
              <w:t>For lists and analytics</w:t>
            </w:r>
          </w:p>
        </w:tc>
      </w:tr>
      <w:tr>
        <w:trPr>
          <w:cantSplit/>
        </w:trPr>
        <w:tc>
          <w:tcPr>
            <w:tcW w:type="dxa" w:w="1700"/>
            <w:vAlign w:val="center"/>
          </w:tcPr>
          <w:p>
            <w:pPr>
              <w:spacing w:before="0" w:after="0" w:line="264" w:lineRule="auto"/>
              <w:jc w:val="left"/>
            </w:pPr>
            <w:r/>
            <w:r>
              <w:rPr>
                <w:rFonts w:ascii="Calibri" w:hAnsi="Calibri"/>
                <w:b/>
                <w:color w:val="0B2545"/>
                <w:sz w:val="19"/>
              </w:rPr>
              <w:t>errors</w:t>
            </w:r>
          </w:p>
        </w:tc>
        <w:tc>
          <w:tcPr>
            <w:tcW w:type="dxa" w:w="5260"/>
            <w:vAlign w:val="center"/>
          </w:tcPr>
          <w:p>
            <w:pPr>
              <w:spacing w:before="0" w:after="0" w:line="264" w:lineRule="auto"/>
              <w:jc w:val="left"/>
            </w:pPr>
            <w:r/>
            <w:r>
              <w:rPr>
                <w:rFonts w:ascii="Calibri" w:hAnsi="Calibri"/>
                <w:b w:val="0"/>
                <w:color w:val="000000"/>
                <w:sz w:val="19"/>
              </w:rPr>
              <w:t>Structured error array.</w:t>
            </w:r>
          </w:p>
        </w:tc>
        <w:tc>
          <w:tcPr>
            <w:tcW w:type="dxa" w:w="2400"/>
            <w:vAlign w:val="center"/>
          </w:tcPr>
          <w:p>
            <w:pPr>
              <w:spacing w:before="0" w:after="0" w:line="264" w:lineRule="auto"/>
              <w:jc w:val="left"/>
            </w:pPr>
            <w:r/>
            <w:r>
              <w:rPr>
                <w:rFonts w:ascii="Calibri" w:hAnsi="Calibri"/>
                <w:b w:val="0"/>
                <w:color w:val="000000"/>
                <w:sz w:val="19"/>
              </w:rPr>
              <w:t>Only when errors occur</w:t>
            </w:r>
          </w:p>
        </w:tc>
      </w:tr>
      <w:tr>
        <w:trPr>
          <w:cantSplit/>
        </w:trPr>
        <w:tc>
          <w:tcPr>
            <w:tcW w:type="dxa" w:w="1700"/>
            <w:vAlign w:val="center"/>
          </w:tcPr>
          <w:p>
            <w:pPr>
              <w:spacing w:before="0" w:after="0" w:line="264" w:lineRule="auto"/>
              <w:jc w:val="left"/>
            </w:pPr>
            <w:r/>
            <w:r>
              <w:rPr>
                <w:rFonts w:ascii="Calibri" w:hAnsi="Calibri"/>
                <w:b/>
                <w:color w:val="0B2545"/>
                <w:sz w:val="19"/>
              </w:rPr>
              <w:t>request_id</w:t>
            </w:r>
          </w:p>
        </w:tc>
        <w:tc>
          <w:tcPr>
            <w:tcW w:type="dxa" w:w="5260"/>
            <w:vAlign w:val="center"/>
          </w:tcPr>
          <w:p>
            <w:pPr>
              <w:spacing w:before="0" w:after="0" w:line="264" w:lineRule="auto"/>
              <w:jc w:val="left"/>
            </w:pPr>
            <w:r/>
            <w:r>
              <w:rPr>
                <w:rFonts w:ascii="Calibri" w:hAnsi="Calibri"/>
                <w:b w:val="0"/>
                <w:color w:val="000000"/>
                <w:sz w:val="19"/>
              </w:rPr>
              <w:t>Trace identifier for debugging.</w:t>
            </w:r>
          </w:p>
        </w:tc>
        <w:tc>
          <w:tcPr>
            <w:tcW w:type="dxa" w:w="2400"/>
            <w:vAlign w:val="center"/>
          </w:tcPr>
          <w:p>
            <w:pPr>
              <w:spacing w:before="0" w:after="0" w:line="264" w:lineRule="auto"/>
              <w:jc w:val="left"/>
            </w:pPr>
            <w:r/>
            <w:r>
              <w:rPr>
                <w:rFonts w:ascii="Calibri" w:hAnsi="Calibri"/>
                <w:b w:val="0"/>
                <w:color w:val="000000"/>
                <w:sz w:val="19"/>
              </w:rPr>
              <w:t>Yes</w:t>
            </w:r>
          </w:p>
        </w:tc>
      </w:tr>
    </w:tbl>
    <w:p>
      <w:pPr>
        <w:spacing w:after="40"/>
      </w:pPr>
    </w:p>
    <w:p>
      <w:pPr>
        <w:pStyle w:val="Heading2"/>
      </w:pPr>
      <w:r>
        <w:t>5.3 Endpoint Groups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500"/>
        <w:gridCol w:w="4100"/>
        <w:gridCol w:w="3760"/>
      </w:tblGrid>
      <w:tr>
        <w:trPr>
          <w:tblHeader w:val="true"/>
          <w:cantSplit/>
        </w:trPr>
        <w:tc>
          <w:tcPr>
            <w:tcW w:type="dxa" w:w="1500"/>
            <w:shd w:fill="F2F4F7"/>
            <w:vAlign w:val="center"/>
          </w:tcPr>
          <w:p>
            <w:pPr>
              <w:spacing w:before="0" w:after="0" w:line="264" w:lineRule="auto"/>
              <w:jc w:val="center"/>
            </w:pPr>
            <w:r/>
            <w:r>
              <w:rPr>
                <w:rFonts w:ascii="Calibri" w:hAnsi="Calibri"/>
                <w:b/>
                <w:color w:val="0B2545"/>
                <w:sz w:val="20"/>
              </w:rPr>
              <w:t>Group</w:t>
            </w:r>
          </w:p>
        </w:tc>
        <w:tc>
          <w:tcPr>
            <w:tcW w:type="dxa" w:w="4100"/>
            <w:shd w:fill="F2F4F7"/>
            <w:vAlign w:val="center"/>
          </w:tcPr>
          <w:p>
            <w:pPr>
              <w:spacing w:before="0" w:after="0" w:line="264" w:lineRule="auto"/>
              <w:jc w:val="center"/>
            </w:pPr>
            <w:r/>
            <w:r>
              <w:rPr>
                <w:rFonts w:ascii="Calibri" w:hAnsi="Calibri"/>
                <w:b/>
                <w:color w:val="0B2545"/>
                <w:sz w:val="20"/>
              </w:rPr>
              <w:t>Example Endpoints</w:t>
            </w:r>
          </w:p>
        </w:tc>
        <w:tc>
          <w:tcPr>
            <w:tcW w:type="dxa" w:w="3760"/>
            <w:shd w:fill="F2F4F7"/>
            <w:vAlign w:val="center"/>
          </w:tcPr>
          <w:p>
            <w:pPr>
              <w:spacing w:before="0" w:after="0" w:line="264" w:lineRule="auto"/>
              <w:jc w:val="center"/>
            </w:pPr>
            <w:r/>
            <w:r>
              <w:rPr>
                <w:rFonts w:ascii="Calibri" w:hAnsi="Calibri"/>
                <w:b/>
                <w:color w:val="0B2545"/>
                <w:sz w:val="20"/>
              </w:rPr>
              <w:t>Purpose</w:t>
            </w:r>
          </w:p>
        </w:tc>
      </w:tr>
      <w:tr>
        <w:trPr>
          <w:cantSplit/>
        </w:trPr>
        <w:tc>
          <w:tcPr>
            <w:tcW w:type="dxa" w:w="1500"/>
            <w:vAlign w:val="center"/>
          </w:tcPr>
          <w:p>
            <w:pPr>
              <w:spacing w:before="0" w:after="0" w:line="264" w:lineRule="auto"/>
              <w:jc w:val="left"/>
            </w:pPr>
            <w:r/>
            <w:r>
              <w:rPr>
                <w:rFonts w:ascii="Calibri" w:hAnsi="Calibri"/>
                <w:b/>
                <w:color w:val="0B2545"/>
                <w:sz w:val="18"/>
              </w:rPr>
              <w:t>Catalog</w:t>
            </w:r>
          </w:p>
        </w:tc>
        <w:tc>
          <w:tcPr>
            <w:tcW w:type="dxa" w:w="4100"/>
            <w:vAlign w:val="center"/>
          </w:tcPr>
          <w:p>
            <w:pPr>
              <w:spacing w:before="0" w:after="0" w:line="264" w:lineRule="auto"/>
              <w:jc w:val="left"/>
            </w:pPr>
            <w:r/>
            <w:r>
              <w:rPr>
                <w:rFonts w:ascii="Calibri" w:hAnsi="Calibri"/>
                <w:b w:val="0"/>
                <w:color w:val="000000"/>
                <w:sz w:val="18"/>
              </w:rPr>
              <w:t>GET /api/v1/assets, GET /api/v1/assets/{id}</w:t>
            </w:r>
          </w:p>
        </w:tc>
        <w:tc>
          <w:tcPr>
            <w:tcW w:type="dxa" w:w="3760"/>
            <w:vAlign w:val="center"/>
          </w:tcPr>
          <w:p>
            <w:pPr>
              <w:spacing w:before="0" w:after="0" w:line="264" w:lineRule="auto"/>
              <w:jc w:val="left"/>
            </w:pPr>
            <w:r/>
            <w:r>
              <w:rPr>
                <w:rFonts w:ascii="Calibri" w:hAnsi="Calibri"/>
                <w:b w:val="0"/>
                <w:color w:val="000000"/>
                <w:sz w:val="18"/>
              </w:rPr>
              <w:t>Search and retrieve canonical collectible assets.</w:t>
            </w:r>
          </w:p>
        </w:tc>
      </w:tr>
      <w:tr>
        <w:trPr>
          <w:cantSplit/>
        </w:trPr>
        <w:tc>
          <w:tcPr>
            <w:tcW w:type="dxa" w:w="1500"/>
            <w:vAlign w:val="center"/>
          </w:tcPr>
          <w:p>
            <w:pPr>
              <w:spacing w:before="0" w:after="0" w:line="264" w:lineRule="auto"/>
              <w:jc w:val="left"/>
            </w:pPr>
            <w:r/>
            <w:r>
              <w:rPr>
                <w:rFonts w:ascii="Calibri" w:hAnsi="Calibri"/>
                <w:b/>
                <w:color w:val="0B2545"/>
                <w:sz w:val="18"/>
              </w:rPr>
              <w:t>Market</w:t>
            </w:r>
          </w:p>
        </w:tc>
        <w:tc>
          <w:tcPr>
            <w:tcW w:type="dxa" w:w="4100"/>
            <w:vAlign w:val="center"/>
          </w:tcPr>
          <w:p>
            <w:pPr>
              <w:spacing w:before="0" w:after="0" w:line="264" w:lineRule="auto"/>
              <w:jc w:val="left"/>
            </w:pPr>
            <w:r/>
            <w:r>
              <w:rPr>
                <w:rFonts w:ascii="Calibri" w:hAnsi="Calibri"/>
                <w:b w:val="0"/>
                <w:color w:val="000000"/>
                <w:sz w:val="18"/>
              </w:rPr>
              <w:t>GET /api/v1/assets/{id}/prices, GET /api/v1/market/overview</w:t>
            </w:r>
          </w:p>
        </w:tc>
        <w:tc>
          <w:tcPr>
            <w:tcW w:type="dxa" w:w="3760"/>
            <w:vAlign w:val="center"/>
          </w:tcPr>
          <w:p>
            <w:pPr>
              <w:spacing w:before="0" w:after="0" w:line="264" w:lineRule="auto"/>
              <w:jc w:val="left"/>
            </w:pPr>
            <w:r/>
            <w:r>
              <w:rPr>
                <w:rFonts w:ascii="Calibri" w:hAnsi="Calibri"/>
                <w:b w:val="0"/>
                <w:color w:val="000000"/>
                <w:sz w:val="18"/>
              </w:rPr>
              <w:t>Serve price history, indexes, movers, and category summaries.</w:t>
            </w:r>
          </w:p>
        </w:tc>
      </w:tr>
      <w:tr>
        <w:trPr>
          <w:cantSplit/>
        </w:trPr>
        <w:tc>
          <w:tcPr>
            <w:tcW w:type="dxa" w:w="1500"/>
            <w:vAlign w:val="center"/>
          </w:tcPr>
          <w:p>
            <w:pPr>
              <w:spacing w:before="0" w:after="0" w:line="264" w:lineRule="auto"/>
              <w:jc w:val="left"/>
            </w:pPr>
            <w:r/>
            <w:r>
              <w:rPr>
                <w:rFonts w:ascii="Calibri" w:hAnsi="Calibri"/>
                <w:b/>
                <w:color w:val="0B2545"/>
                <w:sz w:val="18"/>
              </w:rPr>
              <w:t>Signals</w:t>
            </w:r>
          </w:p>
        </w:tc>
        <w:tc>
          <w:tcPr>
            <w:tcW w:type="dxa" w:w="4100"/>
            <w:vAlign w:val="center"/>
          </w:tcPr>
          <w:p>
            <w:pPr>
              <w:spacing w:before="0" w:after="0" w:line="264" w:lineRule="auto"/>
              <w:jc w:val="left"/>
            </w:pPr>
            <w:r/>
            <w:r>
              <w:rPr>
                <w:rFonts w:ascii="Calibri" w:hAnsi="Calibri"/>
                <w:b w:val="0"/>
                <w:color w:val="000000"/>
                <w:sz w:val="18"/>
              </w:rPr>
              <w:t>GET /api/v1/signals, GET /api/v1/assets/{id}/signals</w:t>
            </w:r>
          </w:p>
        </w:tc>
        <w:tc>
          <w:tcPr>
            <w:tcW w:type="dxa" w:w="3760"/>
            <w:vAlign w:val="center"/>
          </w:tcPr>
          <w:p>
            <w:pPr>
              <w:spacing w:before="0" w:after="0" w:line="264" w:lineRule="auto"/>
              <w:jc w:val="left"/>
            </w:pPr>
            <w:r/>
            <w:r>
              <w:rPr>
                <w:rFonts w:ascii="Calibri" w:hAnsi="Calibri"/>
                <w:b w:val="0"/>
                <w:color w:val="000000"/>
                <w:sz w:val="18"/>
              </w:rPr>
              <w:t>Expose market signals with evidence and confidence.</w:t>
            </w:r>
          </w:p>
        </w:tc>
      </w:tr>
      <w:tr>
        <w:trPr>
          <w:cantSplit/>
        </w:trPr>
        <w:tc>
          <w:tcPr>
            <w:tcW w:type="dxa" w:w="1500"/>
            <w:vAlign w:val="center"/>
          </w:tcPr>
          <w:p>
            <w:pPr>
              <w:spacing w:before="0" w:after="0" w:line="264" w:lineRule="auto"/>
              <w:jc w:val="left"/>
            </w:pPr>
            <w:r/>
            <w:r>
              <w:rPr>
                <w:rFonts w:ascii="Calibri" w:hAnsi="Calibri"/>
                <w:b/>
                <w:color w:val="0B2545"/>
                <w:sz w:val="18"/>
              </w:rPr>
              <w:t>Catalysts</w:t>
            </w:r>
          </w:p>
        </w:tc>
        <w:tc>
          <w:tcPr>
            <w:tcW w:type="dxa" w:w="4100"/>
            <w:vAlign w:val="center"/>
          </w:tcPr>
          <w:p>
            <w:pPr>
              <w:spacing w:before="0" w:after="0" w:line="264" w:lineRule="auto"/>
              <w:jc w:val="left"/>
            </w:pPr>
            <w:r/>
            <w:r>
              <w:rPr>
                <w:rFonts w:ascii="Calibri" w:hAnsi="Calibri"/>
                <w:b w:val="0"/>
                <w:color w:val="000000"/>
                <w:sz w:val="18"/>
              </w:rPr>
              <w:t>GET /api/v1/catalysts, GET /api/v1/assets/{id}/catalysts</w:t>
            </w:r>
          </w:p>
        </w:tc>
        <w:tc>
          <w:tcPr>
            <w:tcW w:type="dxa" w:w="3760"/>
            <w:vAlign w:val="center"/>
          </w:tcPr>
          <w:p>
            <w:pPr>
              <w:spacing w:before="0" w:after="0" w:line="264" w:lineRule="auto"/>
              <w:jc w:val="left"/>
            </w:pPr>
            <w:r/>
            <w:r>
              <w:rPr>
                <w:rFonts w:ascii="Calibri" w:hAnsi="Calibri"/>
                <w:b w:val="0"/>
                <w:color w:val="000000"/>
                <w:sz w:val="18"/>
              </w:rPr>
              <w:t>Serve market-moving events and affected assets.</w:t>
            </w:r>
          </w:p>
        </w:tc>
      </w:tr>
      <w:tr>
        <w:trPr>
          <w:cantSplit/>
        </w:trPr>
        <w:tc>
          <w:tcPr>
            <w:tcW w:type="dxa" w:w="1500"/>
            <w:vAlign w:val="center"/>
          </w:tcPr>
          <w:p>
            <w:pPr>
              <w:spacing w:before="0" w:after="0" w:line="264" w:lineRule="auto"/>
              <w:jc w:val="left"/>
            </w:pPr>
            <w:r/>
            <w:r>
              <w:rPr>
                <w:rFonts w:ascii="Calibri" w:hAnsi="Calibri"/>
                <w:b/>
                <w:color w:val="0B2545"/>
                <w:sz w:val="18"/>
              </w:rPr>
              <w:t>Reports</w:t>
            </w:r>
          </w:p>
        </w:tc>
        <w:tc>
          <w:tcPr>
            <w:tcW w:type="dxa" w:w="4100"/>
            <w:vAlign w:val="center"/>
          </w:tcPr>
          <w:p>
            <w:pPr>
              <w:spacing w:before="0" w:after="0" w:line="264" w:lineRule="auto"/>
              <w:jc w:val="left"/>
            </w:pPr>
            <w:r/>
            <w:r>
              <w:rPr>
                <w:rFonts w:ascii="Calibri" w:hAnsi="Calibri"/>
                <w:b w:val="0"/>
                <w:color w:val="000000"/>
                <w:sz w:val="18"/>
              </w:rPr>
              <w:t>GET /api/v1/reports/daily/latest, GET /api/v1/reports/{id}</w:t>
            </w:r>
          </w:p>
        </w:tc>
        <w:tc>
          <w:tcPr>
            <w:tcW w:type="dxa" w:w="3760"/>
            <w:vAlign w:val="center"/>
          </w:tcPr>
          <w:p>
            <w:pPr>
              <w:spacing w:before="0" w:after="0" w:line="264" w:lineRule="auto"/>
              <w:jc w:val="left"/>
            </w:pPr>
            <w:r/>
            <w:r>
              <w:rPr>
                <w:rFonts w:ascii="Calibri" w:hAnsi="Calibri"/>
                <w:b w:val="0"/>
                <w:color w:val="000000"/>
                <w:sz w:val="18"/>
              </w:rPr>
              <w:t>Serve generated Daily Market Reports.</w:t>
            </w:r>
          </w:p>
        </w:tc>
      </w:tr>
      <w:tr>
        <w:trPr>
          <w:cantSplit/>
        </w:trPr>
        <w:tc>
          <w:tcPr>
            <w:tcW w:type="dxa" w:w="1500"/>
            <w:vAlign w:val="center"/>
          </w:tcPr>
          <w:p>
            <w:pPr>
              <w:spacing w:before="0" w:after="0" w:line="264" w:lineRule="auto"/>
              <w:jc w:val="left"/>
            </w:pPr>
            <w:r/>
            <w:r>
              <w:rPr>
                <w:rFonts w:ascii="Calibri" w:hAnsi="Calibri"/>
                <w:b/>
                <w:color w:val="0B2545"/>
                <w:sz w:val="18"/>
              </w:rPr>
              <w:t>Portfolio</w:t>
            </w:r>
          </w:p>
        </w:tc>
        <w:tc>
          <w:tcPr>
            <w:tcW w:type="dxa" w:w="4100"/>
            <w:vAlign w:val="center"/>
          </w:tcPr>
          <w:p>
            <w:pPr>
              <w:spacing w:before="0" w:after="0" w:line="264" w:lineRule="auto"/>
              <w:jc w:val="left"/>
            </w:pPr>
            <w:r/>
            <w:r>
              <w:rPr>
                <w:rFonts w:ascii="Calibri" w:hAnsi="Calibri"/>
                <w:b w:val="0"/>
                <w:color w:val="000000"/>
                <w:sz w:val="18"/>
              </w:rPr>
              <w:t>GET /api/v1/portfolio, POST /api/v1/portfolio/holdings</w:t>
            </w:r>
          </w:p>
        </w:tc>
        <w:tc>
          <w:tcPr>
            <w:tcW w:type="dxa" w:w="3760"/>
            <w:vAlign w:val="center"/>
          </w:tcPr>
          <w:p>
            <w:pPr>
              <w:spacing w:before="0" w:after="0" w:line="264" w:lineRule="auto"/>
              <w:jc w:val="left"/>
            </w:pPr>
            <w:r/>
            <w:r>
              <w:rPr>
                <w:rFonts w:ascii="Calibri" w:hAnsi="Calibri"/>
                <w:b w:val="0"/>
                <w:color w:val="000000"/>
                <w:sz w:val="18"/>
              </w:rPr>
              <w:t>Manage holdings, valuation, risk, and allocation.</w:t>
            </w:r>
          </w:p>
        </w:tc>
      </w:tr>
      <w:tr>
        <w:trPr>
          <w:cantSplit/>
        </w:trPr>
        <w:tc>
          <w:tcPr>
            <w:tcW w:type="dxa" w:w="1500"/>
            <w:vAlign w:val="center"/>
          </w:tcPr>
          <w:p>
            <w:pPr>
              <w:spacing w:before="0" w:after="0" w:line="264" w:lineRule="auto"/>
              <w:jc w:val="center"/>
            </w:pPr>
            <w:r/>
            <w:r>
              <w:rPr>
                <w:rFonts w:ascii="Calibri" w:hAnsi="Calibri"/>
                <w:b/>
                <w:color w:val="0B2545"/>
                <w:sz w:val="18"/>
              </w:rPr>
              <w:t>AI</w:t>
            </w:r>
          </w:p>
        </w:tc>
        <w:tc>
          <w:tcPr>
            <w:tcW w:type="dxa" w:w="4100"/>
            <w:vAlign w:val="center"/>
          </w:tcPr>
          <w:p>
            <w:pPr>
              <w:spacing w:before="0" w:after="0" w:line="264" w:lineRule="auto"/>
              <w:jc w:val="left"/>
            </w:pPr>
            <w:r/>
            <w:r>
              <w:rPr>
                <w:rFonts w:ascii="Calibri" w:hAnsi="Calibri"/>
                <w:b w:val="0"/>
                <w:color w:val="000000"/>
                <w:sz w:val="18"/>
              </w:rPr>
              <w:t>GET /api/v1/assets/{id}/explanations, POST /api/v1/ai/explain</w:t>
            </w:r>
          </w:p>
        </w:tc>
        <w:tc>
          <w:tcPr>
            <w:tcW w:type="dxa" w:w="3760"/>
            <w:vAlign w:val="center"/>
          </w:tcPr>
          <w:p>
            <w:pPr>
              <w:spacing w:before="0" w:after="0" w:line="264" w:lineRule="auto"/>
              <w:jc w:val="left"/>
            </w:pPr>
            <w:r/>
            <w:r>
              <w:rPr>
                <w:rFonts w:ascii="Calibri" w:hAnsi="Calibri"/>
                <w:b w:val="0"/>
                <w:color w:val="000000"/>
                <w:sz w:val="18"/>
              </w:rPr>
              <w:t>Serve stored explanations and controlled generation workflows.</w:t>
            </w:r>
          </w:p>
        </w:tc>
      </w:tr>
    </w:tbl>
    <w:p>
      <w:pPr>
        <w:spacing w:after="40"/>
      </w:pPr>
    </w:p>
    <w:p>
      <w:pPr>
        <w:pStyle w:val="Heading2"/>
      </w:pPr>
      <w:r>
        <w:t>5.4 Authentication and Plans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600"/>
        <w:gridCol w:w="4900"/>
        <w:gridCol w:w="2860"/>
      </w:tblGrid>
      <w:tr>
        <w:trPr>
          <w:tblHeader w:val="true"/>
          <w:cantSplit/>
        </w:trPr>
        <w:tc>
          <w:tcPr>
            <w:tcW w:type="dxa" w:w="1600"/>
            <w:shd w:fill="F2F4F7"/>
            <w:vAlign w:val="center"/>
          </w:tcPr>
          <w:p>
            <w:pPr>
              <w:spacing w:before="0" w:after="0" w:line="264" w:lineRule="auto"/>
              <w:jc w:val="center"/>
            </w:pPr>
            <w:r/>
            <w:r>
              <w:rPr>
                <w:rFonts w:ascii="Calibri" w:hAnsi="Calibri"/>
                <w:b/>
                <w:color w:val="0B2545"/>
                <w:sz w:val="20"/>
              </w:rPr>
              <w:t>User Type</w:t>
            </w:r>
          </w:p>
        </w:tc>
        <w:tc>
          <w:tcPr>
            <w:tcW w:type="dxa" w:w="4900"/>
            <w:shd w:fill="F2F4F7"/>
            <w:vAlign w:val="center"/>
          </w:tcPr>
          <w:p>
            <w:pPr>
              <w:spacing w:before="0" w:after="0" w:line="264" w:lineRule="auto"/>
              <w:jc w:val="center"/>
            </w:pPr>
            <w:r/>
            <w:r>
              <w:rPr>
                <w:rFonts w:ascii="Calibri" w:hAnsi="Calibri"/>
                <w:b/>
                <w:color w:val="0B2545"/>
                <w:sz w:val="20"/>
              </w:rPr>
              <w:t>Access</w:t>
            </w:r>
          </w:p>
        </w:tc>
        <w:tc>
          <w:tcPr>
            <w:tcW w:type="dxa" w:w="2860"/>
            <w:shd w:fill="F2F4F7"/>
            <w:vAlign w:val="center"/>
          </w:tcPr>
          <w:p>
            <w:pPr>
              <w:spacing w:before="0" w:after="0" w:line="264" w:lineRule="auto"/>
              <w:jc w:val="center"/>
            </w:pPr>
            <w:r/>
            <w:r>
              <w:rPr>
                <w:rFonts w:ascii="Calibri" w:hAnsi="Calibri"/>
                <w:b/>
                <w:color w:val="0B2545"/>
                <w:sz w:val="20"/>
              </w:rPr>
              <w:t>Limits</w:t>
            </w:r>
          </w:p>
        </w:tc>
      </w:tr>
      <w:tr>
        <w:trPr>
          <w:cantSplit/>
        </w:trPr>
        <w:tc>
          <w:tcPr>
            <w:tcW w:type="dxa" w:w="1600"/>
            <w:vAlign w:val="center"/>
          </w:tcPr>
          <w:p>
            <w:pPr>
              <w:spacing w:before="0" w:after="0" w:line="264" w:lineRule="auto"/>
              <w:jc w:val="left"/>
            </w:pPr>
            <w:r/>
            <w:r>
              <w:rPr>
                <w:rFonts w:ascii="Calibri" w:hAnsi="Calibri"/>
                <w:b/>
                <w:color w:val="0B2545"/>
                <w:sz w:val="19"/>
              </w:rPr>
              <w:t>Anonymous</w:t>
            </w:r>
          </w:p>
        </w:tc>
        <w:tc>
          <w:tcPr>
            <w:tcW w:type="dxa" w:w="4900"/>
            <w:vAlign w:val="center"/>
          </w:tcPr>
          <w:p>
            <w:pPr>
              <w:spacing w:before="0" w:after="0" w:line="264" w:lineRule="auto"/>
              <w:jc w:val="left"/>
            </w:pPr>
            <w:r/>
            <w:r>
              <w:rPr>
                <w:rFonts w:ascii="Calibri" w:hAnsi="Calibri"/>
                <w:b w:val="0"/>
                <w:color w:val="000000"/>
                <w:sz w:val="19"/>
              </w:rPr>
              <w:t>Basic market overview, public card pages, limited search.</w:t>
            </w:r>
          </w:p>
        </w:tc>
        <w:tc>
          <w:tcPr>
            <w:tcW w:type="dxa" w:w="2860"/>
            <w:vAlign w:val="center"/>
          </w:tcPr>
          <w:p>
            <w:pPr>
              <w:spacing w:before="0" w:after="0" w:line="264" w:lineRule="auto"/>
              <w:jc w:val="left"/>
            </w:pPr>
            <w:r/>
            <w:r>
              <w:rPr>
                <w:rFonts w:ascii="Calibri" w:hAnsi="Calibri"/>
                <w:b w:val="0"/>
                <w:color w:val="000000"/>
                <w:sz w:val="19"/>
              </w:rPr>
              <w:t>Rate-limited and no portfolio.</w:t>
            </w:r>
          </w:p>
        </w:tc>
      </w:tr>
      <w:tr>
        <w:trPr>
          <w:cantSplit/>
        </w:trPr>
        <w:tc>
          <w:tcPr>
            <w:tcW w:type="dxa" w:w="1600"/>
            <w:vAlign w:val="center"/>
          </w:tcPr>
          <w:p>
            <w:pPr>
              <w:spacing w:before="0" w:after="0" w:line="264" w:lineRule="auto"/>
              <w:jc w:val="left"/>
            </w:pPr>
            <w:r/>
            <w:r>
              <w:rPr>
                <w:rFonts w:ascii="Calibri" w:hAnsi="Calibri"/>
                <w:b/>
                <w:color w:val="0B2545"/>
                <w:sz w:val="19"/>
              </w:rPr>
              <w:t>Free User</w:t>
            </w:r>
          </w:p>
        </w:tc>
        <w:tc>
          <w:tcPr>
            <w:tcW w:type="dxa" w:w="4900"/>
            <w:vAlign w:val="center"/>
          </w:tcPr>
          <w:p>
            <w:pPr>
              <w:spacing w:before="0" w:after="0" w:line="264" w:lineRule="auto"/>
              <w:jc w:val="left"/>
            </w:pPr>
            <w:r/>
            <w:r>
              <w:rPr>
                <w:rFonts w:ascii="Calibri" w:hAnsi="Calibri"/>
                <w:b w:val="0"/>
                <w:color w:val="000000"/>
                <w:sz w:val="19"/>
              </w:rPr>
              <w:t>Watchlist, basic portfolio, limited AI explanations.</w:t>
            </w:r>
          </w:p>
        </w:tc>
        <w:tc>
          <w:tcPr>
            <w:tcW w:type="dxa" w:w="2860"/>
            <w:vAlign w:val="center"/>
          </w:tcPr>
          <w:p>
            <w:pPr>
              <w:spacing w:before="0" w:after="0" w:line="264" w:lineRule="auto"/>
              <w:jc w:val="left"/>
            </w:pPr>
            <w:r/>
            <w:r>
              <w:rPr>
                <w:rFonts w:ascii="Calibri" w:hAnsi="Calibri"/>
                <w:b w:val="0"/>
                <w:color w:val="000000"/>
                <w:sz w:val="19"/>
              </w:rPr>
              <w:t>Limited alerts and report history.</w:t>
            </w:r>
          </w:p>
        </w:tc>
      </w:tr>
      <w:tr>
        <w:trPr>
          <w:cantSplit/>
        </w:trPr>
        <w:tc>
          <w:tcPr>
            <w:tcW w:type="dxa" w:w="1600"/>
            <w:vAlign w:val="center"/>
          </w:tcPr>
          <w:p>
            <w:pPr>
              <w:spacing w:before="0" w:after="0" w:line="264" w:lineRule="auto"/>
              <w:jc w:val="left"/>
            </w:pPr>
            <w:r/>
            <w:r>
              <w:rPr>
                <w:rFonts w:ascii="Calibri" w:hAnsi="Calibri"/>
                <w:b/>
                <w:color w:val="0B2545"/>
                <w:sz w:val="19"/>
              </w:rPr>
              <w:t>Pro User</w:t>
            </w:r>
          </w:p>
        </w:tc>
        <w:tc>
          <w:tcPr>
            <w:tcW w:type="dxa" w:w="4900"/>
            <w:vAlign w:val="center"/>
          </w:tcPr>
          <w:p>
            <w:pPr>
              <w:spacing w:before="0" w:after="0" w:line="264" w:lineRule="auto"/>
              <w:jc w:val="left"/>
            </w:pPr>
            <w:r/>
            <w:r>
              <w:rPr>
                <w:rFonts w:ascii="Calibri" w:hAnsi="Calibri"/>
                <w:b w:val="0"/>
                <w:color w:val="000000"/>
                <w:sz w:val="19"/>
              </w:rPr>
              <w:t>Advanced signals, portfolio intelligence, deeper history, report archive.</w:t>
            </w:r>
          </w:p>
        </w:tc>
        <w:tc>
          <w:tcPr>
            <w:tcW w:type="dxa" w:w="2860"/>
            <w:vAlign w:val="center"/>
          </w:tcPr>
          <w:p>
            <w:pPr>
              <w:spacing w:before="0" w:after="0" w:line="264" w:lineRule="auto"/>
              <w:jc w:val="left"/>
            </w:pPr>
            <w:r/>
            <w:r>
              <w:rPr>
                <w:rFonts w:ascii="Calibri" w:hAnsi="Calibri"/>
                <w:b w:val="0"/>
                <w:color w:val="000000"/>
                <w:sz w:val="19"/>
              </w:rPr>
              <w:t>Higher rate limits.</w:t>
            </w:r>
          </w:p>
        </w:tc>
      </w:tr>
      <w:tr>
        <w:trPr>
          <w:cantSplit/>
        </w:trPr>
        <w:tc>
          <w:tcPr>
            <w:tcW w:type="dxa" w:w="1600"/>
            <w:vAlign w:val="center"/>
          </w:tcPr>
          <w:p>
            <w:pPr>
              <w:spacing w:before="0" w:after="0" w:line="264" w:lineRule="auto"/>
              <w:jc w:val="left"/>
            </w:pPr>
            <w:r/>
            <w:r>
              <w:rPr>
                <w:rFonts w:ascii="Calibri" w:hAnsi="Calibri"/>
                <w:b/>
                <w:color w:val="0B2545"/>
                <w:sz w:val="19"/>
              </w:rPr>
              <w:t>Enterprise</w:t>
            </w:r>
          </w:p>
        </w:tc>
        <w:tc>
          <w:tcPr>
            <w:tcW w:type="dxa" w:w="4900"/>
            <w:vAlign w:val="center"/>
          </w:tcPr>
          <w:p>
            <w:pPr>
              <w:spacing w:before="0" w:after="0" w:line="264" w:lineRule="auto"/>
              <w:jc w:val="left"/>
            </w:pPr>
            <w:r/>
            <w:r>
              <w:rPr>
                <w:rFonts w:ascii="Calibri" w:hAnsi="Calibri"/>
                <w:b w:val="0"/>
                <w:color w:val="000000"/>
                <w:sz w:val="19"/>
              </w:rPr>
              <w:t>API keys, bulk datasets, custom indexes, commercial licensing.</w:t>
            </w:r>
          </w:p>
        </w:tc>
        <w:tc>
          <w:tcPr>
            <w:tcW w:type="dxa" w:w="2860"/>
            <w:vAlign w:val="center"/>
          </w:tcPr>
          <w:p>
            <w:pPr>
              <w:spacing w:before="0" w:after="0" w:line="264" w:lineRule="auto"/>
              <w:jc w:val="left"/>
            </w:pPr>
            <w:r/>
            <w:r>
              <w:rPr>
                <w:rFonts w:ascii="Calibri" w:hAnsi="Calibri"/>
                <w:b w:val="0"/>
                <w:color w:val="000000"/>
                <w:sz w:val="19"/>
              </w:rPr>
              <w:t>Contract-specific limits and audit logging.</w:t>
            </w:r>
          </w:p>
        </w:tc>
      </w:tr>
    </w:tbl>
    <w:p>
      <w:pPr>
        <w:spacing w:after="40"/>
      </w:pPr>
    </w:p>
    <w:p>
      <w:pPr>
        <w:pStyle w:val="Heading2"/>
      </w:pPr>
      <w:r>
        <w:t>5.5 Error Model</w:t>
      </w:r>
    </w:p>
    <w:p>
      <w:pPr>
        <w:pStyle w:val="ListBullet"/>
        <w:spacing w:after="40" w:line="280" w:lineRule="auto"/>
        <w:ind w:left="720" w:hanging="360"/>
      </w:pPr>
      <w:r>
        <w:rPr>
          <w:rFonts w:ascii="Calibri" w:hAnsi="Calibri"/>
          <w:sz w:val="22"/>
        </w:rPr>
        <w:t>400: invalid request shape or unsupported parameter.</w:t>
      </w:r>
    </w:p>
    <w:p>
      <w:pPr>
        <w:pStyle w:val="ListBullet"/>
        <w:spacing w:after="40" w:line="280" w:lineRule="auto"/>
        <w:ind w:left="720" w:hanging="360"/>
      </w:pPr>
      <w:r>
        <w:rPr>
          <w:rFonts w:ascii="Calibri" w:hAnsi="Calibri"/>
          <w:sz w:val="22"/>
        </w:rPr>
        <w:t>401: authentication required.</w:t>
      </w:r>
    </w:p>
    <w:p>
      <w:pPr>
        <w:pStyle w:val="ListBullet"/>
        <w:spacing w:after="40" w:line="280" w:lineRule="auto"/>
        <w:ind w:left="720" w:hanging="360"/>
      </w:pPr>
      <w:r>
        <w:rPr>
          <w:rFonts w:ascii="Calibri" w:hAnsi="Calibri"/>
          <w:sz w:val="22"/>
        </w:rPr>
        <w:t>403: plan or permission does not allow access.</w:t>
      </w:r>
    </w:p>
    <w:p>
      <w:pPr>
        <w:pStyle w:val="ListBullet"/>
        <w:spacing w:after="40" w:line="280" w:lineRule="auto"/>
        <w:ind w:left="720" w:hanging="360"/>
      </w:pPr>
      <w:r>
        <w:rPr>
          <w:rFonts w:ascii="Calibri" w:hAnsi="Calibri"/>
          <w:sz w:val="22"/>
        </w:rPr>
        <w:t>404: asset, report, or resource not found.</w:t>
      </w:r>
    </w:p>
    <w:p>
      <w:pPr>
        <w:pStyle w:val="ListBullet"/>
        <w:spacing w:after="40" w:line="280" w:lineRule="auto"/>
        <w:ind w:left="720" w:hanging="360"/>
      </w:pPr>
      <w:r>
        <w:rPr>
          <w:rFonts w:ascii="Calibri" w:hAnsi="Calibri"/>
          <w:sz w:val="22"/>
        </w:rPr>
        <w:t>409: conflicting write or duplicate import.</w:t>
      </w:r>
    </w:p>
    <w:p>
      <w:pPr>
        <w:pStyle w:val="ListBullet"/>
        <w:spacing w:after="40" w:line="280" w:lineRule="auto"/>
        <w:ind w:left="720" w:hanging="360"/>
      </w:pPr>
      <w:r>
        <w:rPr>
          <w:rFonts w:ascii="Calibri" w:hAnsi="Calibri"/>
          <w:sz w:val="22"/>
        </w:rPr>
        <w:t>422: request is valid JSON but fails business validation.</w:t>
      </w:r>
    </w:p>
    <w:p>
      <w:pPr>
        <w:pStyle w:val="ListBullet"/>
        <w:spacing w:after="40" w:line="280" w:lineRule="auto"/>
        <w:ind w:left="720" w:hanging="360"/>
      </w:pPr>
      <w:r>
        <w:rPr>
          <w:rFonts w:ascii="Calibri" w:hAnsi="Calibri"/>
          <w:sz w:val="22"/>
        </w:rPr>
        <w:t>429: rate limit exceeded.</w:t>
      </w:r>
    </w:p>
    <w:p>
      <w:pPr>
        <w:pStyle w:val="ListBullet"/>
        <w:spacing w:after="40" w:line="280" w:lineRule="auto"/>
        <w:ind w:left="720" w:hanging="360"/>
      </w:pPr>
      <w:r>
        <w:rPr>
          <w:rFonts w:ascii="Calibri" w:hAnsi="Calibri"/>
          <w:sz w:val="22"/>
        </w:rPr>
        <w:t>500: internal error with request_id.</w:t>
      </w:r>
    </w:p>
    <w:p>
      <w:pPr>
        <w:pStyle w:val="Heading2"/>
      </w:pPr>
      <w:r>
        <w:t>5.6 API Acceptance Criteria</w:t>
      </w:r>
    </w:p>
    <w:p>
      <w:pPr>
        <w:pStyle w:val="ListBullet"/>
        <w:spacing w:after="40" w:line="280" w:lineRule="auto"/>
        <w:ind w:left="720" w:hanging="360"/>
      </w:pPr>
      <w:r>
        <w:rPr>
          <w:rFonts w:ascii="Calibri" w:hAnsi="Calibri"/>
          <w:sz w:val="22"/>
        </w:rPr>
        <w:t>OpenAPI documentation is generated and reviewed for all public endpoints.</w:t>
      </w:r>
    </w:p>
    <w:p>
      <w:pPr>
        <w:pStyle w:val="ListBullet"/>
        <w:spacing w:after="40" w:line="280" w:lineRule="auto"/>
        <w:ind w:left="720" w:hanging="360"/>
      </w:pPr>
      <w:r>
        <w:rPr>
          <w:rFonts w:ascii="Calibri" w:hAnsi="Calibri"/>
          <w:sz w:val="22"/>
        </w:rPr>
        <w:t>Every endpoint has tests for success, auth, validation, and error paths.</w:t>
      </w:r>
    </w:p>
    <w:p>
      <w:pPr>
        <w:pStyle w:val="ListBullet"/>
        <w:spacing w:after="40" w:line="280" w:lineRule="auto"/>
        <w:ind w:left="720" w:hanging="360"/>
      </w:pPr>
      <w:r>
        <w:rPr>
          <w:rFonts w:ascii="Calibri" w:hAnsi="Calibri"/>
          <w:sz w:val="22"/>
        </w:rPr>
        <w:t>Analytics responses include generated_at and calculation_version where relevant.</w:t>
      </w:r>
    </w:p>
    <w:p>
      <w:pPr>
        <w:pStyle w:val="ListBullet"/>
        <w:spacing w:after="40" w:line="280" w:lineRule="auto"/>
        <w:ind w:left="720" w:hanging="360"/>
      </w:pPr>
      <w:r>
        <w:rPr>
          <w:rFonts w:ascii="Calibri" w:hAnsi="Calibri"/>
          <w:sz w:val="22"/>
        </w:rPr>
        <w:t>Signals and AI explanations include confidence and evidence references.</w:t>
      </w:r>
    </w:p>
    <w:p>
      <w:pPr>
        <w:pStyle w:val="ListBullet"/>
        <w:spacing w:after="40" w:line="280" w:lineRule="auto"/>
        <w:ind w:left="720" w:hanging="360"/>
      </w:pPr>
      <w:r>
        <w:rPr>
          <w:rFonts w:ascii="Calibri" w:hAnsi="Calibri"/>
          <w:sz w:val="22"/>
        </w:rPr>
        <w:t>Pagination is consistent across all list endpoints.</w:t>
      </w:r>
    </w:p>
    <w:p>
      <w:pPr>
        <w:pStyle w:val="Heading1"/>
      </w:pPr>
      <w:r>
        <w:t>Chapter 6: AI Engine</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AI goal: </w:t>
            </w:r>
            <w:r>
              <w:rPr>
                <w:rFonts w:ascii="Calibri" w:hAnsi="Calibri"/>
                <w:color w:val="0B2545"/>
                <w:sz w:val="21"/>
              </w:rPr>
              <w:t>Use AI to explain and summarize observable market evidence, not to invent market narratives.</w:t>
            </w:r>
          </w:p>
        </w:tc>
      </w:tr>
    </w:tbl>
    <w:p>
      <w:pPr>
        <w:spacing w:after="40"/>
      </w:pPr>
    </w:p>
    <w:p>
      <w:pPr>
        <w:pStyle w:val="Heading2"/>
      </w:pPr>
      <w:r>
        <w:t>6.1 AI Product Principles</w:t>
      </w:r>
    </w:p>
    <w:p>
      <w:pPr>
        <w:pStyle w:val="ListBullet"/>
        <w:spacing w:after="40" w:line="280" w:lineRule="auto"/>
        <w:ind w:left="720" w:hanging="360"/>
      </w:pPr>
      <w:r>
        <w:rPr>
          <w:rFonts w:ascii="Calibri" w:hAnsi="Calibri"/>
          <w:sz w:val="22"/>
        </w:rPr>
        <w:t>AI must explain using evidence, not vibes.</w:t>
      </w:r>
    </w:p>
    <w:p>
      <w:pPr>
        <w:pStyle w:val="ListBullet"/>
        <w:spacing w:after="40" w:line="280" w:lineRule="auto"/>
        <w:ind w:left="720" w:hanging="360"/>
      </w:pPr>
      <w:r>
        <w:rPr>
          <w:rFonts w:ascii="Calibri" w:hAnsi="Calibri"/>
          <w:sz w:val="22"/>
        </w:rPr>
        <w:t>Every AI output must include confidence and missing-data notes.</w:t>
      </w:r>
    </w:p>
    <w:p>
      <w:pPr>
        <w:pStyle w:val="ListBullet"/>
        <w:spacing w:after="40" w:line="280" w:lineRule="auto"/>
        <w:ind w:left="720" w:hanging="360"/>
      </w:pPr>
      <w:r>
        <w:rPr>
          <w:rFonts w:ascii="Calibri" w:hAnsi="Calibri"/>
          <w:sz w:val="22"/>
        </w:rPr>
        <w:t>AI must refuse to recommend when evidence is insufficient.</w:t>
      </w:r>
    </w:p>
    <w:p>
      <w:pPr>
        <w:pStyle w:val="ListBullet"/>
        <w:spacing w:after="40" w:line="280" w:lineRule="auto"/>
        <w:ind w:left="720" w:hanging="360"/>
      </w:pPr>
      <w:r>
        <w:rPr>
          <w:rFonts w:ascii="Calibri" w:hAnsi="Calibri"/>
          <w:sz w:val="22"/>
        </w:rPr>
        <w:t>AI should be concise by default and expandable on demand.</w:t>
      </w:r>
    </w:p>
    <w:p>
      <w:pPr>
        <w:pStyle w:val="ListBullet"/>
        <w:spacing w:after="40" w:line="280" w:lineRule="auto"/>
        <w:ind w:left="720" w:hanging="360"/>
      </w:pPr>
      <w:r>
        <w:rPr>
          <w:rFonts w:ascii="Calibri" w:hAnsi="Calibri"/>
          <w:sz w:val="22"/>
        </w:rPr>
        <w:t>AI output should be stored, audited, and evaluated over time.</w:t>
      </w:r>
    </w:p>
    <w:p>
      <w:pPr>
        <w:pStyle w:val="Heading2"/>
      </w:pPr>
      <w:r>
        <w:t>6.2 AI Modules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00"/>
        <w:gridCol w:w="4010"/>
        <w:gridCol w:w="3350"/>
      </w:tblGrid>
      <w:tr>
        <w:trPr>
          <w:tblHeader w:val="true"/>
          <w:cantSplit/>
        </w:trPr>
        <w:tc>
          <w:tcPr>
            <w:tcW w:type="dxa" w:w="2000"/>
            <w:shd w:fill="F2F4F7"/>
            <w:vAlign w:val="center"/>
          </w:tcPr>
          <w:p>
            <w:pPr>
              <w:spacing w:before="0" w:after="0" w:line="264" w:lineRule="auto"/>
              <w:jc w:val="center"/>
            </w:pPr>
            <w:r/>
            <w:r>
              <w:rPr>
                <w:rFonts w:ascii="Calibri" w:hAnsi="Calibri"/>
                <w:b/>
                <w:color w:val="0B2545"/>
                <w:sz w:val="20"/>
              </w:rPr>
              <w:t>Module</w:t>
            </w:r>
          </w:p>
        </w:tc>
        <w:tc>
          <w:tcPr>
            <w:tcW w:type="dxa" w:w="4010"/>
            <w:shd w:fill="F2F4F7"/>
            <w:vAlign w:val="center"/>
          </w:tcPr>
          <w:p>
            <w:pPr>
              <w:spacing w:before="0" w:after="0" w:line="264" w:lineRule="auto"/>
              <w:jc w:val="center"/>
            </w:pPr>
            <w:r/>
            <w:r>
              <w:rPr>
                <w:rFonts w:ascii="Calibri" w:hAnsi="Calibri"/>
                <w:b/>
                <w:color w:val="0B2545"/>
                <w:sz w:val="20"/>
              </w:rPr>
              <w:t>Input</w:t>
            </w:r>
          </w:p>
        </w:tc>
        <w:tc>
          <w:tcPr>
            <w:tcW w:type="dxa" w:w="3350"/>
            <w:shd w:fill="F2F4F7"/>
            <w:vAlign w:val="center"/>
          </w:tcPr>
          <w:p>
            <w:pPr>
              <w:spacing w:before="0" w:after="0" w:line="264" w:lineRule="auto"/>
              <w:jc w:val="center"/>
            </w:pPr>
            <w:r/>
            <w:r>
              <w:rPr>
                <w:rFonts w:ascii="Calibri" w:hAnsi="Calibri"/>
                <w:b/>
                <w:color w:val="0B2545"/>
                <w:sz w:val="20"/>
              </w:rPr>
              <w:t>Output</w:t>
            </w:r>
          </w:p>
        </w:tc>
      </w:tr>
      <w:tr>
        <w:trPr>
          <w:cantSplit/>
        </w:trPr>
        <w:tc>
          <w:tcPr>
            <w:tcW w:type="dxa" w:w="2000"/>
            <w:vAlign w:val="center"/>
          </w:tcPr>
          <w:p>
            <w:pPr>
              <w:spacing w:before="0" w:after="0" w:line="264" w:lineRule="auto"/>
              <w:jc w:val="left"/>
            </w:pPr>
            <w:r/>
            <w:r>
              <w:rPr>
                <w:rFonts w:ascii="Calibri" w:hAnsi="Calibri"/>
                <w:b/>
                <w:color w:val="0B2545"/>
                <w:sz w:val="19"/>
              </w:rPr>
              <w:t>Market Commentary AI</w:t>
            </w:r>
          </w:p>
        </w:tc>
        <w:tc>
          <w:tcPr>
            <w:tcW w:type="dxa" w:w="4010"/>
            <w:vAlign w:val="center"/>
          </w:tcPr>
          <w:p>
            <w:pPr>
              <w:spacing w:before="0" w:after="0" w:line="264" w:lineRule="auto"/>
              <w:jc w:val="left"/>
            </w:pPr>
            <w:r/>
            <w:r>
              <w:rPr>
                <w:rFonts w:ascii="Calibri" w:hAnsi="Calibri"/>
                <w:b w:val="0"/>
                <w:color w:val="000000"/>
                <w:sz w:val="19"/>
              </w:rPr>
              <w:t>Daily market metrics, indexes, movers, catalysts.</w:t>
            </w:r>
          </w:p>
        </w:tc>
        <w:tc>
          <w:tcPr>
            <w:tcW w:type="dxa" w:w="3350"/>
            <w:vAlign w:val="center"/>
          </w:tcPr>
          <w:p>
            <w:pPr>
              <w:spacing w:before="0" w:after="0" w:line="264" w:lineRule="auto"/>
              <w:jc w:val="left"/>
            </w:pPr>
            <w:r/>
            <w:r>
              <w:rPr>
                <w:rFonts w:ascii="Calibri" w:hAnsi="Calibri"/>
                <w:b w:val="0"/>
                <w:color w:val="000000"/>
                <w:sz w:val="19"/>
              </w:rPr>
              <w:t>Homepage summary and Daily Report commentary.</w:t>
            </w:r>
          </w:p>
        </w:tc>
      </w:tr>
      <w:tr>
        <w:trPr>
          <w:cantSplit/>
        </w:trPr>
        <w:tc>
          <w:tcPr>
            <w:tcW w:type="dxa" w:w="2000"/>
            <w:vAlign w:val="center"/>
          </w:tcPr>
          <w:p>
            <w:pPr>
              <w:spacing w:before="0" w:after="0" w:line="264" w:lineRule="auto"/>
              <w:jc w:val="left"/>
            </w:pPr>
            <w:r/>
            <w:r>
              <w:rPr>
                <w:rFonts w:ascii="Calibri" w:hAnsi="Calibri"/>
                <w:b/>
                <w:color w:val="0B2545"/>
                <w:sz w:val="19"/>
              </w:rPr>
              <w:t>Why Did It Move AI</w:t>
            </w:r>
          </w:p>
        </w:tc>
        <w:tc>
          <w:tcPr>
            <w:tcW w:type="dxa" w:w="4010"/>
            <w:vAlign w:val="center"/>
          </w:tcPr>
          <w:p>
            <w:pPr>
              <w:spacing w:before="0" w:after="0" w:line="264" w:lineRule="auto"/>
              <w:jc w:val="left"/>
            </w:pPr>
            <w:r/>
            <w:r>
              <w:rPr>
                <w:rFonts w:ascii="Calibri" w:hAnsi="Calibri"/>
                <w:b w:val="0"/>
                <w:color w:val="000000"/>
                <w:sz w:val="19"/>
              </w:rPr>
              <w:t>Asset evidence bundle and recent movement window.</w:t>
            </w:r>
          </w:p>
        </w:tc>
        <w:tc>
          <w:tcPr>
            <w:tcW w:type="dxa" w:w="3350"/>
            <w:vAlign w:val="center"/>
          </w:tcPr>
          <w:p>
            <w:pPr>
              <w:spacing w:before="0" w:after="0" w:line="264" w:lineRule="auto"/>
              <w:jc w:val="left"/>
            </w:pPr>
            <w:r/>
            <w:r>
              <w:rPr>
                <w:rFonts w:ascii="Calibri" w:hAnsi="Calibri"/>
                <w:b w:val="0"/>
                <w:color w:val="000000"/>
                <w:sz w:val="19"/>
              </w:rPr>
              <w:t>Movement explanation with drivers and caveats.</w:t>
            </w:r>
          </w:p>
        </w:tc>
      </w:tr>
      <w:tr>
        <w:trPr>
          <w:cantSplit/>
        </w:trPr>
        <w:tc>
          <w:tcPr>
            <w:tcW w:type="dxa" w:w="2000"/>
            <w:vAlign w:val="center"/>
          </w:tcPr>
          <w:p>
            <w:pPr>
              <w:spacing w:before="0" w:after="0" w:line="264" w:lineRule="auto"/>
              <w:jc w:val="left"/>
            </w:pPr>
            <w:r/>
            <w:r>
              <w:rPr>
                <w:rFonts w:ascii="Calibri" w:hAnsi="Calibri"/>
                <w:b/>
                <w:color w:val="0B2545"/>
                <w:sz w:val="19"/>
              </w:rPr>
              <w:t>Risk AI</w:t>
            </w:r>
          </w:p>
        </w:tc>
        <w:tc>
          <w:tcPr>
            <w:tcW w:type="dxa" w:w="4010"/>
            <w:vAlign w:val="center"/>
          </w:tcPr>
          <w:p>
            <w:pPr>
              <w:spacing w:before="0" w:after="0" w:line="264" w:lineRule="auto"/>
              <w:jc w:val="left"/>
            </w:pPr>
            <w:r/>
            <w:r>
              <w:rPr>
                <w:rFonts w:ascii="Calibri" w:hAnsi="Calibri"/>
                <w:b w:val="0"/>
                <w:color w:val="000000"/>
                <w:sz w:val="19"/>
              </w:rPr>
              <w:t>Price, liquidity, population, volatility, catalyst, and portfolio context.</w:t>
            </w:r>
          </w:p>
        </w:tc>
        <w:tc>
          <w:tcPr>
            <w:tcW w:type="dxa" w:w="3350"/>
            <w:vAlign w:val="center"/>
          </w:tcPr>
          <w:p>
            <w:pPr>
              <w:spacing w:before="0" w:after="0" w:line="264" w:lineRule="auto"/>
              <w:jc w:val="left"/>
            </w:pPr>
            <w:r/>
            <w:r>
              <w:rPr>
                <w:rFonts w:ascii="Calibri" w:hAnsi="Calibri"/>
                <w:b w:val="0"/>
                <w:color w:val="000000"/>
                <w:sz w:val="19"/>
              </w:rPr>
              <w:t>Risk score explanation and warning text.</w:t>
            </w:r>
          </w:p>
        </w:tc>
      </w:tr>
      <w:tr>
        <w:trPr>
          <w:cantSplit/>
        </w:trPr>
        <w:tc>
          <w:tcPr>
            <w:tcW w:type="dxa" w:w="2000"/>
            <w:vAlign w:val="center"/>
          </w:tcPr>
          <w:p>
            <w:pPr>
              <w:spacing w:before="0" w:after="0" w:line="264" w:lineRule="auto"/>
              <w:jc w:val="left"/>
            </w:pPr>
            <w:r/>
            <w:r>
              <w:rPr>
                <w:rFonts w:ascii="Calibri" w:hAnsi="Calibri"/>
                <w:b/>
                <w:color w:val="0B2545"/>
                <w:sz w:val="19"/>
              </w:rPr>
              <w:t>Portfolio AI</w:t>
            </w:r>
          </w:p>
        </w:tc>
        <w:tc>
          <w:tcPr>
            <w:tcW w:type="dxa" w:w="4010"/>
            <w:vAlign w:val="center"/>
          </w:tcPr>
          <w:p>
            <w:pPr>
              <w:spacing w:before="0" w:after="0" w:line="264" w:lineRule="auto"/>
              <w:jc w:val="left"/>
            </w:pPr>
            <w:r/>
            <w:r>
              <w:rPr>
                <w:rFonts w:ascii="Calibri" w:hAnsi="Calibri"/>
                <w:b w:val="0"/>
                <w:color w:val="000000"/>
                <w:sz w:val="19"/>
              </w:rPr>
              <w:t>User holdings, allocation, valuation confidence, and watchlist.</w:t>
            </w:r>
          </w:p>
        </w:tc>
        <w:tc>
          <w:tcPr>
            <w:tcW w:type="dxa" w:w="3350"/>
            <w:vAlign w:val="center"/>
          </w:tcPr>
          <w:p>
            <w:pPr>
              <w:spacing w:before="0" w:after="0" w:line="264" w:lineRule="auto"/>
              <w:jc w:val="left"/>
            </w:pPr>
            <w:r/>
            <w:r>
              <w:rPr>
                <w:rFonts w:ascii="Calibri" w:hAnsi="Calibri"/>
                <w:b w:val="0"/>
                <w:color w:val="000000"/>
                <w:sz w:val="19"/>
              </w:rPr>
              <w:t>Portfolio health summary and suggested watch areas.</w:t>
            </w:r>
          </w:p>
        </w:tc>
      </w:tr>
      <w:tr>
        <w:trPr>
          <w:cantSplit/>
        </w:trPr>
        <w:tc>
          <w:tcPr>
            <w:tcW w:type="dxa" w:w="2000"/>
            <w:vAlign w:val="center"/>
          </w:tcPr>
          <w:p>
            <w:pPr>
              <w:spacing w:before="0" w:after="0" w:line="264" w:lineRule="auto"/>
              <w:jc w:val="left"/>
            </w:pPr>
            <w:r/>
            <w:r>
              <w:rPr>
                <w:rFonts w:ascii="Calibri" w:hAnsi="Calibri"/>
                <w:b/>
                <w:color w:val="0B2545"/>
                <w:sz w:val="19"/>
              </w:rPr>
              <w:t>Community AI</w:t>
            </w:r>
          </w:p>
        </w:tc>
        <w:tc>
          <w:tcPr>
            <w:tcW w:type="dxa" w:w="4010"/>
            <w:vAlign w:val="center"/>
          </w:tcPr>
          <w:p>
            <w:pPr>
              <w:spacing w:before="0" w:after="0" w:line="264" w:lineRule="auto"/>
              <w:jc w:val="left"/>
            </w:pPr>
            <w:r/>
            <w:r>
              <w:rPr>
                <w:rFonts w:ascii="Calibri" w:hAnsi="Calibri"/>
                <w:b w:val="0"/>
                <w:color w:val="000000"/>
                <w:sz w:val="19"/>
              </w:rPr>
              <w:t>Aggregated social discussion and sentiment records.</w:t>
            </w:r>
          </w:p>
        </w:tc>
        <w:tc>
          <w:tcPr>
            <w:tcW w:type="dxa" w:w="3350"/>
            <w:vAlign w:val="center"/>
          </w:tcPr>
          <w:p>
            <w:pPr>
              <w:spacing w:before="0" w:after="0" w:line="264" w:lineRule="auto"/>
              <w:jc w:val="left"/>
            </w:pPr>
            <w:r/>
            <w:r>
              <w:rPr>
                <w:rFonts w:ascii="Calibri" w:hAnsi="Calibri"/>
                <w:b w:val="0"/>
                <w:color w:val="000000"/>
                <w:sz w:val="19"/>
              </w:rPr>
              <w:t>Spam-filtered community summary and attention notes.</w:t>
            </w:r>
          </w:p>
        </w:tc>
      </w:tr>
      <w:tr>
        <w:trPr>
          <w:cantSplit/>
        </w:trPr>
        <w:tc>
          <w:tcPr>
            <w:tcW w:type="dxa" w:w="2000"/>
            <w:vAlign w:val="center"/>
          </w:tcPr>
          <w:p>
            <w:pPr>
              <w:spacing w:before="0" w:after="0" w:line="264" w:lineRule="auto"/>
              <w:jc w:val="left"/>
            </w:pPr>
            <w:r/>
            <w:r>
              <w:rPr>
                <w:rFonts w:ascii="Calibri" w:hAnsi="Calibri"/>
                <w:b/>
                <w:color w:val="0B2545"/>
                <w:sz w:val="19"/>
              </w:rPr>
              <w:t>Knowledge AI</w:t>
            </w:r>
          </w:p>
        </w:tc>
        <w:tc>
          <w:tcPr>
            <w:tcW w:type="dxa" w:w="4010"/>
            <w:vAlign w:val="center"/>
          </w:tcPr>
          <w:p>
            <w:pPr>
              <w:spacing w:before="0" w:after="0" w:line="264" w:lineRule="auto"/>
              <w:jc w:val="left"/>
            </w:pPr>
            <w:r/>
            <w:r>
              <w:rPr>
                <w:rFonts w:ascii="Calibri" w:hAnsi="Calibri"/>
                <w:b w:val="0"/>
                <w:color w:val="000000"/>
                <w:sz w:val="19"/>
              </w:rPr>
              <w:t>Canonical asset metadata, history, sales, population, and related cards.</w:t>
            </w:r>
          </w:p>
        </w:tc>
        <w:tc>
          <w:tcPr>
            <w:tcW w:type="dxa" w:w="3350"/>
            <w:vAlign w:val="center"/>
          </w:tcPr>
          <w:p>
            <w:pPr>
              <w:spacing w:before="0" w:after="0" w:line="264" w:lineRule="auto"/>
              <w:jc w:val="left"/>
            </w:pPr>
            <w:r/>
            <w:r>
              <w:rPr>
                <w:rFonts w:ascii="Calibri" w:hAnsi="Calibri"/>
                <w:b w:val="0"/>
                <w:color w:val="000000"/>
                <w:sz w:val="19"/>
              </w:rPr>
              <w:t>Educational card thesis and FAQ content.</w:t>
            </w:r>
          </w:p>
        </w:tc>
      </w:tr>
    </w:tbl>
    <w:p>
      <w:pPr>
        <w:spacing w:after="40"/>
      </w:pPr>
    </w:p>
    <w:p>
      <w:pPr>
        <w:pStyle w:val="Heading2"/>
      </w:pPr>
      <w:r>
        <w:t>6.3 Prompt Contract</w:t>
      </w:r>
    </w:p>
    <w:p>
      <w:r>
        <w:rPr>
          <w:rFonts w:ascii="Calibri" w:hAnsi="Calibri"/>
        </w:rPr>
        <w:t>Each prompt must declare task, allowed evidence, output format, refusal conditions, confidence rules, and prohibited claims.</w:t>
      </w:r>
    </w:p>
    <w:p>
      <w:pPr>
        <w:pStyle w:val="ListBullet"/>
        <w:spacing w:after="40" w:line="280" w:lineRule="auto"/>
        <w:ind w:left="720" w:hanging="360"/>
      </w:pPr>
      <w:r>
        <w:rPr>
          <w:rFonts w:ascii="Calibri" w:hAnsi="Calibri"/>
          <w:sz w:val="22"/>
        </w:rPr>
        <w:t>Never cite data that is not present in the evidence bundle.</w:t>
      </w:r>
    </w:p>
    <w:p>
      <w:pPr>
        <w:pStyle w:val="ListBullet"/>
        <w:spacing w:after="40" w:line="280" w:lineRule="auto"/>
        <w:ind w:left="720" w:hanging="360"/>
      </w:pPr>
      <w:r>
        <w:rPr>
          <w:rFonts w:ascii="Calibri" w:hAnsi="Calibri"/>
          <w:sz w:val="22"/>
        </w:rPr>
        <w:t>Never transform weak correlation into causal certainty.</w:t>
      </w:r>
    </w:p>
    <w:p>
      <w:pPr>
        <w:pStyle w:val="ListBullet"/>
        <w:spacing w:after="40" w:line="280" w:lineRule="auto"/>
        <w:ind w:left="720" w:hanging="360"/>
      </w:pPr>
      <w:r>
        <w:rPr>
          <w:rFonts w:ascii="Calibri" w:hAnsi="Calibri"/>
          <w:sz w:val="22"/>
        </w:rPr>
        <w:t>Always distinguish observed facts from interpretation.</w:t>
      </w:r>
    </w:p>
    <w:p>
      <w:pPr>
        <w:pStyle w:val="ListBullet"/>
        <w:spacing w:after="40" w:line="280" w:lineRule="auto"/>
        <w:ind w:left="720" w:hanging="360"/>
      </w:pPr>
      <w:r>
        <w:rPr>
          <w:rFonts w:ascii="Calibri" w:hAnsi="Calibri"/>
          <w:sz w:val="22"/>
        </w:rPr>
        <w:t>Always include missing data when it affects confidence.</w:t>
      </w:r>
    </w:p>
    <w:p>
      <w:pPr>
        <w:pStyle w:val="ListBullet"/>
        <w:spacing w:after="40" w:line="280" w:lineRule="auto"/>
        <w:ind w:left="720" w:hanging="360"/>
      </w:pPr>
      <w:r>
        <w:rPr>
          <w:rFonts w:ascii="Calibri" w:hAnsi="Calibri"/>
          <w:sz w:val="22"/>
        </w:rPr>
        <w:t>Use neutral product language: watch, risk, context, evidence, confidence.</w:t>
      </w:r>
    </w:p>
    <w:p>
      <w:pPr>
        <w:pStyle w:val="Heading2"/>
      </w:pPr>
      <w:r>
        <w:t>6.4 Evaluation and Audit</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4260"/>
        <w:gridCol w:w="3200"/>
      </w:tblGrid>
      <w:tr>
        <w:trPr>
          <w:tblHeader w:val="true"/>
          <w:cantSplit/>
        </w:trPr>
        <w:tc>
          <w:tcPr>
            <w:tcW w:type="dxa" w:w="1900"/>
            <w:shd w:fill="F2F4F7"/>
            <w:vAlign w:val="center"/>
          </w:tcPr>
          <w:p>
            <w:pPr>
              <w:spacing w:before="0" w:after="0" w:line="264" w:lineRule="auto"/>
              <w:jc w:val="center"/>
            </w:pPr>
            <w:r/>
            <w:r>
              <w:rPr>
                <w:rFonts w:ascii="Calibri" w:hAnsi="Calibri"/>
                <w:b/>
                <w:color w:val="0B2545"/>
                <w:sz w:val="20"/>
              </w:rPr>
              <w:t>Evaluation Type</w:t>
            </w:r>
          </w:p>
        </w:tc>
        <w:tc>
          <w:tcPr>
            <w:tcW w:type="dxa" w:w="4260"/>
            <w:shd w:fill="F2F4F7"/>
            <w:vAlign w:val="center"/>
          </w:tcPr>
          <w:p>
            <w:pPr>
              <w:spacing w:before="0" w:after="0" w:line="264" w:lineRule="auto"/>
              <w:jc w:val="center"/>
            </w:pPr>
            <w:r/>
            <w:r>
              <w:rPr>
                <w:rFonts w:ascii="Calibri" w:hAnsi="Calibri"/>
                <w:b/>
                <w:color w:val="0B2545"/>
                <w:sz w:val="20"/>
              </w:rPr>
              <w:t>Question</w:t>
            </w:r>
          </w:p>
        </w:tc>
        <w:tc>
          <w:tcPr>
            <w:tcW w:type="dxa" w:w="3200"/>
            <w:shd w:fill="F2F4F7"/>
            <w:vAlign w:val="center"/>
          </w:tcPr>
          <w:p>
            <w:pPr>
              <w:spacing w:before="0" w:after="0" w:line="264" w:lineRule="auto"/>
              <w:jc w:val="center"/>
            </w:pPr>
            <w:r/>
            <w:r>
              <w:rPr>
                <w:rFonts w:ascii="Calibri" w:hAnsi="Calibri"/>
                <w:b/>
                <w:color w:val="0B2545"/>
                <w:sz w:val="20"/>
              </w:rPr>
              <w:t>Pass Condition</w:t>
            </w:r>
          </w:p>
        </w:tc>
      </w:tr>
      <w:tr>
        <w:trPr>
          <w:cantSplit/>
        </w:trPr>
        <w:tc>
          <w:tcPr>
            <w:tcW w:type="dxa" w:w="1900"/>
            <w:vAlign w:val="center"/>
          </w:tcPr>
          <w:p>
            <w:pPr>
              <w:spacing w:before="0" w:after="0" w:line="264" w:lineRule="auto"/>
              <w:jc w:val="left"/>
            </w:pPr>
            <w:r/>
            <w:r>
              <w:rPr>
                <w:rFonts w:ascii="Calibri" w:hAnsi="Calibri"/>
                <w:b/>
                <w:color w:val="0B2545"/>
                <w:sz w:val="19"/>
              </w:rPr>
              <w:t>Evidence grounding</w:t>
            </w:r>
          </w:p>
        </w:tc>
        <w:tc>
          <w:tcPr>
            <w:tcW w:type="dxa" w:w="4260"/>
            <w:vAlign w:val="center"/>
          </w:tcPr>
          <w:p>
            <w:pPr>
              <w:spacing w:before="0" w:after="0" w:line="264" w:lineRule="auto"/>
              <w:jc w:val="left"/>
            </w:pPr>
            <w:r/>
            <w:r>
              <w:rPr>
                <w:rFonts w:ascii="Calibri" w:hAnsi="Calibri"/>
                <w:b w:val="0"/>
                <w:color w:val="000000"/>
                <w:sz w:val="19"/>
              </w:rPr>
              <w:t>Does every claim map to provided evidence?</w:t>
            </w:r>
          </w:p>
        </w:tc>
        <w:tc>
          <w:tcPr>
            <w:tcW w:type="dxa" w:w="3200"/>
            <w:vAlign w:val="center"/>
          </w:tcPr>
          <w:p>
            <w:pPr>
              <w:spacing w:before="0" w:after="0" w:line="264" w:lineRule="auto"/>
              <w:jc w:val="left"/>
            </w:pPr>
            <w:r/>
            <w:r>
              <w:rPr>
                <w:rFonts w:ascii="Calibri" w:hAnsi="Calibri"/>
                <w:b w:val="0"/>
                <w:color w:val="000000"/>
                <w:sz w:val="19"/>
              </w:rPr>
              <w:t>No unsupported factual claim remains.</w:t>
            </w:r>
          </w:p>
        </w:tc>
      </w:tr>
      <w:tr>
        <w:trPr>
          <w:cantSplit/>
        </w:trPr>
        <w:tc>
          <w:tcPr>
            <w:tcW w:type="dxa" w:w="1900"/>
            <w:vAlign w:val="center"/>
          </w:tcPr>
          <w:p>
            <w:pPr>
              <w:spacing w:before="0" w:after="0" w:line="264" w:lineRule="auto"/>
              <w:jc w:val="left"/>
            </w:pPr>
            <w:r/>
            <w:r>
              <w:rPr>
                <w:rFonts w:ascii="Calibri" w:hAnsi="Calibri"/>
                <w:b/>
                <w:color w:val="0B2545"/>
                <w:sz w:val="19"/>
              </w:rPr>
              <w:t>Confidence calibration</w:t>
            </w:r>
          </w:p>
        </w:tc>
        <w:tc>
          <w:tcPr>
            <w:tcW w:type="dxa" w:w="4260"/>
            <w:vAlign w:val="center"/>
          </w:tcPr>
          <w:p>
            <w:pPr>
              <w:spacing w:before="0" w:after="0" w:line="264" w:lineRule="auto"/>
              <w:jc w:val="left"/>
            </w:pPr>
            <w:r/>
            <w:r>
              <w:rPr>
                <w:rFonts w:ascii="Calibri" w:hAnsi="Calibri"/>
                <w:b w:val="0"/>
                <w:color w:val="000000"/>
                <w:sz w:val="19"/>
              </w:rPr>
              <w:t>Does the confidence label match sample size and source strength?</w:t>
            </w:r>
          </w:p>
        </w:tc>
        <w:tc>
          <w:tcPr>
            <w:tcW w:type="dxa" w:w="3200"/>
            <w:vAlign w:val="center"/>
          </w:tcPr>
          <w:p>
            <w:pPr>
              <w:spacing w:before="0" w:after="0" w:line="264" w:lineRule="auto"/>
              <w:jc w:val="left"/>
            </w:pPr>
            <w:r/>
            <w:r>
              <w:rPr>
                <w:rFonts w:ascii="Calibri" w:hAnsi="Calibri"/>
                <w:b w:val="0"/>
                <w:color w:val="000000"/>
                <w:sz w:val="19"/>
              </w:rPr>
              <w:t>Low evidence produces low or insufficient confidence.</w:t>
            </w:r>
          </w:p>
        </w:tc>
      </w:tr>
      <w:tr>
        <w:trPr>
          <w:cantSplit/>
        </w:trPr>
        <w:tc>
          <w:tcPr>
            <w:tcW w:type="dxa" w:w="1900"/>
            <w:vAlign w:val="center"/>
          </w:tcPr>
          <w:p>
            <w:pPr>
              <w:spacing w:before="0" w:after="0" w:line="264" w:lineRule="auto"/>
              <w:jc w:val="center"/>
            </w:pPr>
            <w:r/>
            <w:r>
              <w:rPr>
                <w:rFonts w:ascii="Calibri" w:hAnsi="Calibri"/>
                <w:b/>
                <w:color w:val="0B2545"/>
                <w:sz w:val="19"/>
              </w:rPr>
              <w:t>Tone</w:t>
            </w:r>
          </w:p>
        </w:tc>
        <w:tc>
          <w:tcPr>
            <w:tcW w:type="dxa" w:w="4260"/>
            <w:vAlign w:val="center"/>
          </w:tcPr>
          <w:p>
            <w:pPr>
              <w:spacing w:before="0" w:after="0" w:line="264" w:lineRule="auto"/>
              <w:jc w:val="left"/>
            </w:pPr>
            <w:r/>
            <w:r>
              <w:rPr>
                <w:rFonts w:ascii="Calibri" w:hAnsi="Calibri"/>
                <w:b w:val="0"/>
                <w:color w:val="000000"/>
                <w:sz w:val="19"/>
              </w:rPr>
              <w:t>Does output avoid hype and pressure?</w:t>
            </w:r>
          </w:p>
        </w:tc>
        <w:tc>
          <w:tcPr>
            <w:tcW w:type="dxa" w:w="3200"/>
            <w:vAlign w:val="center"/>
          </w:tcPr>
          <w:p>
            <w:pPr>
              <w:spacing w:before="0" w:after="0" w:line="264" w:lineRule="auto"/>
              <w:jc w:val="left"/>
            </w:pPr>
            <w:r/>
            <w:r>
              <w:rPr>
                <w:rFonts w:ascii="Calibri" w:hAnsi="Calibri"/>
                <w:b w:val="0"/>
                <w:color w:val="000000"/>
                <w:sz w:val="19"/>
              </w:rPr>
              <w:t>No clickbait, urgency manipulation, or unsupported buy language.</w:t>
            </w:r>
          </w:p>
        </w:tc>
      </w:tr>
      <w:tr>
        <w:trPr>
          <w:cantSplit/>
        </w:trPr>
        <w:tc>
          <w:tcPr>
            <w:tcW w:type="dxa" w:w="1900"/>
            <w:vAlign w:val="center"/>
          </w:tcPr>
          <w:p>
            <w:pPr>
              <w:spacing w:before="0" w:after="0" w:line="264" w:lineRule="auto"/>
              <w:jc w:val="left"/>
            </w:pPr>
            <w:r/>
            <w:r>
              <w:rPr>
                <w:rFonts w:ascii="Calibri" w:hAnsi="Calibri"/>
                <w:b/>
                <w:color w:val="0B2545"/>
                <w:sz w:val="19"/>
              </w:rPr>
              <w:t>Usefulness</w:t>
            </w:r>
          </w:p>
        </w:tc>
        <w:tc>
          <w:tcPr>
            <w:tcW w:type="dxa" w:w="4260"/>
            <w:vAlign w:val="center"/>
          </w:tcPr>
          <w:p>
            <w:pPr>
              <w:spacing w:before="0" w:after="0" w:line="264" w:lineRule="auto"/>
              <w:jc w:val="left"/>
            </w:pPr>
            <w:r/>
            <w:r>
              <w:rPr>
                <w:rFonts w:ascii="Calibri" w:hAnsi="Calibri"/>
                <w:b w:val="0"/>
                <w:color w:val="000000"/>
                <w:sz w:val="19"/>
              </w:rPr>
              <w:t>Does the explanation help a user decide what to watch?</w:t>
            </w:r>
          </w:p>
        </w:tc>
        <w:tc>
          <w:tcPr>
            <w:tcW w:type="dxa" w:w="3200"/>
            <w:vAlign w:val="center"/>
          </w:tcPr>
          <w:p>
            <w:pPr>
              <w:spacing w:before="0" w:after="0" w:line="264" w:lineRule="auto"/>
              <w:jc w:val="left"/>
            </w:pPr>
            <w:r/>
            <w:r>
              <w:rPr>
                <w:rFonts w:ascii="Calibri" w:hAnsi="Calibri"/>
                <w:b w:val="0"/>
                <w:color w:val="000000"/>
                <w:sz w:val="19"/>
              </w:rPr>
              <w:t>Clear drivers, caveats, and next-watch items.</w:t>
            </w:r>
          </w:p>
        </w:tc>
      </w:tr>
      <w:tr>
        <w:trPr>
          <w:cantSplit/>
        </w:trPr>
        <w:tc>
          <w:tcPr>
            <w:tcW w:type="dxa" w:w="1900"/>
            <w:vAlign w:val="center"/>
          </w:tcPr>
          <w:p>
            <w:pPr>
              <w:spacing w:before="0" w:after="0" w:line="264" w:lineRule="auto"/>
              <w:jc w:val="left"/>
            </w:pPr>
            <w:r/>
            <w:r>
              <w:rPr>
                <w:rFonts w:ascii="Calibri" w:hAnsi="Calibri"/>
                <w:b/>
                <w:color w:val="0B2545"/>
                <w:sz w:val="19"/>
              </w:rPr>
              <w:t>Safety</w:t>
            </w:r>
          </w:p>
        </w:tc>
        <w:tc>
          <w:tcPr>
            <w:tcW w:type="dxa" w:w="4260"/>
            <w:vAlign w:val="center"/>
          </w:tcPr>
          <w:p>
            <w:pPr>
              <w:spacing w:before="0" w:after="0" w:line="264" w:lineRule="auto"/>
              <w:jc w:val="left"/>
            </w:pPr>
            <w:r/>
            <w:r>
              <w:rPr>
                <w:rFonts w:ascii="Calibri" w:hAnsi="Calibri"/>
                <w:b w:val="0"/>
                <w:color w:val="000000"/>
                <w:sz w:val="19"/>
              </w:rPr>
              <w:t>Does it avoid personalized financial advice beyond product rules?</w:t>
            </w:r>
          </w:p>
        </w:tc>
        <w:tc>
          <w:tcPr>
            <w:tcW w:type="dxa" w:w="3200"/>
            <w:vAlign w:val="center"/>
          </w:tcPr>
          <w:p>
            <w:pPr>
              <w:spacing w:before="0" w:after="0" w:line="264" w:lineRule="auto"/>
              <w:jc w:val="left"/>
            </w:pPr>
            <w:r/>
            <w:r>
              <w:rPr>
                <w:rFonts w:ascii="Calibri" w:hAnsi="Calibri"/>
                <w:b w:val="0"/>
                <w:color w:val="000000"/>
                <w:sz w:val="19"/>
              </w:rPr>
              <w:t>Recommendations remain evidence-based decision support.</w:t>
            </w:r>
          </w:p>
        </w:tc>
      </w:tr>
    </w:tbl>
    <w:p>
      <w:pPr>
        <w:spacing w:after="40"/>
      </w:pPr>
    </w:p>
    <w:p>
      <w:pPr>
        <w:pStyle w:val="Heading2"/>
      </w:pPr>
      <w:r>
        <w:t>6.5 AI Acceptance Criteria</w:t>
      </w:r>
    </w:p>
    <w:p>
      <w:pPr>
        <w:pStyle w:val="ListBullet"/>
        <w:spacing w:after="40" w:line="280" w:lineRule="auto"/>
        <w:ind w:left="720" w:hanging="360"/>
      </w:pPr>
      <w:r>
        <w:rPr>
          <w:rFonts w:ascii="Calibri" w:hAnsi="Calibri"/>
          <w:sz w:val="22"/>
        </w:rPr>
        <w:t>AI explanations cannot be generated without an evidence bundle.</w:t>
      </w:r>
    </w:p>
    <w:p>
      <w:pPr>
        <w:pStyle w:val="ListBullet"/>
        <w:spacing w:after="40" w:line="280" w:lineRule="auto"/>
        <w:ind w:left="720" w:hanging="360"/>
      </w:pPr>
      <w:r>
        <w:rPr>
          <w:rFonts w:ascii="Calibri" w:hAnsi="Calibri"/>
          <w:sz w:val="22"/>
        </w:rPr>
        <w:t>Prompt versions and model versions are stored with every output.</w:t>
      </w:r>
    </w:p>
    <w:p>
      <w:pPr>
        <w:pStyle w:val="ListBullet"/>
        <w:spacing w:after="40" w:line="280" w:lineRule="auto"/>
        <w:ind w:left="720" w:hanging="360"/>
      </w:pPr>
      <w:r>
        <w:rPr>
          <w:rFonts w:ascii="Calibri" w:hAnsi="Calibri"/>
          <w:sz w:val="22"/>
        </w:rPr>
        <w:t>Low-confidence inputs trigger refusal or watch-only language.</w:t>
      </w:r>
    </w:p>
    <w:p>
      <w:pPr>
        <w:pStyle w:val="ListBullet"/>
        <w:spacing w:after="40" w:line="280" w:lineRule="auto"/>
        <w:ind w:left="720" w:hanging="360"/>
      </w:pPr>
      <w:r>
        <w:rPr>
          <w:rFonts w:ascii="Calibri" w:hAnsi="Calibri"/>
          <w:sz w:val="22"/>
        </w:rPr>
        <w:t>AI output can be re-evaluated against evidence after generation.</w:t>
      </w:r>
    </w:p>
    <w:p>
      <w:pPr>
        <w:pStyle w:val="ListBullet"/>
        <w:spacing w:after="40" w:line="280" w:lineRule="auto"/>
        <w:ind w:left="720" w:hanging="360"/>
      </w:pPr>
      <w:r>
        <w:rPr>
          <w:rFonts w:ascii="Calibri" w:hAnsi="Calibri"/>
          <w:sz w:val="22"/>
        </w:rPr>
        <w:t>Daily report generation can degrade gracefully when some data sources fail.</w:t>
      </w:r>
    </w:p>
    <w:p>
      <w:pPr>
        <w:pStyle w:val="Heading1"/>
      </w:pPr>
      <w:r>
        <w:t>Chapter 7: Market Dashboard PRD</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Dashboard goal: </w:t>
            </w:r>
            <w:r>
              <w:rPr>
                <w:rFonts w:ascii="Calibri" w:hAnsi="Calibri"/>
                <w:color w:val="0B2545"/>
                <w:sz w:val="21"/>
              </w:rPr>
              <w:t>Make the homepage the first place collectors open each day to understand what happened, why it happened, and what deserves attention next.</w:t>
            </w:r>
          </w:p>
        </w:tc>
      </w:tr>
    </w:tbl>
    <w:p>
      <w:pPr>
        <w:spacing w:after="40"/>
      </w:pPr>
    </w:p>
    <w:p>
      <w:pPr>
        <w:pStyle w:val="Heading2"/>
      </w:pPr>
      <w:r>
        <w:t>7.1 User Stories</w:t>
      </w:r>
    </w:p>
    <w:p>
      <w:pPr>
        <w:pStyle w:val="ListBullet"/>
        <w:spacing w:after="40" w:line="280" w:lineRule="auto"/>
        <w:ind w:left="720" w:hanging="360"/>
      </w:pPr>
      <w:r>
        <w:rPr>
          <w:rFonts w:ascii="Calibri" w:hAnsi="Calibri"/>
          <w:sz w:val="22"/>
        </w:rPr>
        <w:t>As a collector, I want to see whether the overall market is up or down today.</w:t>
      </w:r>
    </w:p>
    <w:p>
      <w:pPr>
        <w:pStyle w:val="ListBullet"/>
        <w:spacing w:after="40" w:line="280" w:lineRule="auto"/>
        <w:ind w:left="720" w:hanging="360"/>
      </w:pPr>
      <w:r>
        <w:rPr>
          <w:rFonts w:ascii="Calibri" w:hAnsi="Calibri"/>
          <w:sz w:val="22"/>
        </w:rPr>
        <w:t>As an investor, I want to see top movers with volume and confidence context.</w:t>
      </w:r>
    </w:p>
    <w:p>
      <w:pPr>
        <w:pStyle w:val="ListBullet"/>
        <w:spacing w:after="40" w:line="280" w:lineRule="auto"/>
        <w:ind w:left="720" w:hanging="360"/>
      </w:pPr>
      <w:r>
        <w:rPr>
          <w:rFonts w:ascii="Calibri" w:hAnsi="Calibri"/>
          <w:sz w:val="22"/>
        </w:rPr>
        <w:t>As a store owner, I want to see categories with rising demand and liquidity.</w:t>
      </w:r>
    </w:p>
    <w:p>
      <w:pPr>
        <w:pStyle w:val="ListBullet"/>
        <w:spacing w:after="40" w:line="280" w:lineRule="auto"/>
        <w:ind w:left="720" w:hanging="360"/>
      </w:pPr>
      <w:r>
        <w:rPr>
          <w:rFonts w:ascii="Calibri" w:hAnsi="Calibri"/>
          <w:sz w:val="22"/>
        </w:rPr>
        <w:t>As a creator, I want to find the strongest market stories for today's content.</w:t>
      </w:r>
    </w:p>
    <w:p>
      <w:pPr>
        <w:pStyle w:val="Heading2"/>
      </w:pPr>
      <w:r>
        <w:t>7.2 Required Widgets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3980"/>
        <w:gridCol w:w="3480"/>
      </w:tblGrid>
      <w:tr>
        <w:trPr>
          <w:tblHeader w:val="true"/>
          <w:cantSplit/>
        </w:trPr>
        <w:tc>
          <w:tcPr>
            <w:tcW w:type="dxa" w:w="1900"/>
            <w:shd w:fill="F2F4F7"/>
            <w:vAlign w:val="center"/>
          </w:tcPr>
          <w:p>
            <w:pPr>
              <w:spacing w:before="0" w:after="0" w:line="264" w:lineRule="auto"/>
              <w:jc w:val="center"/>
            </w:pPr>
            <w:r/>
            <w:r>
              <w:rPr>
                <w:rFonts w:ascii="Calibri" w:hAnsi="Calibri"/>
                <w:b/>
                <w:color w:val="0B2545"/>
                <w:sz w:val="20"/>
              </w:rPr>
              <w:t>Widget</w:t>
            </w:r>
          </w:p>
        </w:tc>
        <w:tc>
          <w:tcPr>
            <w:tcW w:type="dxa" w:w="3980"/>
            <w:shd w:fill="F2F4F7"/>
            <w:vAlign w:val="center"/>
          </w:tcPr>
          <w:p>
            <w:pPr>
              <w:spacing w:before="0" w:after="0" w:line="264" w:lineRule="auto"/>
              <w:jc w:val="center"/>
            </w:pPr>
            <w:r/>
            <w:r>
              <w:rPr>
                <w:rFonts w:ascii="Calibri" w:hAnsi="Calibri"/>
                <w:b/>
                <w:color w:val="0B2545"/>
                <w:sz w:val="20"/>
              </w:rPr>
              <w:t>Content</w:t>
            </w:r>
          </w:p>
        </w:tc>
        <w:tc>
          <w:tcPr>
            <w:tcW w:type="dxa" w:w="3480"/>
            <w:shd w:fill="F2F4F7"/>
            <w:vAlign w:val="center"/>
          </w:tcPr>
          <w:p>
            <w:pPr>
              <w:spacing w:before="0" w:after="0" w:line="264" w:lineRule="auto"/>
              <w:jc w:val="center"/>
            </w:pPr>
            <w:r/>
            <w:r>
              <w:rPr>
                <w:rFonts w:ascii="Calibri" w:hAnsi="Calibri"/>
                <w:b/>
                <w:color w:val="0B2545"/>
                <w:sz w:val="20"/>
              </w:rPr>
              <w:t>Behavior</w:t>
            </w:r>
          </w:p>
        </w:tc>
      </w:tr>
      <w:tr>
        <w:trPr>
          <w:cantSplit/>
        </w:trPr>
        <w:tc>
          <w:tcPr>
            <w:tcW w:type="dxa" w:w="1900"/>
            <w:vAlign w:val="center"/>
          </w:tcPr>
          <w:p>
            <w:pPr>
              <w:spacing w:before="0" w:after="0" w:line="264" w:lineRule="auto"/>
              <w:jc w:val="left"/>
            </w:pPr>
            <w:r/>
            <w:r>
              <w:rPr>
                <w:rFonts w:ascii="Calibri" w:hAnsi="Calibri"/>
                <w:b/>
                <w:color w:val="0B2545"/>
                <w:sz w:val="18"/>
              </w:rPr>
              <w:t>Market Index Strip</w:t>
            </w:r>
          </w:p>
        </w:tc>
        <w:tc>
          <w:tcPr>
            <w:tcW w:type="dxa" w:w="3980"/>
            <w:vAlign w:val="center"/>
          </w:tcPr>
          <w:p>
            <w:pPr>
              <w:spacing w:before="0" w:after="0" w:line="264" w:lineRule="auto"/>
              <w:jc w:val="left"/>
            </w:pPr>
            <w:r/>
            <w:r>
              <w:rPr>
                <w:rFonts w:ascii="Calibri" w:hAnsi="Calibri"/>
                <w:b w:val="0"/>
                <w:color w:val="000000"/>
                <w:sz w:val="18"/>
              </w:rPr>
              <w:t>Pokemon, One Piece, Sports, Sealed, Vintage, Japanese, PSA10 indexes.</w:t>
            </w:r>
          </w:p>
        </w:tc>
        <w:tc>
          <w:tcPr>
            <w:tcW w:type="dxa" w:w="3480"/>
            <w:vAlign w:val="center"/>
          </w:tcPr>
          <w:p>
            <w:pPr>
              <w:spacing w:before="0" w:after="0" w:line="264" w:lineRule="auto"/>
              <w:jc w:val="left"/>
            </w:pPr>
            <w:r/>
            <w:r>
              <w:rPr>
                <w:rFonts w:ascii="Calibri" w:hAnsi="Calibri"/>
                <w:b w:val="0"/>
                <w:color w:val="000000"/>
                <w:sz w:val="18"/>
              </w:rPr>
              <w:t>Show daily and 7-day movement with confidence.</w:t>
            </w:r>
          </w:p>
        </w:tc>
      </w:tr>
      <w:tr>
        <w:trPr>
          <w:cantSplit/>
        </w:trPr>
        <w:tc>
          <w:tcPr>
            <w:tcW w:type="dxa" w:w="1900"/>
            <w:vAlign w:val="center"/>
          </w:tcPr>
          <w:p>
            <w:pPr>
              <w:spacing w:before="0" w:after="0" w:line="264" w:lineRule="auto"/>
              <w:jc w:val="left"/>
            </w:pPr>
            <w:r/>
            <w:r>
              <w:rPr>
                <w:rFonts w:ascii="Calibri" w:hAnsi="Calibri"/>
                <w:b/>
                <w:color w:val="0B2545"/>
                <w:sz w:val="18"/>
              </w:rPr>
              <w:t>Top Movers</w:t>
            </w:r>
          </w:p>
        </w:tc>
        <w:tc>
          <w:tcPr>
            <w:tcW w:type="dxa" w:w="3980"/>
            <w:vAlign w:val="center"/>
          </w:tcPr>
          <w:p>
            <w:pPr>
              <w:spacing w:before="0" w:after="0" w:line="264" w:lineRule="auto"/>
              <w:jc w:val="left"/>
            </w:pPr>
            <w:r/>
            <w:r>
              <w:rPr>
                <w:rFonts w:ascii="Calibri" w:hAnsi="Calibri"/>
                <w:b w:val="0"/>
                <w:color w:val="000000"/>
                <w:sz w:val="18"/>
              </w:rPr>
              <w:t>Assets with strongest price movement.</w:t>
            </w:r>
          </w:p>
        </w:tc>
        <w:tc>
          <w:tcPr>
            <w:tcW w:type="dxa" w:w="3480"/>
            <w:vAlign w:val="center"/>
          </w:tcPr>
          <w:p>
            <w:pPr>
              <w:spacing w:before="0" w:after="0" w:line="264" w:lineRule="auto"/>
              <w:jc w:val="left"/>
            </w:pPr>
            <w:r/>
            <w:r>
              <w:rPr>
                <w:rFonts w:ascii="Calibri" w:hAnsi="Calibri"/>
                <w:b w:val="0"/>
                <w:color w:val="000000"/>
                <w:sz w:val="18"/>
              </w:rPr>
              <w:t>Require volume and outlier filtering.</w:t>
            </w:r>
          </w:p>
        </w:tc>
      </w:tr>
      <w:tr>
        <w:trPr>
          <w:cantSplit/>
        </w:trPr>
        <w:tc>
          <w:tcPr>
            <w:tcW w:type="dxa" w:w="1900"/>
            <w:vAlign w:val="center"/>
          </w:tcPr>
          <w:p>
            <w:pPr>
              <w:spacing w:before="0" w:after="0" w:line="264" w:lineRule="auto"/>
              <w:jc w:val="left"/>
            </w:pPr>
            <w:r/>
            <w:r>
              <w:rPr>
                <w:rFonts w:ascii="Calibri" w:hAnsi="Calibri"/>
                <w:b/>
                <w:color w:val="0B2545"/>
                <w:sz w:val="18"/>
              </w:rPr>
              <w:t>Heatmap</w:t>
            </w:r>
          </w:p>
        </w:tc>
        <w:tc>
          <w:tcPr>
            <w:tcW w:type="dxa" w:w="3980"/>
            <w:vAlign w:val="center"/>
          </w:tcPr>
          <w:p>
            <w:pPr>
              <w:spacing w:before="0" w:after="0" w:line="264" w:lineRule="auto"/>
              <w:jc w:val="left"/>
            </w:pPr>
            <w:r/>
            <w:r>
              <w:rPr>
                <w:rFonts w:ascii="Calibri" w:hAnsi="Calibri"/>
                <w:b w:val="0"/>
                <w:color w:val="000000"/>
                <w:sz w:val="18"/>
              </w:rPr>
              <w:t>Category, era, language, grade, and region performance.</w:t>
            </w:r>
          </w:p>
        </w:tc>
        <w:tc>
          <w:tcPr>
            <w:tcW w:type="dxa" w:w="3480"/>
            <w:vAlign w:val="center"/>
          </w:tcPr>
          <w:p>
            <w:pPr>
              <w:spacing w:before="0" w:after="0" w:line="264" w:lineRule="auto"/>
              <w:jc w:val="left"/>
            </w:pPr>
            <w:r/>
            <w:r>
              <w:rPr>
                <w:rFonts w:ascii="Calibri" w:hAnsi="Calibri"/>
                <w:b w:val="0"/>
                <w:color w:val="000000"/>
                <w:sz w:val="18"/>
              </w:rPr>
              <w:t>Color by performance and liquidity quality.</w:t>
            </w:r>
          </w:p>
        </w:tc>
      </w:tr>
      <w:tr>
        <w:trPr>
          <w:cantSplit/>
        </w:trPr>
        <w:tc>
          <w:tcPr>
            <w:tcW w:type="dxa" w:w="1900"/>
            <w:vAlign w:val="center"/>
          </w:tcPr>
          <w:p>
            <w:pPr>
              <w:spacing w:before="0" w:after="0" w:line="264" w:lineRule="auto"/>
              <w:jc w:val="left"/>
            </w:pPr>
            <w:r/>
            <w:r>
              <w:rPr>
                <w:rFonts w:ascii="Calibri" w:hAnsi="Calibri"/>
                <w:b/>
                <w:color w:val="0B2545"/>
                <w:sz w:val="18"/>
              </w:rPr>
              <w:t>Biggest Sales</w:t>
            </w:r>
          </w:p>
        </w:tc>
        <w:tc>
          <w:tcPr>
            <w:tcW w:type="dxa" w:w="3980"/>
            <w:vAlign w:val="center"/>
          </w:tcPr>
          <w:p>
            <w:pPr>
              <w:spacing w:before="0" w:after="0" w:line="264" w:lineRule="auto"/>
              <w:jc w:val="left"/>
            </w:pPr>
            <w:r/>
            <w:r>
              <w:rPr>
                <w:rFonts w:ascii="Calibri" w:hAnsi="Calibri"/>
                <w:b w:val="0"/>
                <w:color w:val="000000"/>
                <w:sz w:val="18"/>
              </w:rPr>
              <w:t>Notable verified transactions.</w:t>
            </w:r>
          </w:p>
        </w:tc>
        <w:tc>
          <w:tcPr>
            <w:tcW w:type="dxa" w:w="3480"/>
            <w:vAlign w:val="center"/>
          </w:tcPr>
          <w:p>
            <w:pPr>
              <w:spacing w:before="0" w:after="0" w:line="264" w:lineRule="auto"/>
              <w:jc w:val="left"/>
            </w:pPr>
            <w:r/>
            <w:r>
              <w:rPr>
                <w:rFonts w:ascii="Calibri" w:hAnsi="Calibri"/>
                <w:b w:val="0"/>
                <w:color w:val="000000"/>
                <w:sz w:val="18"/>
              </w:rPr>
              <w:t>Link to card dashboard and evidence detail.</w:t>
            </w:r>
          </w:p>
        </w:tc>
      </w:tr>
      <w:tr>
        <w:trPr>
          <w:cantSplit/>
        </w:trPr>
        <w:tc>
          <w:tcPr>
            <w:tcW w:type="dxa" w:w="1900"/>
            <w:vAlign w:val="center"/>
          </w:tcPr>
          <w:p>
            <w:pPr>
              <w:spacing w:before="0" w:after="0" w:line="264" w:lineRule="auto"/>
              <w:jc w:val="left"/>
            </w:pPr>
            <w:r/>
            <w:r>
              <w:rPr>
                <w:rFonts w:ascii="Calibri" w:hAnsi="Calibri"/>
                <w:b/>
                <w:color w:val="0B2545"/>
                <w:sz w:val="18"/>
              </w:rPr>
              <w:t>Market Commentary</w:t>
            </w:r>
          </w:p>
        </w:tc>
        <w:tc>
          <w:tcPr>
            <w:tcW w:type="dxa" w:w="3980"/>
            <w:vAlign w:val="center"/>
          </w:tcPr>
          <w:p>
            <w:pPr>
              <w:spacing w:before="0" w:after="0" w:line="264" w:lineRule="auto"/>
              <w:jc w:val="left"/>
            </w:pPr>
            <w:r/>
            <w:r>
              <w:rPr>
                <w:rFonts w:ascii="Calibri" w:hAnsi="Calibri"/>
                <w:b w:val="0"/>
                <w:color w:val="000000"/>
                <w:sz w:val="18"/>
              </w:rPr>
              <w:t>AI-generated daily summary.</w:t>
            </w:r>
          </w:p>
        </w:tc>
        <w:tc>
          <w:tcPr>
            <w:tcW w:type="dxa" w:w="3480"/>
            <w:vAlign w:val="center"/>
          </w:tcPr>
          <w:p>
            <w:pPr>
              <w:spacing w:before="0" w:after="0" w:line="264" w:lineRule="auto"/>
              <w:jc w:val="left"/>
            </w:pPr>
            <w:r/>
            <w:r>
              <w:rPr>
                <w:rFonts w:ascii="Calibri" w:hAnsi="Calibri"/>
                <w:b w:val="0"/>
                <w:color w:val="000000"/>
                <w:sz w:val="18"/>
              </w:rPr>
              <w:t>Show confidence and evidence summary.</w:t>
            </w:r>
          </w:p>
        </w:tc>
      </w:tr>
      <w:tr>
        <w:trPr>
          <w:cantSplit/>
        </w:trPr>
        <w:tc>
          <w:tcPr>
            <w:tcW w:type="dxa" w:w="1900"/>
            <w:vAlign w:val="center"/>
          </w:tcPr>
          <w:p>
            <w:pPr>
              <w:spacing w:before="0" w:after="0" w:line="264" w:lineRule="auto"/>
              <w:jc w:val="left"/>
            </w:pPr>
            <w:r/>
            <w:r>
              <w:rPr>
                <w:rFonts w:ascii="Calibri" w:hAnsi="Calibri"/>
                <w:b/>
                <w:color w:val="0B2545"/>
                <w:sz w:val="18"/>
              </w:rPr>
              <w:t>Watchlist Alerts</w:t>
            </w:r>
          </w:p>
        </w:tc>
        <w:tc>
          <w:tcPr>
            <w:tcW w:type="dxa" w:w="3980"/>
            <w:vAlign w:val="center"/>
          </w:tcPr>
          <w:p>
            <w:pPr>
              <w:spacing w:before="0" w:after="0" w:line="264" w:lineRule="auto"/>
              <w:jc w:val="left"/>
            </w:pPr>
            <w:r/>
            <w:r>
              <w:rPr>
                <w:rFonts w:ascii="Calibri" w:hAnsi="Calibri"/>
                <w:b w:val="0"/>
                <w:color w:val="000000"/>
                <w:sz w:val="18"/>
              </w:rPr>
              <w:t>Personalized user alerts.</w:t>
            </w:r>
          </w:p>
        </w:tc>
        <w:tc>
          <w:tcPr>
            <w:tcW w:type="dxa" w:w="3480"/>
            <w:vAlign w:val="center"/>
          </w:tcPr>
          <w:p>
            <w:pPr>
              <w:spacing w:before="0" w:after="0" w:line="264" w:lineRule="auto"/>
              <w:jc w:val="left"/>
            </w:pPr>
            <w:r/>
            <w:r>
              <w:rPr>
                <w:rFonts w:ascii="Calibri" w:hAnsi="Calibri"/>
                <w:b w:val="0"/>
                <w:color w:val="000000"/>
                <w:sz w:val="18"/>
              </w:rPr>
              <w:t>Only for logged-in users.</w:t>
            </w:r>
          </w:p>
        </w:tc>
      </w:tr>
      <w:tr>
        <w:trPr>
          <w:cantSplit/>
        </w:trPr>
        <w:tc>
          <w:tcPr>
            <w:tcW w:type="dxa" w:w="1900"/>
            <w:vAlign w:val="center"/>
          </w:tcPr>
          <w:p>
            <w:pPr>
              <w:spacing w:before="0" w:after="0" w:line="264" w:lineRule="auto"/>
              <w:jc w:val="left"/>
            </w:pPr>
            <w:r/>
            <w:r>
              <w:rPr>
                <w:rFonts w:ascii="Calibri" w:hAnsi="Calibri"/>
                <w:b/>
                <w:color w:val="0B2545"/>
                <w:sz w:val="18"/>
              </w:rPr>
              <w:t>Risk Panel</w:t>
            </w:r>
          </w:p>
        </w:tc>
        <w:tc>
          <w:tcPr>
            <w:tcW w:type="dxa" w:w="3980"/>
            <w:vAlign w:val="center"/>
          </w:tcPr>
          <w:p>
            <w:pPr>
              <w:spacing w:before="0" w:after="0" w:line="264" w:lineRule="auto"/>
              <w:jc w:val="left"/>
            </w:pPr>
            <w:r/>
            <w:r>
              <w:rPr>
                <w:rFonts w:ascii="Calibri" w:hAnsi="Calibri"/>
                <w:b w:val="0"/>
                <w:color w:val="000000"/>
                <w:sz w:val="18"/>
              </w:rPr>
              <w:t>High-risk spikes, supply shocks, fake rallies.</w:t>
            </w:r>
          </w:p>
        </w:tc>
        <w:tc>
          <w:tcPr>
            <w:tcW w:type="dxa" w:w="3480"/>
            <w:vAlign w:val="center"/>
          </w:tcPr>
          <w:p>
            <w:pPr>
              <w:spacing w:before="0" w:after="0" w:line="264" w:lineRule="auto"/>
              <w:jc w:val="left"/>
            </w:pPr>
            <w:r/>
            <w:r>
              <w:rPr>
                <w:rFonts w:ascii="Calibri" w:hAnsi="Calibri"/>
                <w:b w:val="0"/>
                <w:color w:val="000000"/>
                <w:sz w:val="18"/>
              </w:rPr>
              <w:t>Prioritize caution over hype.</w:t>
            </w:r>
          </w:p>
        </w:tc>
      </w:tr>
    </w:tbl>
    <w:p>
      <w:pPr>
        <w:spacing w:after="40"/>
      </w:pPr>
    </w:p>
    <w:p>
      <w:pPr>
        <w:pStyle w:val="Heading2"/>
      </w:pPr>
      <w:r>
        <w:t>7.3 Dashboard API Requirements</w:t>
      </w:r>
    </w:p>
    <w:p>
      <w:pPr>
        <w:pStyle w:val="ListBullet"/>
        <w:spacing w:after="40" w:line="280" w:lineRule="auto"/>
        <w:ind w:left="720" w:hanging="360"/>
      </w:pPr>
      <w:r>
        <w:rPr>
          <w:rFonts w:ascii="Calibri" w:hAnsi="Calibri"/>
          <w:sz w:val="22"/>
        </w:rPr>
        <w:t>GET /api/v1/market/overview returns indexes, movers, heatmap, sales, commentary, and generated_at.</w:t>
      </w:r>
    </w:p>
    <w:p>
      <w:pPr>
        <w:pStyle w:val="ListBullet"/>
        <w:spacing w:after="40" w:line="280" w:lineRule="auto"/>
        <w:ind w:left="720" w:hanging="360"/>
      </w:pPr>
      <w:r>
        <w:rPr>
          <w:rFonts w:ascii="Calibri" w:hAnsi="Calibri"/>
          <w:sz w:val="22"/>
        </w:rPr>
        <w:t>GET /api/v1/market/movers supports category, region, grade, time window, and liquidity filters.</w:t>
      </w:r>
    </w:p>
    <w:p>
      <w:pPr>
        <w:pStyle w:val="ListBullet"/>
        <w:spacing w:after="40" w:line="280" w:lineRule="auto"/>
        <w:ind w:left="720" w:hanging="360"/>
      </w:pPr>
      <w:r>
        <w:rPr>
          <w:rFonts w:ascii="Calibri" w:hAnsi="Calibri"/>
          <w:sz w:val="22"/>
        </w:rPr>
        <w:t>GET /api/v1/market/heatmap returns normalized segments and score metadata.</w:t>
      </w:r>
    </w:p>
    <w:p>
      <w:pPr>
        <w:pStyle w:val="ListBullet"/>
        <w:spacing w:after="40" w:line="280" w:lineRule="auto"/>
        <w:ind w:left="720" w:hanging="360"/>
      </w:pPr>
      <w:r>
        <w:rPr>
          <w:rFonts w:ascii="Calibri" w:hAnsi="Calibri"/>
          <w:sz w:val="22"/>
        </w:rPr>
        <w:t>Dashboard responses should be cacheable and generated by background jobs.</w:t>
      </w:r>
    </w:p>
    <w:p>
      <w:pPr>
        <w:pStyle w:val="Heading2"/>
      </w:pPr>
      <w:r>
        <w:t>7.4 Dashboard Acceptance Criteria</w:t>
      </w:r>
    </w:p>
    <w:p>
      <w:pPr>
        <w:pStyle w:val="ListBullet"/>
        <w:spacing w:after="40" w:line="280" w:lineRule="auto"/>
        <w:ind w:left="720" w:hanging="360"/>
      </w:pPr>
      <w:r>
        <w:rPr>
          <w:rFonts w:ascii="Calibri" w:hAnsi="Calibri"/>
          <w:sz w:val="22"/>
        </w:rPr>
        <w:t>The dashboard loads from precomputed data, not live heavy calculations.</w:t>
      </w:r>
    </w:p>
    <w:p>
      <w:pPr>
        <w:pStyle w:val="ListBullet"/>
        <w:spacing w:after="40" w:line="280" w:lineRule="auto"/>
        <w:ind w:left="720" w:hanging="360"/>
      </w:pPr>
      <w:r>
        <w:rPr>
          <w:rFonts w:ascii="Calibri" w:hAnsi="Calibri"/>
          <w:sz w:val="22"/>
        </w:rPr>
        <w:t>Every mover includes price movement, volume context, confidence, and evidence link.</w:t>
      </w:r>
    </w:p>
    <w:p>
      <w:pPr>
        <w:pStyle w:val="ListBullet"/>
        <w:spacing w:after="40" w:line="280" w:lineRule="auto"/>
        <w:ind w:left="720" w:hanging="360"/>
      </w:pPr>
      <w:r>
        <w:rPr>
          <w:rFonts w:ascii="Calibri" w:hAnsi="Calibri"/>
          <w:sz w:val="22"/>
        </w:rPr>
        <w:t>AI commentary can show 'insufficient evidence' if daily data quality is weak.</w:t>
      </w:r>
    </w:p>
    <w:p>
      <w:pPr>
        <w:pStyle w:val="ListBullet"/>
        <w:spacing w:after="40" w:line="280" w:lineRule="auto"/>
        <w:ind w:left="720" w:hanging="360"/>
      </w:pPr>
      <w:r>
        <w:rPr>
          <w:rFonts w:ascii="Calibri" w:hAnsi="Calibri"/>
          <w:sz w:val="22"/>
        </w:rPr>
        <w:t>The first screen clearly communicates market direction and top stories.</w:t>
      </w:r>
    </w:p>
    <w:p>
      <w:pPr>
        <w:pStyle w:val="Heading1"/>
      </w:pPr>
      <w:r>
        <w:t>Chapter 8: News and Catalyst PRD</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News goal: </w:t>
            </w:r>
            <w:r>
              <w:rPr>
                <w:rFonts w:ascii="Calibri" w:hAnsi="Calibri"/>
                <w:color w:val="0B2545"/>
                <w:sz w:val="21"/>
              </w:rPr>
              <w:t>Capture only market-moving events and connect each event to affected cards, sets, categories, and market explanations.</w:t>
            </w:r>
          </w:p>
        </w:tc>
      </w:tr>
    </w:tbl>
    <w:p>
      <w:pPr>
        <w:spacing w:after="40"/>
      </w:pPr>
    </w:p>
    <w:p>
      <w:pPr>
        <w:pStyle w:val="Heading2"/>
      </w:pPr>
      <w:r>
        <w:t>8.1 News Filtering Rules</w:t>
      </w:r>
    </w:p>
    <w:p>
      <w:pPr>
        <w:pStyle w:val="ListBullet"/>
        <w:spacing w:after="40" w:line="280" w:lineRule="auto"/>
        <w:ind w:left="720" w:hanging="360"/>
      </w:pPr>
      <w:r>
        <w:rPr>
          <w:rFonts w:ascii="Calibri" w:hAnsi="Calibri"/>
          <w:sz w:val="22"/>
        </w:rPr>
        <w:t>Do not ingest general fandom news unless it can affect demand, supply, attention, or liquidity.</w:t>
      </w:r>
    </w:p>
    <w:p>
      <w:pPr>
        <w:pStyle w:val="ListBullet"/>
        <w:spacing w:after="40" w:line="280" w:lineRule="auto"/>
        <w:ind w:left="720" w:hanging="360"/>
      </w:pPr>
      <w:r>
        <w:rPr>
          <w:rFonts w:ascii="Calibri" w:hAnsi="Calibri"/>
          <w:sz w:val="22"/>
        </w:rPr>
        <w:t>Official announcements and grading-company updates outrank community rumors.</w:t>
      </w:r>
    </w:p>
    <w:p>
      <w:pPr>
        <w:pStyle w:val="ListBullet"/>
        <w:spacing w:after="40" w:line="280" w:lineRule="auto"/>
        <w:ind w:left="720" w:hanging="360"/>
      </w:pPr>
      <w:r>
        <w:rPr>
          <w:rFonts w:ascii="Calibri" w:hAnsi="Calibri"/>
          <w:sz w:val="22"/>
        </w:rPr>
        <w:t>Rumors must be labeled and assigned low confidence until verified.</w:t>
      </w:r>
    </w:p>
    <w:p>
      <w:pPr>
        <w:pStyle w:val="ListBullet"/>
        <w:spacing w:after="40" w:line="280" w:lineRule="auto"/>
        <w:ind w:left="720" w:hanging="360"/>
      </w:pPr>
      <w:r>
        <w:rPr>
          <w:rFonts w:ascii="Calibri" w:hAnsi="Calibri"/>
          <w:sz w:val="22"/>
        </w:rPr>
        <w:t>Every news item must include affected assets or affected categories when possible.</w:t>
      </w:r>
    </w:p>
    <w:p>
      <w:pPr>
        <w:pStyle w:val="Heading2"/>
      </w:pPr>
      <w:r>
        <w:t>8.2 Catalyst Lifecycle</w:t>
      </w:r>
    </w:p>
    <w:p>
      <w:pPr>
        <w:numPr>
          <w:ilvl w:val="0"/>
          <w:numId w:val="14"/>
        </w:numPr>
        <w:spacing w:after="40" w:line="280" w:lineRule="auto"/>
        <w:ind w:left="720" w:hanging="360"/>
      </w:pPr>
      <w:r>
        <w:rPr>
          <w:rFonts w:ascii="Calibri" w:hAnsi="Calibri"/>
          <w:sz w:val="22"/>
        </w:rPr>
        <w:t>Detected: source event enters the system.</w:t>
      </w:r>
    </w:p>
    <w:p>
      <w:pPr>
        <w:numPr>
          <w:ilvl w:val="0"/>
          <w:numId w:val="14"/>
        </w:numPr>
        <w:spacing w:after="40" w:line="280" w:lineRule="auto"/>
        <w:ind w:left="720" w:hanging="360"/>
      </w:pPr>
      <w:r>
        <w:rPr>
          <w:rFonts w:ascii="Calibri" w:hAnsi="Calibri"/>
          <w:sz w:val="22"/>
        </w:rPr>
        <w:t>Classified: event type and affected dimensions are assigned.</w:t>
      </w:r>
    </w:p>
    <w:p>
      <w:pPr>
        <w:numPr>
          <w:ilvl w:val="0"/>
          <w:numId w:val="14"/>
        </w:numPr>
        <w:spacing w:after="40" w:line="280" w:lineRule="auto"/>
        <w:ind w:left="720" w:hanging="360"/>
      </w:pPr>
      <w:r>
        <w:rPr>
          <w:rFonts w:ascii="Calibri" w:hAnsi="Calibri"/>
          <w:sz w:val="22"/>
        </w:rPr>
        <w:t>Mapped: affected assets, sets, categories, and regions are linked.</w:t>
      </w:r>
    </w:p>
    <w:p>
      <w:pPr>
        <w:numPr>
          <w:ilvl w:val="0"/>
          <w:numId w:val="14"/>
        </w:numPr>
        <w:spacing w:after="40" w:line="280" w:lineRule="auto"/>
        <w:ind w:left="720" w:hanging="360"/>
      </w:pPr>
      <w:r>
        <w:rPr>
          <w:rFonts w:ascii="Calibri" w:hAnsi="Calibri"/>
          <w:sz w:val="22"/>
        </w:rPr>
        <w:t>Scored: impact, duration, and confidence are calculated.</w:t>
      </w:r>
    </w:p>
    <w:p>
      <w:pPr>
        <w:numPr>
          <w:ilvl w:val="0"/>
          <w:numId w:val="14"/>
        </w:numPr>
        <w:spacing w:after="40" w:line="280" w:lineRule="auto"/>
        <w:ind w:left="720" w:hanging="360"/>
      </w:pPr>
      <w:r>
        <w:rPr>
          <w:rFonts w:ascii="Calibri" w:hAnsi="Calibri"/>
          <w:sz w:val="22"/>
        </w:rPr>
        <w:t>Active: catalyst appears in dashboards, card pages, and reports.</w:t>
      </w:r>
    </w:p>
    <w:p>
      <w:pPr>
        <w:numPr>
          <w:ilvl w:val="0"/>
          <w:numId w:val="14"/>
        </w:numPr>
        <w:spacing w:after="40" w:line="280" w:lineRule="auto"/>
        <w:ind w:left="720" w:hanging="360"/>
      </w:pPr>
      <w:r>
        <w:rPr>
          <w:rFonts w:ascii="Calibri" w:hAnsi="Calibri"/>
          <w:sz w:val="22"/>
        </w:rPr>
        <w:t>Expired: catalyst no longer drives active signals but remains in history.</w:t>
      </w:r>
    </w:p>
    <w:p>
      <w:pPr>
        <w:pStyle w:val="Heading2"/>
      </w:pPr>
      <w:r>
        <w:t>8.3 Catalyst Scoring</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4100"/>
        <w:gridCol w:w="3360"/>
      </w:tblGrid>
      <w:tr>
        <w:trPr>
          <w:tblHeader w:val="true"/>
          <w:cantSplit/>
        </w:trPr>
        <w:tc>
          <w:tcPr>
            <w:tcW w:type="dxa" w:w="1900"/>
            <w:shd w:fill="F2F4F7"/>
            <w:vAlign w:val="center"/>
          </w:tcPr>
          <w:p>
            <w:pPr>
              <w:spacing w:before="0" w:after="0" w:line="264" w:lineRule="auto"/>
              <w:jc w:val="center"/>
            </w:pPr>
            <w:r/>
            <w:r>
              <w:rPr>
                <w:rFonts w:ascii="Calibri" w:hAnsi="Calibri"/>
                <w:b/>
                <w:color w:val="0B2545"/>
                <w:sz w:val="20"/>
              </w:rPr>
              <w:t>Dimension</w:t>
            </w:r>
          </w:p>
        </w:tc>
        <w:tc>
          <w:tcPr>
            <w:tcW w:type="dxa" w:w="4100"/>
            <w:shd w:fill="F2F4F7"/>
            <w:vAlign w:val="center"/>
          </w:tcPr>
          <w:p>
            <w:pPr>
              <w:spacing w:before="0" w:after="0" w:line="264" w:lineRule="auto"/>
              <w:jc w:val="center"/>
            </w:pPr>
            <w:r/>
            <w:r>
              <w:rPr>
                <w:rFonts w:ascii="Calibri" w:hAnsi="Calibri"/>
                <w:b/>
                <w:color w:val="0B2545"/>
                <w:sz w:val="20"/>
              </w:rPr>
              <w:t>Scoring Inputs</w:t>
            </w:r>
          </w:p>
        </w:tc>
        <w:tc>
          <w:tcPr>
            <w:tcW w:type="dxa" w:w="3360"/>
            <w:shd w:fill="F2F4F7"/>
            <w:vAlign w:val="center"/>
          </w:tcPr>
          <w:p>
            <w:pPr>
              <w:spacing w:before="0" w:after="0" w:line="264" w:lineRule="auto"/>
              <w:jc w:val="center"/>
            </w:pPr>
            <w:r/>
            <w:r>
              <w:rPr>
                <w:rFonts w:ascii="Calibri" w:hAnsi="Calibri"/>
                <w:b/>
                <w:color w:val="0B2545"/>
                <w:sz w:val="20"/>
              </w:rPr>
              <w:t>Why It Matters</w:t>
            </w:r>
          </w:p>
        </w:tc>
      </w:tr>
      <w:tr>
        <w:trPr>
          <w:cantSplit/>
        </w:trPr>
        <w:tc>
          <w:tcPr>
            <w:tcW w:type="dxa" w:w="1900"/>
            <w:vAlign w:val="center"/>
          </w:tcPr>
          <w:p>
            <w:pPr>
              <w:spacing w:before="0" w:after="0" w:line="264" w:lineRule="auto"/>
              <w:jc w:val="left"/>
            </w:pPr>
            <w:r/>
            <w:r>
              <w:rPr>
                <w:rFonts w:ascii="Calibri" w:hAnsi="Calibri"/>
                <w:b/>
                <w:color w:val="0B2545"/>
                <w:sz w:val="19"/>
              </w:rPr>
              <w:t>Source reliability</w:t>
            </w:r>
          </w:p>
        </w:tc>
        <w:tc>
          <w:tcPr>
            <w:tcW w:type="dxa" w:w="4100"/>
            <w:vAlign w:val="center"/>
          </w:tcPr>
          <w:p>
            <w:pPr>
              <w:spacing w:before="0" w:after="0" w:line="264" w:lineRule="auto"/>
              <w:jc w:val="left"/>
            </w:pPr>
            <w:r/>
            <w:r>
              <w:rPr>
                <w:rFonts w:ascii="Calibri" w:hAnsi="Calibri"/>
                <w:b w:val="0"/>
                <w:color w:val="000000"/>
                <w:sz w:val="19"/>
              </w:rPr>
              <w:t>Official source, verified media, trusted marketplace, community rumor.</w:t>
            </w:r>
          </w:p>
        </w:tc>
        <w:tc>
          <w:tcPr>
            <w:tcW w:type="dxa" w:w="3360"/>
            <w:vAlign w:val="center"/>
          </w:tcPr>
          <w:p>
            <w:pPr>
              <w:spacing w:before="0" w:after="0" w:line="264" w:lineRule="auto"/>
              <w:jc w:val="left"/>
            </w:pPr>
            <w:r/>
            <w:r>
              <w:rPr>
                <w:rFonts w:ascii="Calibri" w:hAnsi="Calibri"/>
                <w:b w:val="0"/>
                <w:color w:val="000000"/>
                <w:sz w:val="19"/>
              </w:rPr>
              <w:t>Controls confidence and display prominence.</w:t>
            </w:r>
          </w:p>
        </w:tc>
      </w:tr>
      <w:tr>
        <w:trPr>
          <w:cantSplit/>
        </w:trPr>
        <w:tc>
          <w:tcPr>
            <w:tcW w:type="dxa" w:w="1900"/>
            <w:vAlign w:val="center"/>
          </w:tcPr>
          <w:p>
            <w:pPr>
              <w:spacing w:before="0" w:after="0" w:line="264" w:lineRule="auto"/>
              <w:jc w:val="left"/>
            </w:pPr>
            <w:r/>
            <w:r>
              <w:rPr>
                <w:rFonts w:ascii="Calibri" w:hAnsi="Calibri"/>
                <w:b/>
                <w:color w:val="0B2545"/>
                <w:sz w:val="19"/>
              </w:rPr>
              <w:t>Asset specificity</w:t>
            </w:r>
          </w:p>
        </w:tc>
        <w:tc>
          <w:tcPr>
            <w:tcW w:type="dxa" w:w="4100"/>
            <w:vAlign w:val="center"/>
          </w:tcPr>
          <w:p>
            <w:pPr>
              <w:spacing w:before="0" w:after="0" w:line="264" w:lineRule="auto"/>
              <w:jc w:val="left"/>
            </w:pPr>
            <w:r/>
            <w:r>
              <w:rPr>
                <w:rFonts w:ascii="Calibri" w:hAnsi="Calibri"/>
                <w:b w:val="0"/>
                <w:color w:val="000000"/>
                <w:sz w:val="19"/>
              </w:rPr>
              <w:t>Single asset, set, category, franchise-wide.</w:t>
            </w:r>
          </w:p>
        </w:tc>
        <w:tc>
          <w:tcPr>
            <w:tcW w:type="dxa" w:w="3360"/>
            <w:vAlign w:val="center"/>
          </w:tcPr>
          <w:p>
            <w:pPr>
              <w:spacing w:before="0" w:after="0" w:line="264" w:lineRule="auto"/>
              <w:jc w:val="left"/>
            </w:pPr>
            <w:r/>
            <w:r>
              <w:rPr>
                <w:rFonts w:ascii="Calibri" w:hAnsi="Calibri"/>
                <w:b w:val="0"/>
                <w:color w:val="000000"/>
                <w:sz w:val="19"/>
              </w:rPr>
              <w:t>Specific catalysts are easier to connect to price movement.</w:t>
            </w:r>
          </w:p>
        </w:tc>
      </w:tr>
      <w:tr>
        <w:trPr>
          <w:cantSplit/>
        </w:trPr>
        <w:tc>
          <w:tcPr>
            <w:tcW w:type="dxa" w:w="1900"/>
            <w:vAlign w:val="center"/>
          </w:tcPr>
          <w:p>
            <w:pPr>
              <w:spacing w:before="0" w:after="0" w:line="264" w:lineRule="auto"/>
              <w:jc w:val="left"/>
            </w:pPr>
            <w:r/>
            <w:r>
              <w:rPr>
                <w:rFonts w:ascii="Calibri" w:hAnsi="Calibri"/>
                <w:b/>
                <w:color w:val="0B2545"/>
                <w:sz w:val="19"/>
              </w:rPr>
              <w:t>Expected duration</w:t>
            </w:r>
          </w:p>
        </w:tc>
        <w:tc>
          <w:tcPr>
            <w:tcW w:type="dxa" w:w="4100"/>
            <w:vAlign w:val="center"/>
          </w:tcPr>
          <w:p>
            <w:pPr>
              <w:spacing w:before="0" w:after="0" w:line="264" w:lineRule="auto"/>
              <w:jc w:val="left"/>
            </w:pPr>
            <w:r/>
            <w:r>
              <w:rPr>
                <w:rFonts w:ascii="Calibri" w:hAnsi="Calibri"/>
                <w:b w:val="0"/>
                <w:color w:val="000000"/>
                <w:sz w:val="19"/>
              </w:rPr>
              <w:t>Hours, days, weeks, months.</w:t>
            </w:r>
          </w:p>
        </w:tc>
        <w:tc>
          <w:tcPr>
            <w:tcW w:type="dxa" w:w="3360"/>
            <w:vAlign w:val="center"/>
          </w:tcPr>
          <w:p>
            <w:pPr>
              <w:spacing w:before="0" w:after="0" w:line="264" w:lineRule="auto"/>
              <w:jc w:val="left"/>
            </w:pPr>
            <w:r/>
            <w:r>
              <w:rPr>
                <w:rFonts w:ascii="Calibri" w:hAnsi="Calibri"/>
                <w:b w:val="0"/>
                <w:color w:val="000000"/>
                <w:sz w:val="19"/>
              </w:rPr>
              <w:t>Short catalysts may drive attention; long catalysts may affect trend.</w:t>
            </w:r>
          </w:p>
        </w:tc>
      </w:tr>
      <w:tr>
        <w:trPr>
          <w:cantSplit/>
        </w:trPr>
        <w:tc>
          <w:tcPr>
            <w:tcW w:type="dxa" w:w="1900"/>
            <w:vAlign w:val="center"/>
          </w:tcPr>
          <w:p>
            <w:pPr>
              <w:spacing w:before="0" w:after="0" w:line="264" w:lineRule="auto"/>
              <w:jc w:val="left"/>
            </w:pPr>
            <w:r/>
            <w:r>
              <w:rPr>
                <w:rFonts w:ascii="Calibri" w:hAnsi="Calibri"/>
                <w:b/>
                <w:color w:val="0B2545"/>
                <w:sz w:val="19"/>
              </w:rPr>
              <w:t>Supply impact</w:t>
            </w:r>
          </w:p>
        </w:tc>
        <w:tc>
          <w:tcPr>
            <w:tcW w:type="dxa" w:w="4100"/>
            <w:vAlign w:val="center"/>
          </w:tcPr>
          <w:p>
            <w:pPr>
              <w:spacing w:before="0" w:after="0" w:line="264" w:lineRule="auto"/>
              <w:jc w:val="left"/>
            </w:pPr>
            <w:r/>
            <w:r>
              <w:rPr>
                <w:rFonts w:ascii="Calibri" w:hAnsi="Calibri"/>
                <w:b w:val="0"/>
                <w:color w:val="000000"/>
                <w:sz w:val="19"/>
              </w:rPr>
              <w:t>Reprint, restock, population change, grading policy.</w:t>
            </w:r>
          </w:p>
        </w:tc>
        <w:tc>
          <w:tcPr>
            <w:tcW w:type="dxa" w:w="3360"/>
            <w:vAlign w:val="center"/>
          </w:tcPr>
          <w:p>
            <w:pPr>
              <w:spacing w:before="0" w:after="0" w:line="264" w:lineRule="auto"/>
              <w:jc w:val="left"/>
            </w:pPr>
            <w:r/>
            <w:r>
              <w:rPr>
                <w:rFonts w:ascii="Calibri" w:hAnsi="Calibri"/>
                <w:b w:val="0"/>
                <w:color w:val="000000"/>
                <w:sz w:val="19"/>
              </w:rPr>
              <w:t>Supply changes can alter price pressure.</w:t>
            </w:r>
          </w:p>
        </w:tc>
      </w:tr>
      <w:tr>
        <w:trPr>
          <w:cantSplit/>
        </w:trPr>
        <w:tc>
          <w:tcPr>
            <w:tcW w:type="dxa" w:w="1900"/>
            <w:vAlign w:val="center"/>
          </w:tcPr>
          <w:p>
            <w:pPr>
              <w:spacing w:before="0" w:after="0" w:line="264" w:lineRule="auto"/>
              <w:jc w:val="left"/>
            </w:pPr>
            <w:r/>
            <w:r>
              <w:rPr>
                <w:rFonts w:ascii="Calibri" w:hAnsi="Calibri"/>
                <w:b/>
                <w:color w:val="0B2545"/>
                <w:sz w:val="19"/>
              </w:rPr>
              <w:t>Demand impact</w:t>
            </w:r>
          </w:p>
        </w:tc>
        <w:tc>
          <w:tcPr>
            <w:tcW w:type="dxa" w:w="4100"/>
            <w:vAlign w:val="center"/>
          </w:tcPr>
          <w:p>
            <w:pPr>
              <w:spacing w:before="0" w:after="0" w:line="264" w:lineRule="auto"/>
              <w:jc w:val="left"/>
            </w:pPr>
            <w:r/>
            <w:r>
              <w:rPr>
                <w:rFonts w:ascii="Calibri" w:hAnsi="Calibri"/>
                <w:b w:val="0"/>
                <w:color w:val="000000"/>
                <w:sz w:val="19"/>
              </w:rPr>
              <w:t>Anniversary, tournament, influencer, product reveal.</w:t>
            </w:r>
          </w:p>
        </w:tc>
        <w:tc>
          <w:tcPr>
            <w:tcW w:type="dxa" w:w="3360"/>
            <w:vAlign w:val="center"/>
          </w:tcPr>
          <w:p>
            <w:pPr>
              <w:spacing w:before="0" w:after="0" w:line="264" w:lineRule="auto"/>
              <w:jc w:val="left"/>
            </w:pPr>
            <w:r/>
            <w:r>
              <w:rPr>
                <w:rFonts w:ascii="Calibri" w:hAnsi="Calibri"/>
                <w:b w:val="0"/>
                <w:color w:val="000000"/>
                <w:sz w:val="19"/>
              </w:rPr>
              <w:t>Demand changes can alter liquidity and market sentiment.</w:t>
            </w:r>
          </w:p>
        </w:tc>
      </w:tr>
    </w:tbl>
    <w:p>
      <w:pPr>
        <w:spacing w:after="40"/>
      </w:pPr>
    </w:p>
    <w:p>
      <w:pPr>
        <w:pStyle w:val="Heading2"/>
      </w:pPr>
      <w:r>
        <w:t>8.4 News and Catalyst Acceptance Criteria</w:t>
      </w:r>
    </w:p>
    <w:p>
      <w:pPr>
        <w:pStyle w:val="ListBullet"/>
        <w:spacing w:after="40" w:line="280" w:lineRule="auto"/>
        <w:ind w:left="720" w:hanging="360"/>
      </w:pPr>
      <w:r>
        <w:rPr>
          <w:rFonts w:ascii="Calibri" w:hAnsi="Calibri"/>
          <w:sz w:val="22"/>
        </w:rPr>
        <w:t>News items can be tagged with affected cards, sets, categories, and regions.</w:t>
      </w:r>
    </w:p>
    <w:p>
      <w:pPr>
        <w:pStyle w:val="ListBullet"/>
        <w:spacing w:after="40" w:line="280" w:lineRule="auto"/>
        <w:ind w:left="720" w:hanging="360"/>
      </w:pPr>
      <w:r>
        <w:rPr>
          <w:rFonts w:ascii="Calibri" w:hAnsi="Calibri"/>
          <w:sz w:val="22"/>
        </w:rPr>
        <w:t>Catalysts can be active, upcoming, expired, or rejected.</w:t>
      </w:r>
    </w:p>
    <w:p>
      <w:pPr>
        <w:pStyle w:val="ListBullet"/>
        <w:spacing w:after="40" w:line="280" w:lineRule="auto"/>
        <w:ind w:left="720" w:hanging="360"/>
      </w:pPr>
      <w:r>
        <w:rPr>
          <w:rFonts w:ascii="Calibri" w:hAnsi="Calibri"/>
          <w:sz w:val="22"/>
        </w:rPr>
        <w:t>Card pages show relevant catalysts in a timeline.</w:t>
      </w:r>
    </w:p>
    <w:p>
      <w:pPr>
        <w:pStyle w:val="ListBullet"/>
        <w:spacing w:after="40" w:line="280" w:lineRule="auto"/>
        <w:ind w:left="720" w:hanging="360"/>
      </w:pPr>
      <w:r>
        <w:rPr>
          <w:rFonts w:ascii="Calibri" w:hAnsi="Calibri"/>
          <w:sz w:val="22"/>
        </w:rPr>
        <w:t>Daily reports include only high-impact or high-confidence catalysts.</w:t>
      </w:r>
    </w:p>
    <w:p>
      <w:pPr>
        <w:pStyle w:val="ListBullet"/>
        <w:spacing w:after="40" w:line="280" w:lineRule="auto"/>
        <w:ind w:left="720" w:hanging="360"/>
      </w:pPr>
      <w:r>
        <w:rPr>
          <w:rFonts w:ascii="Calibri" w:hAnsi="Calibri"/>
          <w:sz w:val="22"/>
        </w:rPr>
        <w:t>Low-confidence rumors do not trigger strong signals or recommendations.</w:t>
      </w:r>
    </w:p>
    <w:p>
      <w:pPr>
        <w:pStyle w:val="Heading1"/>
      </w:pPr>
      <w:r>
        <w:t>Chapter 9: Signals PRD</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Signals goal: </w:t>
            </w:r>
            <w:r>
              <w:rPr>
                <w:rFonts w:ascii="Calibri" w:hAnsi="Calibri"/>
                <w:color w:val="0B2545"/>
                <w:sz w:val="21"/>
              </w:rPr>
              <w:t>Detect meaningful market conditions automatically while avoiding fake confidence and hype-driven recommendations.</w:t>
            </w:r>
          </w:p>
        </w:tc>
      </w:tr>
    </w:tbl>
    <w:p>
      <w:pPr>
        <w:spacing w:after="40"/>
      </w:pPr>
    </w:p>
    <w:p>
      <w:pPr>
        <w:pStyle w:val="Heading2"/>
      </w:pPr>
      <w:r>
        <w:t>9.1 Signal Taxonomy</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00"/>
        <w:gridCol w:w="4310"/>
        <w:gridCol w:w="3350"/>
      </w:tblGrid>
      <w:tr>
        <w:trPr>
          <w:tblHeader w:val="true"/>
          <w:cantSplit/>
        </w:trPr>
        <w:tc>
          <w:tcPr>
            <w:tcW w:type="dxa" w:w="1700"/>
            <w:shd w:fill="F2F4F7"/>
            <w:vAlign w:val="center"/>
          </w:tcPr>
          <w:p>
            <w:pPr>
              <w:spacing w:before="0" w:after="0" w:line="264" w:lineRule="auto"/>
              <w:jc w:val="center"/>
            </w:pPr>
            <w:r/>
            <w:r>
              <w:rPr>
                <w:rFonts w:ascii="Calibri" w:hAnsi="Calibri"/>
                <w:b/>
                <w:color w:val="0B2545"/>
                <w:sz w:val="20"/>
              </w:rPr>
              <w:t>Signal Type</w:t>
            </w:r>
          </w:p>
        </w:tc>
        <w:tc>
          <w:tcPr>
            <w:tcW w:type="dxa" w:w="4310"/>
            <w:shd w:fill="F2F4F7"/>
            <w:vAlign w:val="center"/>
          </w:tcPr>
          <w:p>
            <w:pPr>
              <w:spacing w:before="0" w:after="0" w:line="264" w:lineRule="auto"/>
              <w:jc w:val="center"/>
            </w:pPr>
            <w:r/>
            <w:r>
              <w:rPr>
                <w:rFonts w:ascii="Calibri" w:hAnsi="Calibri"/>
                <w:b/>
                <w:color w:val="0B2545"/>
                <w:sz w:val="20"/>
              </w:rPr>
              <w:t>Meaning</w:t>
            </w:r>
          </w:p>
        </w:tc>
        <w:tc>
          <w:tcPr>
            <w:tcW w:type="dxa" w:w="3350"/>
            <w:shd w:fill="F2F4F7"/>
            <w:vAlign w:val="center"/>
          </w:tcPr>
          <w:p>
            <w:pPr>
              <w:spacing w:before="0" w:after="0" w:line="264" w:lineRule="auto"/>
              <w:jc w:val="center"/>
            </w:pPr>
            <w:r/>
            <w:r>
              <w:rPr>
                <w:rFonts w:ascii="Calibri" w:hAnsi="Calibri"/>
                <w:b/>
                <w:color w:val="0B2545"/>
                <w:sz w:val="20"/>
              </w:rPr>
              <w:t>User-Facing Language</w:t>
            </w:r>
          </w:p>
        </w:tc>
      </w:tr>
      <w:tr>
        <w:trPr>
          <w:cantSplit/>
        </w:trPr>
        <w:tc>
          <w:tcPr>
            <w:tcW w:type="dxa" w:w="1700"/>
            <w:vAlign w:val="center"/>
          </w:tcPr>
          <w:p>
            <w:pPr>
              <w:spacing w:before="0" w:after="0" w:line="264" w:lineRule="auto"/>
              <w:jc w:val="left"/>
            </w:pPr>
            <w:r/>
            <w:r>
              <w:rPr>
                <w:rFonts w:ascii="Calibri" w:hAnsi="Calibri"/>
                <w:b/>
                <w:color w:val="0B2545"/>
                <w:sz w:val="18"/>
              </w:rPr>
              <w:t>Breakout</w:t>
            </w:r>
          </w:p>
        </w:tc>
        <w:tc>
          <w:tcPr>
            <w:tcW w:type="dxa" w:w="4310"/>
            <w:vAlign w:val="center"/>
          </w:tcPr>
          <w:p>
            <w:pPr>
              <w:spacing w:before="0" w:after="0" w:line="264" w:lineRule="auto"/>
              <w:jc w:val="left"/>
            </w:pPr>
            <w:r/>
            <w:r>
              <w:rPr>
                <w:rFonts w:ascii="Calibri" w:hAnsi="Calibri"/>
                <w:b w:val="0"/>
                <w:color w:val="000000"/>
                <w:sz w:val="18"/>
              </w:rPr>
              <w:t>Price and demand exceed recent range with liquidity support.</w:t>
            </w:r>
          </w:p>
        </w:tc>
        <w:tc>
          <w:tcPr>
            <w:tcW w:type="dxa" w:w="3350"/>
            <w:vAlign w:val="center"/>
          </w:tcPr>
          <w:p>
            <w:pPr>
              <w:spacing w:before="0" w:after="0" w:line="264" w:lineRule="auto"/>
              <w:jc w:val="left"/>
            </w:pPr>
            <w:r/>
            <w:r>
              <w:rPr>
                <w:rFonts w:ascii="Calibri" w:hAnsi="Calibri"/>
                <w:b w:val="0"/>
                <w:color w:val="000000"/>
                <w:sz w:val="18"/>
              </w:rPr>
              <w:t>Breaking out with supporting volume.</w:t>
            </w:r>
          </w:p>
        </w:tc>
      </w:tr>
      <w:tr>
        <w:trPr>
          <w:cantSplit/>
        </w:trPr>
        <w:tc>
          <w:tcPr>
            <w:tcW w:type="dxa" w:w="1700"/>
            <w:vAlign w:val="center"/>
          </w:tcPr>
          <w:p>
            <w:pPr>
              <w:spacing w:before="0" w:after="0" w:line="264" w:lineRule="auto"/>
              <w:jc w:val="left"/>
            </w:pPr>
            <w:r/>
            <w:r>
              <w:rPr>
                <w:rFonts w:ascii="Calibri" w:hAnsi="Calibri"/>
                <w:b/>
                <w:color w:val="0B2545"/>
                <w:sz w:val="18"/>
              </w:rPr>
              <w:t>Watch</w:t>
            </w:r>
          </w:p>
        </w:tc>
        <w:tc>
          <w:tcPr>
            <w:tcW w:type="dxa" w:w="4310"/>
            <w:vAlign w:val="center"/>
          </w:tcPr>
          <w:p>
            <w:pPr>
              <w:spacing w:before="0" w:after="0" w:line="264" w:lineRule="auto"/>
              <w:jc w:val="left"/>
            </w:pPr>
            <w:r/>
            <w:r>
              <w:rPr>
                <w:rFonts w:ascii="Calibri" w:hAnsi="Calibri"/>
                <w:b w:val="0"/>
                <w:color w:val="000000"/>
                <w:sz w:val="18"/>
              </w:rPr>
              <w:t>Interesting early setup without enough evidence for action.</w:t>
            </w:r>
          </w:p>
        </w:tc>
        <w:tc>
          <w:tcPr>
            <w:tcW w:type="dxa" w:w="3350"/>
            <w:vAlign w:val="center"/>
          </w:tcPr>
          <w:p>
            <w:pPr>
              <w:spacing w:before="0" w:after="0" w:line="264" w:lineRule="auto"/>
              <w:jc w:val="left"/>
            </w:pPr>
            <w:r/>
            <w:r>
              <w:rPr>
                <w:rFonts w:ascii="Calibri" w:hAnsi="Calibri"/>
                <w:b w:val="0"/>
                <w:color w:val="000000"/>
                <w:sz w:val="18"/>
              </w:rPr>
              <w:t>Worth watching.</w:t>
            </w:r>
          </w:p>
        </w:tc>
      </w:tr>
      <w:tr>
        <w:trPr>
          <w:cantSplit/>
        </w:trPr>
        <w:tc>
          <w:tcPr>
            <w:tcW w:type="dxa" w:w="1700"/>
            <w:vAlign w:val="center"/>
          </w:tcPr>
          <w:p>
            <w:pPr>
              <w:spacing w:before="0" w:after="0" w:line="264" w:lineRule="auto"/>
              <w:jc w:val="left"/>
            </w:pPr>
            <w:r/>
            <w:r>
              <w:rPr>
                <w:rFonts w:ascii="Calibri" w:hAnsi="Calibri"/>
                <w:b/>
                <w:color w:val="0B2545"/>
                <w:sz w:val="18"/>
              </w:rPr>
              <w:t>High Risk</w:t>
            </w:r>
          </w:p>
        </w:tc>
        <w:tc>
          <w:tcPr>
            <w:tcW w:type="dxa" w:w="4310"/>
            <w:vAlign w:val="center"/>
          </w:tcPr>
          <w:p>
            <w:pPr>
              <w:spacing w:before="0" w:after="0" w:line="264" w:lineRule="auto"/>
              <w:jc w:val="left"/>
            </w:pPr>
            <w:r/>
            <w:r>
              <w:rPr>
                <w:rFonts w:ascii="Calibri" w:hAnsi="Calibri"/>
                <w:b w:val="0"/>
                <w:color w:val="000000"/>
                <w:sz w:val="18"/>
              </w:rPr>
              <w:t>Sharp rise, weak liquidity, supply pressure, or outlier behavior.</w:t>
            </w:r>
          </w:p>
        </w:tc>
        <w:tc>
          <w:tcPr>
            <w:tcW w:type="dxa" w:w="3350"/>
            <w:vAlign w:val="center"/>
          </w:tcPr>
          <w:p>
            <w:pPr>
              <w:spacing w:before="0" w:after="0" w:line="264" w:lineRule="auto"/>
              <w:jc w:val="left"/>
            </w:pPr>
            <w:r/>
            <w:r>
              <w:rPr>
                <w:rFonts w:ascii="Calibri" w:hAnsi="Calibri"/>
                <w:b w:val="0"/>
                <w:color w:val="000000"/>
                <w:sz w:val="18"/>
              </w:rPr>
              <w:t>High short-term risk.</w:t>
            </w:r>
          </w:p>
        </w:tc>
      </w:tr>
      <w:tr>
        <w:trPr>
          <w:cantSplit/>
        </w:trPr>
        <w:tc>
          <w:tcPr>
            <w:tcW w:type="dxa" w:w="1700"/>
            <w:vAlign w:val="center"/>
          </w:tcPr>
          <w:p>
            <w:pPr>
              <w:spacing w:before="0" w:after="0" w:line="264" w:lineRule="auto"/>
              <w:jc w:val="left"/>
            </w:pPr>
            <w:r/>
            <w:r>
              <w:rPr>
                <w:rFonts w:ascii="Calibri" w:hAnsi="Calibri"/>
                <w:b/>
                <w:color w:val="0B2545"/>
                <w:sz w:val="18"/>
              </w:rPr>
              <w:t>Undervalued</w:t>
            </w:r>
          </w:p>
        </w:tc>
        <w:tc>
          <w:tcPr>
            <w:tcW w:type="dxa" w:w="4310"/>
            <w:vAlign w:val="center"/>
          </w:tcPr>
          <w:p>
            <w:pPr>
              <w:spacing w:before="0" w:after="0" w:line="264" w:lineRule="auto"/>
              <w:jc w:val="left"/>
            </w:pPr>
            <w:r/>
            <w:r>
              <w:rPr>
                <w:rFonts w:ascii="Calibri" w:hAnsi="Calibri"/>
                <w:b w:val="0"/>
                <w:color w:val="000000"/>
                <w:sz w:val="18"/>
              </w:rPr>
              <w:t>Trades below comparable assets after normalization.</w:t>
            </w:r>
          </w:p>
        </w:tc>
        <w:tc>
          <w:tcPr>
            <w:tcW w:type="dxa" w:w="3350"/>
            <w:vAlign w:val="center"/>
          </w:tcPr>
          <w:p>
            <w:pPr>
              <w:spacing w:before="0" w:after="0" w:line="264" w:lineRule="auto"/>
              <w:jc w:val="left"/>
            </w:pPr>
            <w:r/>
            <w:r>
              <w:rPr>
                <w:rFonts w:ascii="Calibri" w:hAnsi="Calibri"/>
                <w:b w:val="0"/>
                <w:color w:val="000000"/>
                <w:sz w:val="18"/>
              </w:rPr>
              <w:t>Potentially underpriced relative to comps.</w:t>
            </w:r>
          </w:p>
        </w:tc>
      </w:tr>
      <w:tr>
        <w:trPr>
          <w:cantSplit/>
        </w:trPr>
        <w:tc>
          <w:tcPr>
            <w:tcW w:type="dxa" w:w="1700"/>
            <w:vAlign w:val="center"/>
          </w:tcPr>
          <w:p>
            <w:pPr>
              <w:spacing w:before="0" w:after="0" w:line="264" w:lineRule="auto"/>
              <w:jc w:val="left"/>
            </w:pPr>
            <w:r/>
            <w:r>
              <w:rPr>
                <w:rFonts w:ascii="Calibri" w:hAnsi="Calibri"/>
                <w:b/>
                <w:color w:val="0B2545"/>
                <w:sz w:val="18"/>
              </w:rPr>
              <w:t>Overvalued</w:t>
            </w:r>
          </w:p>
        </w:tc>
        <w:tc>
          <w:tcPr>
            <w:tcW w:type="dxa" w:w="4310"/>
            <w:vAlign w:val="center"/>
          </w:tcPr>
          <w:p>
            <w:pPr>
              <w:spacing w:before="0" w:after="0" w:line="264" w:lineRule="auto"/>
              <w:jc w:val="left"/>
            </w:pPr>
            <w:r/>
            <w:r>
              <w:rPr>
                <w:rFonts w:ascii="Calibri" w:hAnsi="Calibri"/>
                <w:b w:val="0"/>
                <w:color w:val="000000"/>
                <w:sz w:val="18"/>
              </w:rPr>
              <w:t>Trades above comparable assets without sufficient evidence.</w:t>
            </w:r>
          </w:p>
        </w:tc>
        <w:tc>
          <w:tcPr>
            <w:tcW w:type="dxa" w:w="3350"/>
            <w:vAlign w:val="center"/>
          </w:tcPr>
          <w:p>
            <w:pPr>
              <w:spacing w:before="0" w:after="0" w:line="264" w:lineRule="auto"/>
              <w:jc w:val="left"/>
            </w:pPr>
            <w:r/>
            <w:r>
              <w:rPr>
                <w:rFonts w:ascii="Calibri" w:hAnsi="Calibri"/>
                <w:b w:val="0"/>
                <w:color w:val="000000"/>
                <w:sz w:val="18"/>
              </w:rPr>
              <w:t>Potentially stretched.</w:t>
            </w:r>
          </w:p>
        </w:tc>
      </w:tr>
      <w:tr>
        <w:trPr>
          <w:cantSplit/>
        </w:trPr>
        <w:tc>
          <w:tcPr>
            <w:tcW w:type="dxa" w:w="1700"/>
            <w:vAlign w:val="center"/>
          </w:tcPr>
          <w:p>
            <w:pPr>
              <w:spacing w:before="0" w:after="0" w:line="264" w:lineRule="auto"/>
              <w:jc w:val="left"/>
            </w:pPr>
            <w:r/>
            <w:r>
              <w:rPr>
                <w:rFonts w:ascii="Calibri" w:hAnsi="Calibri"/>
                <w:b/>
                <w:color w:val="0B2545"/>
                <w:sz w:val="18"/>
              </w:rPr>
              <w:t>Fake Rally</w:t>
            </w:r>
          </w:p>
        </w:tc>
        <w:tc>
          <w:tcPr>
            <w:tcW w:type="dxa" w:w="4310"/>
            <w:vAlign w:val="center"/>
          </w:tcPr>
          <w:p>
            <w:pPr>
              <w:spacing w:before="0" w:after="0" w:line="264" w:lineRule="auto"/>
              <w:jc w:val="left"/>
            </w:pPr>
            <w:r/>
            <w:r>
              <w:rPr>
                <w:rFonts w:ascii="Calibri" w:hAnsi="Calibri"/>
                <w:b w:val="0"/>
                <w:color w:val="000000"/>
                <w:sz w:val="18"/>
              </w:rPr>
              <w:t>Price spike lacks confirmation.</w:t>
            </w:r>
          </w:p>
        </w:tc>
        <w:tc>
          <w:tcPr>
            <w:tcW w:type="dxa" w:w="3350"/>
            <w:vAlign w:val="center"/>
          </w:tcPr>
          <w:p>
            <w:pPr>
              <w:spacing w:before="0" w:after="0" w:line="264" w:lineRule="auto"/>
              <w:jc w:val="left"/>
            </w:pPr>
            <w:r/>
            <w:r>
              <w:rPr>
                <w:rFonts w:ascii="Calibri" w:hAnsi="Calibri"/>
                <w:b w:val="0"/>
                <w:color w:val="000000"/>
                <w:sz w:val="18"/>
              </w:rPr>
              <w:t>Move may be unreliable.</w:t>
            </w:r>
          </w:p>
        </w:tc>
      </w:tr>
      <w:tr>
        <w:trPr>
          <w:cantSplit/>
        </w:trPr>
        <w:tc>
          <w:tcPr>
            <w:tcW w:type="dxa" w:w="1700"/>
            <w:vAlign w:val="center"/>
          </w:tcPr>
          <w:p>
            <w:pPr>
              <w:spacing w:before="0" w:after="0" w:line="264" w:lineRule="auto"/>
              <w:jc w:val="left"/>
            </w:pPr>
            <w:r/>
            <w:r>
              <w:rPr>
                <w:rFonts w:ascii="Calibri" w:hAnsi="Calibri"/>
                <w:b/>
                <w:color w:val="0B2545"/>
                <w:sz w:val="18"/>
              </w:rPr>
              <w:t>Supply Shock</w:t>
            </w:r>
          </w:p>
        </w:tc>
        <w:tc>
          <w:tcPr>
            <w:tcW w:type="dxa" w:w="4310"/>
            <w:vAlign w:val="center"/>
          </w:tcPr>
          <w:p>
            <w:pPr>
              <w:spacing w:before="0" w:after="0" w:line="264" w:lineRule="auto"/>
              <w:jc w:val="left"/>
            </w:pPr>
            <w:r/>
            <w:r>
              <w:rPr>
                <w:rFonts w:ascii="Calibri" w:hAnsi="Calibri"/>
                <w:b w:val="0"/>
                <w:color w:val="000000"/>
                <w:sz w:val="18"/>
              </w:rPr>
              <w:t>Population or listing supply changes materially.</w:t>
            </w:r>
          </w:p>
        </w:tc>
        <w:tc>
          <w:tcPr>
            <w:tcW w:type="dxa" w:w="3350"/>
            <w:vAlign w:val="center"/>
          </w:tcPr>
          <w:p>
            <w:pPr>
              <w:spacing w:before="0" w:after="0" w:line="264" w:lineRule="auto"/>
              <w:jc w:val="left"/>
            </w:pPr>
            <w:r/>
            <w:r>
              <w:rPr>
                <w:rFonts w:ascii="Calibri" w:hAnsi="Calibri"/>
                <w:b w:val="0"/>
                <w:color w:val="000000"/>
                <w:sz w:val="18"/>
              </w:rPr>
              <w:t>Supply pressure detected.</w:t>
            </w:r>
          </w:p>
        </w:tc>
      </w:tr>
    </w:tbl>
    <w:p>
      <w:pPr>
        <w:spacing w:after="40"/>
      </w:pPr>
    </w:p>
    <w:p>
      <w:pPr>
        <w:pStyle w:val="Heading2"/>
      </w:pPr>
      <w:r>
        <w:t>9.2 Signal Record Requirements</w:t>
      </w:r>
    </w:p>
    <w:p>
      <w:pPr>
        <w:pStyle w:val="ListBullet"/>
        <w:spacing w:after="40" w:line="280" w:lineRule="auto"/>
        <w:ind w:left="720" w:hanging="360"/>
      </w:pPr>
      <w:r>
        <w:rPr>
          <w:rFonts w:ascii="Calibri" w:hAnsi="Calibri"/>
          <w:sz w:val="22"/>
        </w:rPr>
        <w:t>asset_variant_id, signal_type, confidence, severity, status, generated_at.</w:t>
      </w:r>
    </w:p>
    <w:p>
      <w:pPr>
        <w:pStyle w:val="ListBullet"/>
        <w:spacing w:after="40" w:line="280" w:lineRule="auto"/>
        <w:ind w:left="720" w:hanging="360"/>
      </w:pPr>
      <w:r>
        <w:rPr>
          <w:rFonts w:ascii="Calibri" w:hAnsi="Calibri"/>
          <w:sz w:val="22"/>
        </w:rPr>
        <w:t>evidence_bundle_id and supporting observation ids.</w:t>
      </w:r>
    </w:p>
    <w:p>
      <w:pPr>
        <w:pStyle w:val="ListBullet"/>
        <w:spacing w:after="40" w:line="280" w:lineRule="auto"/>
        <w:ind w:left="720" w:hanging="360"/>
      </w:pPr>
      <w:r>
        <w:rPr>
          <w:rFonts w:ascii="Calibri" w:hAnsi="Calibri"/>
          <w:sz w:val="22"/>
        </w:rPr>
        <w:t>reason codes, calculation_version, time_window, and expiry_at.</w:t>
      </w:r>
    </w:p>
    <w:p>
      <w:pPr>
        <w:pStyle w:val="ListBullet"/>
        <w:spacing w:after="40" w:line="280" w:lineRule="auto"/>
        <w:ind w:left="720" w:hanging="360"/>
      </w:pPr>
      <w:r>
        <w:rPr>
          <w:rFonts w:ascii="Calibri" w:hAnsi="Calibri"/>
          <w:sz w:val="22"/>
        </w:rPr>
        <w:t>risk flags and user-facing explanation.</w:t>
      </w:r>
    </w:p>
    <w:p>
      <w:pPr>
        <w:pStyle w:val="ListBullet"/>
        <w:spacing w:after="40" w:line="280" w:lineRule="auto"/>
        <w:ind w:left="720" w:hanging="360"/>
      </w:pPr>
      <w:r>
        <w:rPr>
          <w:rFonts w:ascii="Calibri" w:hAnsi="Calibri"/>
          <w:sz w:val="22"/>
        </w:rPr>
        <w:t>historical success metadata once enough outcomes exist.</w:t>
      </w:r>
    </w:p>
    <w:p>
      <w:pPr>
        <w:pStyle w:val="Heading2"/>
      </w:pPr>
      <w:r>
        <w:t>9.3 Signal Guardrails</w:t>
      </w:r>
    </w:p>
    <w:p>
      <w:pPr>
        <w:pStyle w:val="ListBullet"/>
        <w:spacing w:after="40" w:line="280" w:lineRule="auto"/>
        <w:ind w:left="720" w:hanging="360"/>
      </w:pPr>
      <w:r>
        <w:rPr>
          <w:rFonts w:ascii="Calibri" w:hAnsi="Calibri"/>
          <w:sz w:val="22"/>
        </w:rPr>
        <w:t>Price movement alone cannot produce a buy-style recommendation.</w:t>
      </w:r>
    </w:p>
    <w:p>
      <w:pPr>
        <w:pStyle w:val="ListBullet"/>
        <w:spacing w:after="40" w:line="280" w:lineRule="auto"/>
        <w:ind w:left="720" w:hanging="360"/>
      </w:pPr>
      <w:r>
        <w:rPr>
          <w:rFonts w:ascii="Calibri" w:hAnsi="Calibri"/>
          <w:sz w:val="22"/>
        </w:rPr>
        <w:t>One outlier sale cannot trigger a breakout signal.</w:t>
      </w:r>
    </w:p>
    <w:p>
      <w:pPr>
        <w:pStyle w:val="ListBullet"/>
        <w:spacing w:after="40" w:line="280" w:lineRule="auto"/>
        <w:ind w:left="720" w:hanging="360"/>
      </w:pPr>
      <w:r>
        <w:rPr>
          <w:rFonts w:ascii="Calibri" w:hAnsi="Calibri"/>
          <w:sz w:val="22"/>
        </w:rPr>
        <w:t>Community attention alone cannot trigger an opportunity signal.</w:t>
      </w:r>
    </w:p>
    <w:p>
      <w:pPr>
        <w:pStyle w:val="ListBullet"/>
        <w:spacing w:after="40" w:line="280" w:lineRule="auto"/>
        <w:ind w:left="720" w:hanging="360"/>
      </w:pPr>
      <w:r>
        <w:rPr>
          <w:rFonts w:ascii="Calibri" w:hAnsi="Calibri"/>
          <w:sz w:val="22"/>
        </w:rPr>
        <w:t>Low liquidity must lower confidence and often increase risk.</w:t>
      </w:r>
    </w:p>
    <w:p>
      <w:pPr>
        <w:pStyle w:val="ListBullet"/>
        <w:spacing w:after="40" w:line="280" w:lineRule="auto"/>
        <w:ind w:left="720" w:hanging="360"/>
      </w:pPr>
      <w:r>
        <w:rPr>
          <w:rFonts w:ascii="Calibri" w:hAnsi="Calibri"/>
          <w:sz w:val="22"/>
        </w:rPr>
        <w:t>Signals must expire or revalidate after their evidence window becomes stale.</w:t>
      </w:r>
    </w:p>
    <w:p>
      <w:pPr>
        <w:pStyle w:val="Heading2"/>
      </w:pPr>
      <w:r>
        <w:t>9.4 Signals Acceptance Criteria</w:t>
      </w:r>
    </w:p>
    <w:p>
      <w:pPr>
        <w:pStyle w:val="ListBullet"/>
        <w:spacing w:after="40" w:line="280" w:lineRule="auto"/>
        <w:ind w:left="720" w:hanging="360"/>
      </w:pPr>
      <w:r>
        <w:rPr>
          <w:rFonts w:ascii="Calibri" w:hAnsi="Calibri"/>
          <w:sz w:val="22"/>
        </w:rPr>
        <w:t>Signal calculations are deterministic and testable.</w:t>
      </w:r>
    </w:p>
    <w:p>
      <w:pPr>
        <w:pStyle w:val="ListBullet"/>
        <w:spacing w:after="40" w:line="280" w:lineRule="auto"/>
        <w:ind w:left="720" w:hanging="360"/>
      </w:pPr>
      <w:r>
        <w:rPr>
          <w:rFonts w:ascii="Calibri" w:hAnsi="Calibri"/>
          <w:sz w:val="22"/>
        </w:rPr>
        <w:t>Each signal includes evidence, confidence, reason codes, and expiry.</w:t>
      </w:r>
    </w:p>
    <w:p>
      <w:pPr>
        <w:pStyle w:val="ListBullet"/>
        <w:spacing w:after="40" w:line="280" w:lineRule="auto"/>
        <w:ind w:left="720" w:hanging="360"/>
      </w:pPr>
      <w:r>
        <w:rPr>
          <w:rFonts w:ascii="Calibri" w:hAnsi="Calibri"/>
          <w:sz w:val="22"/>
        </w:rPr>
        <w:t>Signals can be filtered by category, asset, risk, confidence, and time window.</w:t>
      </w:r>
    </w:p>
    <w:p>
      <w:pPr>
        <w:pStyle w:val="ListBullet"/>
        <w:spacing w:after="40" w:line="280" w:lineRule="auto"/>
        <w:ind w:left="720" w:hanging="360"/>
      </w:pPr>
      <w:r>
        <w:rPr>
          <w:rFonts w:ascii="Calibri" w:hAnsi="Calibri"/>
          <w:sz w:val="22"/>
        </w:rPr>
        <w:t>User alerts only send for signals that meet user preferences and confidence thresholds.</w:t>
      </w:r>
    </w:p>
    <w:p>
      <w:pPr>
        <w:pStyle w:val="Heading1"/>
      </w:pPr>
      <w:r>
        <w:t>Chapter 10: Daily Market Report PRD</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Report goal: </w:t>
            </w:r>
            <w:r>
              <w:rPr>
                <w:rFonts w:ascii="Calibri" w:hAnsi="Calibri"/>
                <w:color w:val="0B2545"/>
                <w:sz w:val="21"/>
              </w:rPr>
              <w:t>Generate a daily market briefing that users can read in minutes and trust as the cleanest summary of the collectibles market.</w:t>
            </w:r>
          </w:p>
        </w:tc>
      </w:tr>
    </w:tbl>
    <w:p>
      <w:pPr>
        <w:spacing w:after="40"/>
      </w:pPr>
    </w:p>
    <w:p>
      <w:pPr>
        <w:pStyle w:val="Heading2"/>
      </w:pPr>
      <w:r>
        <w:t>10.1 Report Sections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4290"/>
        <w:gridCol w:w="3270"/>
      </w:tblGrid>
      <w:tr>
        <w:trPr>
          <w:tblHeader w:val="true"/>
          <w:cantSplit/>
        </w:trPr>
        <w:tc>
          <w:tcPr>
            <w:tcW w:type="dxa" w:w="1800"/>
            <w:shd w:fill="F2F4F7"/>
            <w:vAlign w:val="center"/>
          </w:tcPr>
          <w:p>
            <w:pPr>
              <w:spacing w:before="0" w:after="0" w:line="264" w:lineRule="auto"/>
              <w:jc w:val="center"/>
            </w:pPr>
            <w:r/>
            <w:r>
              <w:rPr>
                <w:rFonts w:ascii="Calibri" w:hAnsi="Calibri"/>
                <w:b/>
                <w:color w:val="0B2545"/>
                <w:sz w:val="20"/>
              </w:rPr>
              <w:t>Section</w:t>
            </w:r>
          </w:p>
        </w:tc>
        <w:tc>
          <w:tcPr>
            <w:tcW w:type="dxa" w:w="4290"/>
            <w:shd w:fill="F2F4F7"/>
            <w:vAlign w:val="center"/>
          </w:tcPr>
          <w:p>
            <w:pPr>
              <w:spacing w:before="0" w:after="0" w:line="264" w:lineRule="auto"/>
              <w:jc w:val="center"/>
            </w:pPr>
            <w:r/>
            <w:r>
              <w:rPr>
                <w:rFonts w:ascii="Calibri" w:hAnsi="Calibri"/>
                <w:b/>
                <w:color w:val="0B2545"/>
                <w:sz w:val="20"/>
              </w:rPr>
              <w:t>Content</w:t>
            </w:r>
          </w:p>
        </w:tc>
        <w:tc>
          <w:tcPr>
            <w:tcW w:type="dxa" w:w="3270"/>
            <w:shd w:fill="F2F4F7"/>
            <w:vAlign w:val="center"/>
          </w:tcPr>
          <w:p>
            <w:pPr>
              <w:spacing w:before="0" w:after="0" w:line="264" w:lineRule="auto"/>
              <w:jc w:val="center"/>
            </w:pPr>
            <w:r/>
            <w:r>
              <w:rPr>
                <w:rFonts w:ascii="Calibri" w:hAnsi="Calibri"/>
                <w:b/>
                <w:color w:val="0B2545"/>
                <w:sz w:val="20"/>
              </w:rPr>
              <w:t>Source</w:t>
            </w:r>
          </w:p>
        </w:tc>
      </w:tr>
      <w:tr>
        <w:trPr>
          <w:cantSplit/>
        </w:trPr>
        <w:tc>
          <w:tcPr>
            <w:tcW w:type="dxa" w:w="1800"/>
            <w:vAlign w:val="center"/>
          </w:tcPr>
          <w:p>
            <w:pPr>
              <w:spacing w:before="0" w:after="0" w:line="264" w:lineRule="auto"/>
              <w:jc w:val="left"/>
            </w:pPr>
            <w:r/>
            <w:r>
              <w:rPr>
                <w:rFonts w:ascii="Calibri" w:hAnsi="Calibri"/>
                <w:b/>
                <w:color w:val="0B2545"/>
                <w:sz w:val="19"/>
              </w:rPr>
              <w:t>Market Summary</w:t>
            </w:r>
          </w:p>
        </w:tc>
        <w:tc>
          <w:tcPr>
            <w:tcW w:type="dxa" w:w="4290"/>
            <w:vAlign w:val="center"/>
          </w:tcPr>
          <w:p>
            <w:pPr>
              <w:spacing w:before="0" w:after="0" w:line="264" w:lineRule="auto"/>
              <w:jc w:val="left"/>
            </w:pPr>
            <w:r/>
            <w:r>
              <w:rPr>
                <w:rFonts w:ascii="Calibri" w:hAnsi="Calibri"/>
                <w:b w:val="0"/>
                <w:color w:val="000000"/>
                <w:sz w:val="19"/>
              </w:rPr>
              <w:t>Overall direction, sentiment, liquidity, and category performance.</w:t>
            </w:r>
          </w:p>
        </w:tc>
        <w:tc>
          <w:tcPr>
            <w:tcW w:type="dxa" w:w="3270"/>
            <w:vAlign w:val="center"/>
          </w:tcPr>
          <w:p>
            <w:pPr>
              <w:spacing w:before="0" w:after="0" w:line="264" w:lineRule="auto"/>
              <w:jc w:val="left"/>
            </w:pPr>
            <w:r/>
            <w:r>
              <w:rPr>
                <w:rFonts w:ascii="Calibri" w:hAnsi="Calibri"/>
                <w:b w:val="0"/>
                <w:color w:val="000000"/>
                <w:sz w:val="19"/>
              </w:rPr>
              <w:t>Indexes and market metrics.</w:t>
            </w:r>
          </w:p>
        </w:tc>
      </w:tr>
      <w:tr>
        <w:trPr>
          <w:cantSplit/>
        </w:trPr>
        <w:tc>
          <w:tcPr>
            <w:tcW w:type="dxa" w:w="1800"/>
            <w:vAlign w:val="center"/>
          </w:tcPr>
          <w:p>
            <w:pPr>
              <w:spacing w:before="0" w:after="0" w:line="264" w:lineRule="auto"/>
              <w:jc w:val="left"/>
            </w:pPr>
            <w:r/>
            <w:r>
              <w:rPr>
                <w:rFonts w:ascii="Calibri" w:hAnsi="Calibri"/>
                <w:b/>
                <w:color w:val="0B2545"/>
                <w:sz w:val="19"/>
              </w:rPr>
              <w:t>Top Movers</w:t>
            </w:r>
          </w:p>
        </w:tc>
        <w:tc>
          <w:tcPr>
            <w:tcW w:type="dxa" w:w="4290"/>
            <w:vAlign w:val="center"/>
          </w:tcPr>
          <w:p>
            <w:pPr>
              <w:spacing w:before="0" w:after="0" w:line="264" w:lineRule="auto"/>
              <w:jc w:val="left"/>
            </w:pPr>
            <w:r/>
            <w:r>
              <w:rPr>
                <w:rFonts w:ascii="Calibri" w:hAnsi="Calibri"/>
                <w:b w:val="0"/>
                <w:color w:val="000000"/>
                <w:sz w:val="19"/>
              </w:rPr>
              <w:t>Biggest validated movers with volume and confidence.</w:t>
            </w:r>
          </w:p>
        </w:tc>
        <w:tc>
          <w:tcPr>
            <w:tcW w:type="dxa" w:w="3270"/>
            <w:vAlign w:val="center"/>
          </w:tcPr>
          <w:p>
            <w:pPr>
              <w:spacing w:before="0" w:after="0" w:line="264" w:lineRule="auto"/>
              <w:jc w:val="left"/>
            </w:pPr>
            <w:r/>
            <w:r>
              <w:rPr>
                <w:rFonts w:ascii="Calibri" w:hAnsi="Calibri"/>
                <w:b w:val="0"/>
                <w:color w:val="000000"/>
                <w:sz w:val="19"/>
              </w:rPr>
              <w:t>Signal and price services.</w:t>
            </w:r>
          </w:p>
        </w:tc>
      </w:tr>
      <w:tr>
        <w:trPr>
          <w:cantSplit/>
        </w:trPr>
        <w:tc>
          <w:tcPr>
            <w:tcW w:type="dxa" w:w="1800"/>
            <w:vAlign w:val="center"/>
          </w:tcPr>
          <w:p>
            <w:pPr>
              <w:spacing w:before="0" w:after="0" w:line="264" w:lineRule="auto"/>
              <w:jc w:val="left"/>
            </w:pPr>
            <w:r/>
            <w:r>
              <w:rPr>
                <w:rFonts w:ascii="Calibri" w:hAnsi="Calibri"/>
                <w:b/>
                <w:color w:val="0B2545"/>
                <w:sz w:val="19"/>
              </w:rPr>
              <w:t>Biggest Sales</w:t>
            </w:r>
          </w:p>
        </w:tc>
        <w:tc>
          <w:tcPr>
            <w:tcW w:type="dxa" w:w="4290"/>
            <w:vAlign w:val="center"/>
          </w:tcPr>
          <w:p>
            <w:pPr>
              <w:spacing w:before="0" w:after="0" w:line="264" w:lineRule="auto"/>
              <w:jc w:val="left"/>
            </w:pPr>
            <w:r/>
            <w:r>
              <w:rPr>
                <w:rFonts w:ascii="Calibri" w:hAnsi="Calibri"/>
                <w:b w:val="0"/>
                <w:color w:val="000000"/>
                <w:sz w:val="19"/>
              </w:rPr>
              <w:t>Notable verified sales.</w:t>
            </w:r>
          </w:p>
        </w:tc>
        <w:tc>
          <w:tcPr>
            <w:tcW w:type="dxa" w:w="3270"/>
            <w:vAlign w:val="center"/>
          </w:tcPr>
          <w:p>
            <w:pPr>
              <w:spacing w:before="0" w:after="0" w:line="264" w:lineRule="auto"/>
              <w:jc w:val="left"/>
            </w:pPr>
            <w:r/>
            <w:r>
              <w:rPr>
                <w:rFonts w:ascii="Calibri" w:hAnsi="Calibri"/>
                <w:b w:val="0"/>
                <w:color w:val="000000"/>
                <w:sz w:val="19"/>
              </w:rPr>
              <w:t>Sales observations.</w:t>
            </w:r>
          </w:p>
        </w:tc>
      </w:tr>
      <w:tr>
        <w:trPr>
          <w:cantSplit/>
        </w:trPr>
        <w:tc>
          <w:tcPr>
            <w:tcW w:type="dxa" w:w="1800"/>
            <w:vAlign w:val="center"/>
          </w:tcPr>
          <w:p>
            <w:pPr>
              <w:spacing w:before="0" w:after="0" w:line="264" w:lineRule="auto"/>
              <w:jc w:val="left"/>
            </w:pPr>
            <w:r/>
            <w:r>
              <w:rPr>
                <w:rFonts w:ascii="Calibri" w:hAnsi="Calibri"/>
                <w:b/>
                <w:color w:val="0B2545"/>
                <w:sz w:val="19"/>
              </w:rPr>
              <w:t>Catalysts</w:t>
            </w:r>
          </w:p>
        </w:tc>
        <w:tc>
          <w:tcPr>
            <w:tcW w:type="dxa" w:w="4290"/>
            <w:vAlign w:val="center"/>
          </w:tcPr>
          <w:p>
            <w:pPr>
              <w:spacing w:before="0" w:after="0" w:line="264" w:lineRule="auto"/>
              <w:jc w:val="left"/>
            </w:pPr>
            <w:r/>
            <w:r>
              <w:rPr>
                <w:rFonts w:ascii="Calibri" w:hAnsi="Calibri"/>
                <w:b w:val="0"/>
                <w:color w:val="000000"/>
                <w:sz w:val="19"/>
              </w:rPr>
              <w:t>Market-moving news and active events.</w:t>
            </w:r>
          </w:p>
        </w:tc>
        <w:tc>
          <w:tcPr>
            <w:tcW w:type="dxa" w:w="3270"/>
            <w:vAlign w:val="center"/>
          </w:tcPr>
          <w:p>
            <w:pPr>
              <w:spacing w:before="0" w:after="0" w:line="264" w:lineRule="auto"/>
              <w:jc w:val="left"/>
            </w:pPr>
            <w:r/>
            <w:r>
              <w:rPr>
                <w:rFonts w:ascii="Calibri" w:hAnsi="Calibri"/>
                <w:b w:val="0"/>
                <w:color w:val="000000"/>
                <w:sz w:val="19"/>
              </w:rPr>
              <w:t>News and catalyst services.</w:t>
            </w:r>
          </w:p>
        </w:tc>
      </w:tr>
      <w:tr>
        <w:trPr>
          <w:cantSplit/>
        </w:trPr>
        <w:tc>
          <w:tcPr>
            <w:tcW w:type="dxa" w:w="1800"/>
            <w:vAlign w:val="center"/>
          </w:tcPr>
          <w:p>
            <w:pPr>
              <w:spacing w:before="0" w:after="0" w:line="264" w:lineRule="auto"/>
              <w:jc w:val="left"/>
            </w:pPr>
            <w:r/>
            <w:r>
              <w:rPr>
                <w:rFonts w:ascii="Calibri" w:hAnsi="Calibri"/>
                <w:b/>
                <w:color w:val="0B2545"/>
                <w:sz w:val="19"/>
              </w:rPr>
              <w:t>Risk Summary</w:t>
            </w:r>
          </w:p>
        </w:tc>
        <w:tc>
          <w:tcPr>
            <w:tcW w:type="dxa" w:w="4290"/>
            <w:vAlign w:val="center"/>
          </w:tcPr>
          <w:p>
            <w:pPr>
              <w:spacing w:before="0" w:after="0" w:line="264" w:lineRule="auto"/>
              <w:jc w:val="left"/>
            </w:pPr>
            <w:r/>
            <w:r>
              <w:rPr>
                <w:rFonts w:ascii="Calibri" w:hAnsi="Calibri"/>
                <w:b w:val="0"/>
                <w:color w:val="000000"/>
                <w:sz w:val="19"/>
              </w:rPr>
              <w:t>Fake rallies, supply shocks, overheating, liquidity drops.</w:t>
            </w:r>
          </w:p>
        </w:tc>
        <w:tc>
          <w:tcPr>
            <w:tcW w:type="dxa" w:w="3270"/>
            <w:vAlign w:val="center"/>
          </w:tcPr>
          <w:p>
            <w:pPr>
              <w:spacing w:before="0" w:after="0" w:line="264" w:lineRule="auto"/>
              <w:jc w:val="left"/>
            </w:pPr>
            <w:r/>
            <w:r>
              <w:rPr>
                <w:rFonts w:ascii="Calibri" w:hAnsi="Calibri"/>
                <w:b w:val="0"/>
                <w:color w:val="000000"/>
                <w:sz w:val="19"/>
              </w:rPr>
              <w:t>Signal service.</w:t>
            </w:r>
          </w:p>
        </w:tc>
      </w:tr>
      <w:tr>
        <w:trPr>
          <w:cantSplit/>
        </w:trPr>
        <w:tc>
          <w:tcPr>
            <w:tcW w:type="dxa" w:w="1800"/>
            <w:vAlign w:val="center"/>
          </w:tcPr>
          <w:p>
            <w:pPr>
              <w:spacing w:before="0" w:after="0" w:line="264" w:lineRule="auto"/>
              <w:jc w:val="left"/>
            </w:pPr>
            <w:r/>
            <w:r>
              <w:rPr>
                <w:rFonts w:ascii="Calibri" w:hAnsi="Calibri"/>
                <w:b/>
                <w:color w:val="0B2545"/>
                <w:sz w:val="19"/>
              </w:rPr>
              <w:t>Tomorrow Watchlist</w:t>
            </w:r>
          </w:p>
        </w:tc>
        <w:tc>
          <w:tcPr>
            <w:tcW w:type="dxa" w:w="4290"/>
            <w:vAlign w:val="center"/>
          </w:tcPr>
          <w:p>
            <w:pPr>
              <w:spacing w:before="0" w:after="0" w:line="264" w:lineRule="auto"/>
              <w:jc w:val="left"/>
            </w:pPr>
            <w:r/>
            <w:r>
              <w:rPr>
                <w:rFonts w:ascii="Calibri" w:hAnsi="Calibri"/>
                <w:b w:val="0"/>
                <w:color w:val="000000"/>
                <w:sz w:val="19"/>
              </w:rPr>
              <w:t>Assets and categories worth monitoring next.</w:t>
            </w:r>
          </w:p>
        </w:tc>
        <w:tc>
          <w:tcPr>
            <w:tcW w:type="dxa" w:w="3270"/>
            <w:vAlign w:val="center"/>
          </w:tcPr>
          <w:p>
            <w:pPr>
              <w:spacing w:before="0" w:after="0" w:line="264" w:lineRule="auto"/>
              <w:jc w:val="left"/>
            </w:pPr>
            <w:r/>
            <w:r>
              <w:rPr>
                <w:rFonts w:ascii="Calibri" w:hAnsi="Calibri"/>
                <w:b w:val="0"/>
                <w:color w:val="000000"/>
                <w:sz w:val="19"/>
              </w:rPr>
              <w:t>Signals, catalysts, and watchlist logic.</w:t>
            </w:r>
          </w:p>
        </w:tc>
      </w:tr>
      <w:tr>
        <w:trPr>
          <w:cantSplit/>
        </w:trPr>
        <w:tc>
          <w:tcPr>
            <w:tcW w:type="dxa" w:w="1800"/>
            <w:vAlign w:val="center"/>
          </w:tcPr>
          <w:p>
            <w:pPr>
              <w:spacing w:before="0" w:after="0" w:line="264" w:lineRule="auto"/>
              <w:jc w:val="left"/>
            </w:pPr>
            <w:r/>
            <w:r>
              <w:rPr>
                <w:rFonts w:ascii="Calibri" w:hAnsi="Calibri"/>
                <w:b/>
                <w:color w:val="0B2545"/>
                <w:sz w:val="19"/>
              </w:rPr>
              <w:t>AI Commentary</w:t>
            </w:r>
          </w:p>
        </w:tc>
        <w:tc>
          <w:tcPr>
            <w:tcW w:type="dxa" w:w="4290"/>
            <w:vAlign w:val="center"/>
          </w:tcPr>
          <w:p>
            <w:pPr>
              <w:spacing w:before="0" w:after="0" w:line="264" w:lineRule="auto"/>
              <w:jc w:val="left"/>
            </w:pPr>
            <w:r/>
            <w:r>
              <w:rPr>
                <w:rFonts w:ascii="Calibri" w:hAnsi="Calibri"/>
                <w:b w:val="0"/>
                <w:color w:val="000000"/>
                <w:sz w:val="19"/>
              </w:rPr>
              <w:t>Short evidence-based narrative.</w:t>
            </w:r>
          </w:p>
        </w:tc>
        <w:tc>
          <w:tcPr>
            <w:tcW w:type="dxa" w:w="3270"/>
            <w:vAlign w:val="center"/>
          </w:tcPr>
          <w:p>
            <w:pPr>
              <w:spacing w:before="0" w:after="0" w:line="264" w:lineRule="auto"/>
              <w:jc w:val="left"/>
            </w:pPr>
            <w:r/>
            <w:r>
              <w:rPr>
                <w:rFonts w:ascii="Calibri" w:hAnsi="Calibri"/>
                <w:b w:val="0"/>
                <w:color w:val="000000"/>
                <w:sz w:val="19"/>
              </w:rPr>
              <w:t>AI service using report evidence bundle.</w:t>
            </w:r>
          </w:p>
        </w:tc>
      </w:tr>
    </w:tbl>
    <w:p>
      <w:pPr>
        <w:spacing w:after="40"/>
      </w:pPr>
    </w:p>
    <w:p>
      <w:pPr>
        <w:pStyle w:val="Heading2"/>
      </w:pPr>
      <w:r>
        <w:t>10.2 Distribution Channels</w:t>
      </w:r>
    </w:p>
    <w:p>
      <w:pPr>
        <w:pStyle w:val="ListBullet"/>
        <w:spacing w:after="40" w:line="280" w:lineRule="auto"/>
        <w:ind w:left="720" w:hanging="360"/>
      </w:pPr>
      <w:r>
        <w:rPr>
          <w:rFonts w:ascii="Calibri" w:hAnsi="Calibri"/>
          <w:sz w:val="22"/>
        </w:rPr>
        <w:t>Website: canonical report page with charts, links, and evidence.</w:t>
      </w:r>
    </w:p>
    <w:p>
      <w:pPr>
        <w:pStyle w:val="ListBullet"/>
        <w:spacing w:after="40" w:line="280" w:lineRule="auto"/>
        <w:ind w:left="720" w:hanging="360"/>
      </w:pPr>
      <w:r>
        <w:rPr>
          <w:rFonts w:ascii="Calibri" w:hAnsi="Calibri"/>
          <w:sz w:val="22"/>
        </w:rPr>
        <w:t>Email: concise summary with top sections and links back to site.</w:t>
      </w:r>
    </w:p>
    <w:p>
      <w:pPr>
        <w:pStyle w:val="ListBullet"/>
        <w:spacing w:after="40" w:line="280" w:lineRule="auto"/>
        <w:ind w:left="720" w:hanging="360"/>
      </w:pPr>
      <w:r>
        <w:rPr>
          <w:rFonts w:ascii="Calibri" w:hAnsi="Calibri"/>
          <w:sz w:val="22"/>
        </w:rPr>
        <w:t>Discord: compact embed format for community distribution.</w:t>
      </w:r>
    </w:p>
    <w:p>
      <w:pPr>
        <w:pStyle w:val="ListBullet"/>
        <w:spacing w:after="40" w:line="280" w:lineRule="auto"/>
        <w:ind w:left="720" w:hanging="360"/>
      </w:pPr>
      <w:r>
        <w:rPr>
          <w:rFonts w:ascii="Calibri" w:hAnsi="Calibri"/>
          <w:sz w:val="22"/>
        </w:rPr>
        <w:t>Push notification: only major market movement or personalized watchlist events.</w:t>
      </w:r>
    </w:p>
    <w:p>
      <w:pPr>
        <w:pStyle w:val="ListBullet"/>
        <w:spacing w:after="40" w:line="280" w:lineRule="auto"/>
        <w:ind w:left="720" w:hanging="360"/>
      </w:pPr>
      <w:r>
        <w:rPr>
          <w:rFonts w:ascii="Calibri" w:hAnsi="Calibri"/>
          <w:sz w:val="22"/>
        </w:rPr>
        <w:t>PDF export: archival and creator-friendly format.</w:t>
      </w:r>
    </w:p>
    <w:p>
      <w:pPr>
        <w:pStyle w:val="Heading2"/>
      </w:pPr>
      <w:r>
        <w:t>10.3 Generation Workflow</w:t>
      </w:r>
    </w:p>
    <w:p>
      <w:pPr>
        <w:numPr>
          <w:ilvl w:val="0"/>
          <w:numId w:val="15"/>
        </w:numPr>
        <w:spacing w:after="40" w:line="280" w:lineRule="auto"/>
        <w:ind w:left="720" w:hanging="360"/>
      </w:pPr>
      <w:r>
        <w:rPr>
          <w:rFonts w:ascii="Calibri" w:hAnsi="Calibri"/>
          <w:sz w:val="22"/>
        </w:rPr>
        <w:t>Freeze report time window.</w:t>
      </w:r>
    </w:p>
    <w:p>
      <w:pPr>
        <w:numPr>
          <w:ilvl w:val="0"/>
          <w:numId w:val="15"/>
        </w:numPr>
        <w:spacing w:after="40" w:line="280" w:lineRule="auto"/>
        <w:ind w:left="720" w:hanging="360"/>
      </w:pPr>
      <w:r>
        <w:rPr>
          <w:rFonts w:ascii="Calibri" w:hAnsi="Calibri"/>
          <w:sz w:val="22"/>
        </w:rPr>
        <w:t>Collect validated market metrics, catalysts, signals, and notable sales.</w:t>
      </w:r>
    </w:p>
    <w:p>
      <w:pPr>
        <w:numPr>
          <w:ilvl w:val="0"/>
          <w:numId w:val="15"/>
        </w:numPr>
        <w:spacing w:after="40" w:line="280" w:lineRule="auto"/>
        <w:ind w:left="720" w:hanging="360"/>
      </w:pPr>
      <w:r>
        <w:rPr>
          <w:rFonts w:ascii="Calibri" w:hAnsi="Calibri"/>
          <w:sz w:val="22"/>
        </w:rPr>
        <w:t>Create report evidence bundle.</w:t>
      </w:r>
    </w:p>
    <w:p>
      <w:pPr>
        <w:numPr>
          <w:ilvl w:val="0"/>
          <w:numId w:val="15"/>
        </w:numPr>
        <w:spacing w:after="40" w:line="280" w:lineRule="auto"/>
        <w:ind w:left="720" w:hanging="360"/>
      </w:pPr>
      <w:r>
        <w:rPr>
          <w:rFonts w:ascii="Calibri" w:hAnsi="Calibri"/>
          <w:sz w:val="22"/>
        </w:rPr>
        <w:t>Generate AI commentary and section summaries.</w:t>
      </w:r>
    </w:p>
    <w:p>
      <w:pPr>
        <w:numPr>
          <w:ilvl w:val="0"/>
          <w:numId w:val="15"/>
        </w:numPr>
        <w:spacing w:after="40" w:line="280" w:lineRule="auto"/>
        <w:ind w:left="720" w:hanging="360"/>
      </w:pPr>
      <w:r>
        <w:rPr>
          <w:rFonts w:ascii="Calibri" w:hAnsi="Calibri"/>
          <w:sz w:val="22"/>
        </w:rPr>
        <w:t>Run quality checks for missing evidence and low confidence.</w:t>
      </w:r>
    </w:p>
    <w:p>
      <w:pPr>
        <w:numPr>
          <w:ilvl w:val="0"/>
          <w:numId w:val="15"/>
        </w:numPr>
        <w:spacing w:after="40" w:line="280" w:lineRule="auto"/>
        <w:ind w:left="720" w:hanging="360"/>
      </w:pPr>
      <w:r>
        <w:rPr>
          <w:rFonts w:ascii="Calibri" w:hAnsi="Calibri"/>
          <w:sz w:val="22"/>
        </w:rPr>
        <w:t>Publish website report.</w:t>
      </w:r>
    </w:p>
    <w:p>
      <w:pPr>
        <w:numPr>
          <w:ilvl w:val="0"/>
          <w:numId w:val="15"/>
        </w:numPr>
        <w:spacing w:after="40" w:line="280" w:lineRule="auto"/>
        <w:ind w:left="720" w:hanging="360"/>
      </w:pPr>
      <w:r>
        <w:rPr>
          <w:rFonts w:ascii="Calibri" w:hAnsi="Calibri"/>
          <w:sz w:val="22"/>
        </w:rPr>
        <w:t>Distribute channel-specific versions.</w:t>
      </w:r>
    </w:p>
    <w:p>
      <w:pPr>
        <w:pStyle w:val="Heading2"/>
      </w:pPr>
      <w:r>
        <w:t>10.4 Daily Report Acceptance Criteria</w:t>
      </w:r>
    </w:p>
    <w:p>
      <w:pPr>
        <w:pStyle w:val="ListBullet"/>
        <w:spacing w:after="40" w:line="280" w:lineRule="auto"/>
        <w:ind w:left="720" w:hanging="360"/>
      </w:pPr>
      <w:r>
        <w:rPr>
          <w:rFonts w:ascii="Calibri" w:hAnsi="Calibri"/>
          <w:sz w:val="22"/>
        </w:rPr>
        <w:t>Reports can be regenerated from stored evidence and report sections.</w:t>
      </w:r>
    </w:p>
    <w:p>
      <w:pPr>
        <w:pStyle w:val="ListBullet"/>
        <w:spacing w:after="40" w:line="280" w:lineRule="auto"/>
        <w:ind w:left="720" w:hanging="360"/>
      </w:pPr>
      <w:r>
        <w:rPr>
          <w:rFonts w:ascii="Calibri" w:hAnsi="Calibri"/>
          <w:sz w:val="22"/>
        </w:rPr>
        <w:t>Every section has source data or intentionally displays no-data state.</w:t>
      </w:r>
    </w:p>
    <w:p>
      <w:pPr>
        <w:pStyle w:val="ListBullet"/>
        <w:spacing w:after="40" w:line="280" w:lineRule="auto"/>
        <w:ind w:left="720" w:hanging="360"/>
      </w:pPr>
      <w:r>
        <w:rPr>
          <w:rFonts w:ascii="Calibri" w:hAnsi="Calibri"/>
          <w:sz w:val="22"/>
        </w:rPr>
        <w:t>AI commentary is suppressed when evidence quality is below threshold.</w:t>
      </w:r>
    </w:p>
    <w:p>
      <w:pPr>
        <w:pStyle w:val="ListBullet"/>
        <w:spacing w:after="40" w:line="280" w:lineRule="auto"/>
        <w:ind w:left="720" w:hanging="360"/>
      </w:pPr>
      <w:r>
        <w:rPr>
          <w:rFonts w:ascii="Calibri" w:hAnsi="Calibri"/>
          <w:sz w:val="22"/>
        </w:rPr>
        <w:t>Distribution events are logged with delivery status.</w:t>
      </w:r>
    </w:p>
    <w:p>
      <w:pPr>
        <w:pStyle w:val="ListBullet"/>
        <w:spacing w:after="40" w:line="280" w:lineRule="auto"/>
        <w:ind w:left="720" w:hanging="360"/>
      </w:pPr>
      <w:r>
        <w:rPr>
          <w:rFonts w:ascii="Calibri" w:hAnsi="Calibri"/>
          <w:sz w:val="22"/>
        </w:rPr>
        <w:t>Report archive supports browsing by date and category.</w:t>
      </w:r>
    </w:p>
    <w:p>
      <w:pPr>
        <w:pStyle w:val="Heading1"/>
      </w:pPr>
      <w:r>
        <w:t>Chapter 11: Portfolio and Decision Center PRD</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Portfolio goal: </w:t>
            </w:r>
            <w:r>
              <w:rPr>
                <w:rFonts w:ascii="Calibri" w:hAnsi="Calibri"/>
                <w:color w:val="0B2545"/>
                <w:sz w:val="21"/>
              </w:rPr>
              <w:t>Help users understand the health, risk, concentration, liquidity, and opportunity profile of their collection.</w:t>
            </w:r>
          </w:p>
        </w:tc>
      </w:tr>
    </w:tbl>
    <w:p>
      <w:pPr>
        <w:spacing w:after="40"/>
      </w:pPr>
    </w:p>
    <w:p>
      <w:pPr>
        <w:pStyle w:val="Heading2"/>
      </w:pPr>
      <w:r>
        <w:t>11.1 Portfolio Model</w:t>
      </w:r>
    </w:p>
    <w:p>
      <w:pPr>
        <w:pStyle w:val="ListBullet"/>
        <w:spacing w:after="40" w:line="280" w:lineRule="auto"/>
        <w:ind w:left="720" w:hanging="360"/>
      </w:pPr>
      <w:r>
        <w:rPr>
          <w:rFonts w:ascii="Calibri" w:hAnsi="Calibri"/>
          <w:sz w:val="22"/>
        </w:rPr>
        <w:t>Holdings should support raw cards, graded cards, sealed products, and custom assets.</w:t>
      </w:r>
    </w:p>
    <w:p>
      <w:pPr>
        <w:pStyle w:val="ListBullet"/>
        <w:spacing w:after="40" w:line="280" w:lineRule="auto"/>
        <w:ind w:left="720" w:hanging="360"/>
      </w:pPr>
      <w:r>
        <w:rPr>
          <w:rFonts w:ascii="Calibri" w:hAnsi="Calibri"/>
          <w:sz w:val="22"/>
        </w:rPr>
        <w:t>Each holding should include acquisition price, acquisition date, quantity, condition, grade, source, and notes.</w:t>
      </w:r>
    </w:p>
    <w:p>
      <w:pPr>
        <w:pStyle w:val="ListBullet"/>
        <w:spacing w:after="40" w:line="280" w:lineRule="auto"/>
        <w:ind w:left="720" w:hanging="360"/>
      </w:pPr>
      <w:r>
        <w:rPr>
          <w:rFonts w:ascii="Calibri" w:hAnsi="Calibri"/>
          <w:sz w:val="22"/>
        </w:rPr>
        <w:t>Valuation should use confidence-aware price snapshots.</w:t>
      </w:r>
    </w:p>
    <w:p>
      <w:pPr>
        <w:pStyle w:val="ListBullet"/>
        <w:spacing w:after="40" w:line="280" w:lineRule="auto"/>
        <w:ind w:left="720" w:hanging="360"/>
      </w:pPr>
      <w:r>
        <w:rPr>
          <w:rFonts w:ascii="Calibri" w:hAnsi="Calibri"/>
          <w:sz w:val="22"/>
        </w:rPr>
        <w:t>Users should see value range when pricing confidence is low.</w:t>
      </w:r>
    </w:p>
    <w:p>
      <w:pPr>
        <w:pStyle w:val="Heading2"/>
      </w:pPr>
      <w:r>
        <w:t>11.2 Portfolio Intelligence</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4100"/>
        <w:gridCol w:w="3360"/>
      </w:tblGrid>
      <w:tr>
        <w:trPr>
          <w:tblHeader w:val="true"/>
          <w:cantSplit/>
        </w:trPr>
        <w:tc>
          <w:tcPr>
            <w:tcW w:type="dxa" w:w="1900"/>
            <w:shd w:fill="F2F4F7"/>
            <w:vAlign w:val="center"/>
          </w:tcPr>
          <w:p>
            <w:pPr>
              <w:spacing w:before="0" w:after="0" w:line="264" w:lineRule="auto"/>
              <w:jc w:val="center"/>
            </w:pPr>
            <w:r/>
            <w:r>
              <w:rPr>
                <w:rFonts w:ascii="Calibri" w:hAnsi="Calibri"/>
                <w:b/>
                <w:color w:val="0B2545"/>
                <w:sz w:val="20"/>
              </w:rPr>
              <w:t>Metric</w:t>
            </w:r>
          </w:p>
        </w:tc>
        <w:tc>
          <w:tcPr>
            <w:tcW w:type="dxa" w:w="4100"/>
            <w:shd w:fill="F2F4F7"/>
            <w:vAlign w:val="center"/>
          </w:tcPr>
          <w:p>
            <w:pPr>
              <w:spacing w:before="0" w:after="0" w:line="264" w:lineRule="auto"/>
              <w:jc w:val="center"/>
            </w:pPr>
            <w:r/>
            <w:r>
              <w:rPr>
                <w:rFonts w:ascii="Calibri" w:hAnsi="Calibri"/>
                <w:b/>
                <w:color w:val="0B2545"/>
                <w:sz w:val="20"/>
              </w:rPr>
              <w:t>Definition</w:t>
            </w:r>
          </w:p>
        </w:tc>
        <w:tc>
          <w:tcPr>
            <w:tcW w:type="dxa" w:w="3360"/>
            <w:shd w:fill="F2F4F7"/>
            <w:vAlign w:val="center"/>
          </w:tcPr>
          <w:p>
            <w:pPr>
              <w:spacing w:before="0" w:after="0" w:line="264" w:lineRule="auto"/>
              <w:jc w:val="center"/>
            </w:pPr>
            <w:r/>
            <w:r>
              <w:rPr>
                <w:rFonts w:ascii="Calibri" w:hAnsi="Calibri"/>
                <w:b/>
                <w:color w:val="0B2545"/>
                <w:sz w:val="20"/>
              </w:rPr>
              <w:t>Use</w:t>
            </w:r>
          </w:p>
        </w:tc>
      </w:tr>
      <w:tr>
        <w:trPr>
          <w:cantSplit/>
        </w:trPr>
        <w:tc>
          <w:tcPr>
            <w:tcW w:type="dxa" w:w="1900"/>
            <w:vAlign w:val="center"/>
          </w:tcPr>
          <w:p>
            <w:pPr>
              <w:spacing w:before="0" w:after="0" w:line="264" w:lineRule="auto"/>
              <w:jc w:val="left"/>
            </w:pPr>
            <w:r/>
            <w:r>
              <w:rPr>
                <w:rFonts w:ascii="Calibri" w:hAnsi="Calibri"/>
                <w:b/>
                <w:color w:val="0B2545"/>
                <w:sz w:val="19"/>
              </w:rPr>
              <w:t>Value</w:t>
            </w:r>
          </w:p>
        </w:tc>
        <w:tc>
          <w:tcPr>
            <w:tcW w:type="dxa" w:w="4100"/>
            <w:vAlign w:val="center"/>
          </w:tcPr>
          <w:p>
            <w:pPr>
              <w:spacing w:before="0" w:after="0" w:line="264" w:lineRule="auto"/>
              <w:jc w:val="left"/>
            </w:pPr>
            <w:r/>
            <w:r>
              <w:rPr>
                <w:rFonts w:ascii="Calibri" w:hAnsi="Calibri"/>
                <w:b w:val="0"/>
                <w:color w:val="000000"/>
                <w:sz w:val="19"/>
              </w:rPr>
              <w:t>Estimated current market value and confidence range.</w:t>
            </w:r>
          </w:p>
        </w:tc>
        <w:tc>
          <w:tcPr>
            <w:tcW w:type="dxa" w:w="3360"/>
            <w:vAlign w:val="center"/>
          </w:tcPr>
          <w:p>
            <w:pPr>
              <w:spacing w:before="0" w:after="0" w:line="264" w:lineRule="auto"/>
              <w:jc w:val="left"/>
            </w:pPr>
            <w:r/>
            <w:r>
              <w:rPr>
                <w:rFonts w:ascii="Calibri" w:hAnsi="Calibri"/>
                <w:b w:val="0"/>
                <w:color w:val="000000"/>
                <w:sz w:val="19"/>
              </w:rPr>
              <w:t>Portfolio overview and performance.</w:t>
            </w:r>
          </w:p>
        </w:tc>
      </w:tr>
      <w:tr>
        <w:trPr>
          <w:cantSplit/>
        </w:trPr>
        <w:tc>
          <w:tcPr>
            <w:tcW w:type="dxa" w:w="1900"/>
            <w:vAlign w:val="center"/>
          </w:tcPr>
          <w:p>
            <w:pPr>
              <w:spacing w:before="0" w:after="0" w:line="264" w:lineRule="auto"/>
              <w:jc w:val="left"/>
            </w:pPr>
            <w:r/>
            <w:r>
              <w:rPr>
                <w:rFonts w:ascii="Calibri" w:hAnsi="Calibri"/>
                <w:b/>
                <w:color w:val="0B2545"/>
                <w:sz w:val="19"/>
              </w:rPr>
              <w:t>Performance</w:t>
            </w:r>
          </w:p>
        </w:tc>
        <w:tc>
          <w:tcPr>
            <w:tcW w:type="dxa" w:w="4100"/>
            <w:vAlign w:val="center"/>
          </w:tcPr>
          <w:p>
            <w:pPr>
              <w:spacing w:before="0" w:after="0" w:line="264" w:lineRule="auto"/>
              <w:jc w:val="left"/>
            </w:pPr>
            <w:r/>
            <w:r>
              <w:rPr>
                <w:rFonts w:ascii="Calibri" w:hAnsi="Calibri"/>
                <w:b w:val="0"/>
                <w:color w:val="000000"/>
                <w:sz w:val="19"/>
              </w:rPr>
              <w:t>Gain/loss by asset, category, set, language, grade, and period.</w:t>
            </w:r>
          </w:p>
        </w:tc>
        <w:tc>
          <w:tcPr>
            <w:tcW w:type="dxa" w:w="3360"/>
            <w:vAlign w:val="center"/>
          </w:tcPr>
          <w:p>
            <w:pPr>
              <w:spacing w:before="0" w:after="0" w:line="264" w:lineRule="auto"/>
              <w:jc w:val="left"/>
            </w:pPr>
            <w:r/>
            <w:r>
              <w:rPr>
                <w:rFonts w:ascii="Calibri" w:hAnsi="Calibri"/>
                <w:b w:val="0"/>
                <w:color w:val="000000"/>
                <w:sz w:val="19"/>
              </w:rPr>
              <w:t>Understand winners and laggards.</w:t>
            </w:r>
          </w:p>
        </w:tc>
      </w:tr>
      <w:tr>
        <w:trPr>
          <w:cantSplit/>
        </w:trPr>
        <w:tc>
          <w:tcPr>
            <w:tcW w:type="dxa" w:w="1900"/>
            <w:vAlign w:val="center"/>
          </w:tcPr>
          <w:p>
            <w:pPr>
              <w:spacing w:before="0" w:after="0" w:line="264" w:lineRule="auto"/>
              <w:jc w:val="left"/>
            </w:pPr>
            <w:r/>
            <w:r>
              <w:rPr>
                <w:rFonts w:ascii="Calibri" w:hAnsi="Calibri"/>
                <w:b/>
                <w:color w:val="0B2545"/>
                <w:sz w:val="19"/>
              </w:rPr>
              <w:t>Diversification</w:t>
            </w:r>
          </w:p>
        </w:tc>
        <w:tc>
          <w:tcPr>
            <w:tcW w:type="dxa" w:w="4100"/>
            <w:vAlign w:val="center"/>
          </w:tcPr>
          <w:p>
            <w:pPr>
              <w:spacing w:before="0" w:after="0" w:line="264" w:lineRule="auto"/>
              <w:jc w:val="left"/>
            </w:pPr>
            <w:r/>
            <w:r>
              <w:rPr>
                <w:rFonts w:ascii="Calibri" w:hAnsi="Calibri"/>
                <w:b w:val="0"/>
                <w:color w:val="000000"/>
                <w:sz w:val="19"/>
              </w:rPr>
              <w:t>Concentration across categories, eras, assets, and grades.</w:t>
            </w:r>
          </w:p>
        </w:tc>
        <w:tc>
          <w:tcPr>
            <w:tcW w:type="dxa" w:w="3360"/>
            <w:vAlign w:val="center"/>
          </w:tcPr>
          <w:p>
            <w:pPr>
              <w:spacing w:before="0" w:after="0" w:line="264" w:lineRule="auto"/>
              <w:jc w:val="left"/>
            </w:pPr>
            <w:r/>
            <w:r>
              <w:rPr>
                <w:rFonts w:ascii="Calibri" w:hAnsi="Calibri"/>
                <w:b w:val="0"/>
                <w:color w:val="000000"/>
                <w:sz w:val="19"/>
              </w:rPr>
              <w:t>Reduce overexposure.</w:t>
            </w:r>
          </w:p>
        </w:tc>
      </w:tr>
      <w:tr>
        <w:trPr>
          <w:cantSplit/>
        </w:trPr>
        <w:tc>
          <w:tcPr>
            <w:tcW w:type="dxa" w:w="1900"/>
            <w:vAlign w:val="center"/>
          </w:tcPr>
          <w:p>
            <w:pPr>
              <w:spacing w:before="0" w:after="0" w:line="264" w:lineRule="auto"/>
              <w:jc w:val="left"/>
            </w:pPr>
            <w:r/>
            <w:r>
              <w:rPr>
                <w:rFonts w:ascii="Calibri" w:hAnsi="Calibri"/>
                <w:b/>
                <w:color w:val="0B2545"/>
                <w:sz w:val="19"/>
              </w:rPr>
              <w:t>Liquidity</w:t>
            </w:r>
          </w:p>
        </w:tc>
        <w:tc>
          <w:tcPr>
            <w:tcW w:type="dxa" w:w="4100"/>
            <w:vAlign w:val="center"/>
          </w:tcPr>
          <w:p>
            <w:pPr>
              <w:spacing w:before="0" w:after="0" w:line="264" w:lineRule="auto"/>
              <w:jc w:val="left"/>
            </w:pPr>
            <w:r/>
            <w:r>
              <w:rPr>
                <w:rFonts w:ascii="Calibri" w:hAnsi="Calibri"/>
                <w:b w:val="0"/>
                <w:color w:val="000000"/>
                <w:sz w:val="19"/>
              </w:rPr>
              <w:t>How easily holdings can be sold based on sales and listing activity.</w:t>
            </w:r>
          </w:p>
        </w:tc>
        <w:tc>
          <w:tcPr>
            <w:tcW w:type="dxa" w:w="3360"/>
            <w:vAlign w:val="center"/>
          </w:tcPr>
          <w:p>
            <w:pPr>
              <w:spacing w:before="0" w:after="0" w:line="264" w:lineRule="auto"/>
              <w:jc w:val="left"/>
            </w:pPr>
            <w:r/>
            <w:r>
              <w:rPr>
                <w:rFonts w:ascii="Calibri" w:hAnsi="Calibri"/>
                <w:b w:val="0"/>
                <w:color w:val="000000"/>
                <w:sz w:val="19"/>
              </w:rPr>
              <w:t>Decision support and risk.</w:t>
            </w:r>
          </w:p>
        </w:tc>
      </w:tr>
      <w:tr>
        <w:trPr>
          <w:cantSplit/>
        </w:trPr>
        <w:tc>
          <w:tcPr>
            <w:tcW w:type="dxa" w:w="1900"/>
            <w:vAlign w:val="center"/>
          </w:tcPr>
          <w:p>
            <w:pPr>
              <w:spacing w:before="0" w:after="0" w:line="264" w:lineRule="auto"/>
              <w:jc w:val="center"/>
            </w:pPr>
            <w:r/>
            <w:r>
              <w:rPr>
                <w:rFonts w:ascii="Calibri" w:hAnsi="Calibri"/>
                <w:b/>
                <w:color w:val="0B2545"/>
                <w:sz w:val="19"/>
              </w:rPr>
              <w:t>Risk</w:t>
            </w:r>
          </w:p>
        </w:tc>
        <w:tc>
          <w:tcPr>
            <w:tcW w:type="dxa" w:w="4100"/>
            <w:vAlign w:val="center"/>
          </w:tcPr>
          <w:p>
            <w:pPr>
              <w:spacing w:before="0" w:after="0" w:line="264" w:lineRule="auto"/>
              <w:jc w:val="left"/>
            </w:pPr>
            <w:r/>
            <w:r>
              <w:rPr>
                <w:rFonts w:ascii="Calibri" w:hAnsi="Calibri"/>
                <w:b w:val="0"/>
                <w:color w:val="000000"/>
                <w:sz w:val="19"/>
              </w:rPr>
              <w:t>Volatility, supply pressure, overextension, stale pricing, and concentration.</w:t>
            </w:r>
          </w:p>
        </w:tc>
        <w:tc>
          <w:tcPr>
            <w:tcW w:type="dxa" w:w="3360"/>
            <w:vAlign w:val="center"/>
          </w:tcPr>
          <w:p>
            <w:pPr>
              <w:spacing w:before="0" w:after="0" w:line="264" w:lineRule="auto"/>
              <w:jc w:val="left"/>
            </w:pPr>
            <w:r/>
            <w:r>
              <w:rPr>
                <w:rFonts w:ascii="Calibri" w:hAnsi="Calibri"/>
                <w:b w:val="0"/>
                <w:color w:val="000000"/>
                <w:sz w:val="19"/>
              </w:rPr>
              <w:t>Portfolio warnings.</w:t>
            </w:r>
          </w:p>
        </w:tc>
      </w:tr>
      <w:tr>
        <w:trPr>
          <w:cantSplit/>
        </w:trPr>
        <w:tc>
          <w:tcPr>
            <w:tcW w:type="dxa" w:w="1900"/>
            <w:vAlign w:val="center"/>
          </w:tcPr>
          <w:p>
            <w:pPr>
              <w:spacing w:before="0" w:after="0" w:line="264" w:lineRule="auto"/>
              <w:jc w:val="left"/>
            </w:pPr>
            <w:r/>
            <w:r>
              <w:rPr>
                <w:rFonts w:ascii="Calibri" w:hAnsi="Calibri"/>
                <w:b/>
                <w:color w:val="0B2545"/>
                <w:sz w:val="19"/>
              </w:rPr>
              <w:t>Watch Opportunities</w:t>
            </w:r>
          </w:p>
        </w:tc>
        <w:tc>
          <w:tcPr>
            <w:tcW w:type="dxa" w:w="4100"/>
            <w:vAlign w:val="center"/>
          </w:tcPr>
          <w:p>
            <w:pPr>
              <w:spacing w:before="0" w:after="0" w:line="264" w:lineRule="auto"/>
              <w:jc w:val="left"/>
            </w:pPr>
            <w:r/>
            <w:r>
              <w:rPr>
                <w:rFonts w:ascii="Calibri" w:hAnsi="Calibri"/>
                <w:b w:val="0"/>
                <w:color w:val="000000"/>
                <w:sz w:val="19"/>
              </w:rPr>
              <w:t>Assets related to holdings that deserve monitoring.</w:t>
            </w:r>
          </w:p>
        </w:tc>
        <w:tc>
          <w:tcPr>
            <w:tcW w:type="dxa" w:w="3360"/>
            <w:vAlign w:val="center"/>
          </w:tcPr>
          <w:p>
            <w:pPr>
              <w:spacing w:before="0" w:after="0" w:line="264" w:lineRule="auto"/>
              <w:jc w:val="left"/>
            </w:pPr>
            <w:r/>
            <w:r>
              <w:rPr>
                <w:rFonts w:ascii="Calibri" w:hAnsi="Calibri"/>
                <w:b w:val="0"/>
                <w:color w:val="000000"/>
                <w:sz w:val="19"/>
              </w:rPr>
              <w:t>Next-step intelligence.</w:t>
            </w:r>
          </w:p>
        </w:tc>
      </w:tr>
    </w:tbl>
    <w:p>
      <w:pPr>
        <w:spacing w:after="40"/>
      </w:pPr>
    </w:p>
    <w:p>
      <w:pPr>
        <w:pStyle w:val="Heading2"/>
      </w:pPr>
      <w:r>
        <w:t>11.3 Decision Center</w:t>
      </w:r>
    </w:p>
    <w:p>
      <w:r>
        <w:rPr>
          <w:rFonts w:ascii="Calibri" w:hAnsi="Calibri"/>
        </w:rPr>
        <w:t>The Decision Center should provide evidence-based labels such as Buy, Hold, Watch, Avoid, and Reduce Risk. These labels must be carefully controlled and always include evidence, risk, and confidence.</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600"/>
        <w:gridCol w:w="3760"/>
        <w:gridCol w:w="4000"/>
      </w:tblGrid>
      <w:tr>
        <w:trPr>
          <w:tblHeader w:val="true"/>
          <w:cantSplit/>
        </w:trPr>
        <w:tc>
          <w:tcPr>
            <w:tcW w:type="dxa" w:w="1600"/>
            <w:shd w:fill="F2F4F7"/>
            <w:vAlign w:val="center"/>
          </w:tcPr>
          <w:p>
            <w:pPr>
              <w:spacing w:before="0" w:after="0" w:line="264" w:lineRule="auto"/>
              <w:jc w:val="center"/>
            </w:pPr>
            <w:r/>
            <w:r>
              <w:rPr>
                <w:rFonts w:ascii="Calibri" w:hAnsi="Calibri"/>
                <w:b/>
                <w:color w:val="0B2545"/>
                <w:sz w:val="20"/>
              </w:rPr>
              <w:t>Label</w:t>
            </w:r>
          </w:p>
        </w:tc>
        <w:tc>
          <w:tcPr>
            <w:tcW w:type="dxa" w:w="3760"/>
            <w:shd w:fill="F2F4F7"/>
            <w:vAlign w:val="center"/>
          </w:tcPr>
          <w:p>
            <w:pPr>
              <w:spacing w:before="0" w:after="0" w:line="264" w:lineRule="auto"/>
              <w:jc w:val="center"/>
            </w:pPr>
            <w:r/>
            <w:r>
              <w:rPr>
                <w:rFonts w:ascii="Calibri" w:hAnsi="Calibri"/>
                <w:b/>
                <w:color w:val="0B2545"/>
                <w:sz w:val="20"/>
              </w:rPr>
              <w:t>Meaning</w:t>
            </w:r>
          </w:p>
        </w:tc>
        <w:tc>
          <w:tcPr>
            <w:tcW w:type="dxa" w:w="4000"/>
            <w:shd w:fill="F2F4F7"/>
            <w:vAlign w:val="center"/>
          </w:tcPr>
          <w:p>
            <w:pPr>
              <w:spacing w:before="0" w:after="0" w:line="264" w:lineRule="auto"/>
              <w:jc w:val="center"/>
            </w:pPr>
            <w:r/>
            <w:r>
              <w:rPr>
                <w:rFonts w:ascii="Calibri" w:hAnsi="Calibri"/>
                <w:b/>
                <w:color w:val="0B2545"/>
                <w:sz w:val="20"/>
              </w:rPr>
              <w:t>Required Evidence</w:t>
            </w:r>
          </w:p>
        </w:tc>
      </w:tr>
      <w:tr>
        <w:trPr>
          <w:cantSplit/>
        </w:trPr>
        <w:tc>
          <w:tcPr>
            <w:tcW w:type="dxa" w:w="1600"/>
            <w:vAlign w:val="center"/>
          </w:tcPr>
          <w:p>
            <w:pPr>
              <w:spacing w:before="0" w:after="0" w:line="264" w:lineRule="auto"/>
              <w:jc w:val="center"/>
            </w:pPr>
            <w:r/>
            <w:r>
              <w:rPr>
                <w:rFonts w:ascii="Calibri" w:hAnsi="Calibri"/>
                <w:b/>
                <w:color w:val="0B2545"/>
                <w:sz w:val="19"/>
              </w:rPr>
              <w:t>Buy</w:t>
            </w:r>
          </w:p>
        </w:tc>
        <w:tc>
          <w:tcPr>
            <w:tcW w:type="dxa" w:w="3760"/>
            <w:vAlign w:val="center"/>
          </w:tcPr>
          <w:p>
            <w:pPr>
              <w:spacing w:before="0" w:after="0" w:line="264" w:lineRule="auto"/>
              <w:jc w:val="left"/>
            </w:pPr>
            <w:r/>
            <w:r>
              <w:rPr>
                <w:rFonts w:ascii="Calibri" w:hAnsi="Calibri"/>
                <w:b w:val="0"/>
                <w:color w:val="000000"/>
                <w:sz w:val="19"/>
              </w:rPr>
              <w:t>Evidence suggests attractive entry relative to risk.</w:t>
            </w:r>
          </w:p>
        </w:tc>
        <w:tc>
          <w:tcPr>
            <w:tcW w:type="dxa" w:w="4000"/>
            <w:vAlign w:val="center"/>
          </w:tcPr>
          <w:p>
            <w:pPr>
              <w:spacing w:before="0" w:after="0" w:line="264" w:lineRule="auto"/>
              <w:jc w:val="left"/>
            </w:pPr>
            <w:r/>
            <w:r>
              <w:rPr>
                <w:rFonts w:ascii="Calibri" w:hAnsi="Calibri"/>
                <w:b w:val="0"/>
                <w:color w:val="000000"/>
                <w:sz w:val="19"/>
              </w:rPr>
              <w:t>Strong comps, liquidity, catalyst support, and acceptable risk.</w:t>
            </w:r>
          </w:p>
        </w:tc>
      </w:tr>
      <w:tr>
        <w:trPr>
          <w:cantSplit/>
        </w:trPr>
        <w:tc>
          <w:tcPr>
            <w:tcW w:type="dxa" w:w="1600"/>
            <w:vAlign w:val="center"/>
          </w:tcPr>
          <w:p>
            <w:pPr>
              <w:spacing w:before="0" w:after="0" w:line="264" w:lineRule="auto"/>
              <w:jc w:val="center"/>
            </w:pPr>
            <w:r/>
            <w:r>
              <w:rPr>
                <w:rFonts w:ascii="Calibri" w:hAnsi="Calibri"/>
                <w:b/>
                <w:color w:val="0B2545"/>
                <w:sz w:val="19"/>
              </w:rPr>
              <w:t>Hold</w:t>
            </w:r>
          </w:p>
        </w:tc>
        <w:tc>
          <w:tcPr>
            <w:tcW w:type="dxa" w:w="3760"/>
            <w:vAlign w:val="center"/>
          </w:tcPr>
          <w:p>
            <w:pPr>
              <w:spacing w:before="0" w:after="0" w:line="264" w:lineRule="auto"/>
              <w:jc w:val="left"/>
            </w:pPr>
            <w:r/>
            <w:r>
              <w:rPr>
                <w:rFonts w:ascii="Calibri" w:hAnsi="Calibri"/>
                <w:b w:val="0"/>
                <w:color w:val="000000"/>
                <w:sz w:val="19"/>
              </w:rPr>
              <w:t>Position remains supported but action is not urgent.</w:t>
            </w:r>
          </w:p>
        </w:tc>
        <w:tc>
          <w:tcPr>
            <w:tcW w:type="dxa" w:w="4000"/>
            <w:vAlign w:val="center"/>
          </w:tcPr>
          <w:p>
            <w:pPr>
              <w:spacing w:before="0" w:after="0" w:line="264" w:lineRule="auto"/>
              <w:jc w:val="left"/>
            </w:pPr>
            <w:r/>
            <w:r>
              <w:rPr>
                <w:rFonts w:ascii="Calibri" w:hAnsi="Calibri"/>
                <w:b w:val="0"/>
                <w:color w:val="000000"/>
                <w:sz w:val="19"/>
              </w:rPr>
              <w:t>Stable valuation, adequate confidence, no major risk flag.</w:t>
            </w:r>
          </w:p>
        </w:tc>
      </w:tr>
      <w:tr>
        <w:trPr>
          <w:cantSplit/>
        </w:trPr>
        <w:tc>
          <w:tcPr>
            <w:tcW w:type="dxa" w:w="1600"/>
            <w:vAlign w:val="center"/>
          </w:tcPr>
          <w:p>
            <w:pPr>
              <w:spacing w:before="0" w:after="0" w:line="264" w:lineRule="auto"/>
              <w:jc w:val="left"/>
            </w:pPr>
            <w:r/>
            <w:r>
              <w:rPr>
                <w:rFonts w:ascii="Calibri" w:hAnsi="Calibri"/>
                <w:b/>
                <w:color w:val="0B2545"/>
                <w:sz w:val="19"/>
              </w:rPr>
              <w:t>Watch</w:t>
            </w:r>
          </w:p>
        </w:tc>
        <w:tc>
          <w:tcPr>
            <w:tcW w:type="dxa" w:w="3760"/>
            <w:vAlign w:val="center"/>
          </w:tcPr>
          <w:p>
            <w:pPr>
              <w:spacing w:before="0" w:after="0" w:line="264" w:lineRule="auto"/>
              <w:jc w:val="left"/>
            </w:pPr>
            <w:r/>
            <w:r>
              <w:rPr>
                <w:rFonts w:ascii="Calibri" w:hAnsi="Calibri"/>
                <w:b w:val="0"/>
                <w:color w:val="000000"/>
                <w:sz w:val="19"/>
              </w:rPr>
              <w:t>Interesting setup but evidence is not strong enough.</w:t>
            </w:r>
          </w:p>
        </w:tc>
        <w:tc>
          <w:tcPr>
            <w:tcW w:type="dxa" w:w="4000"/>
            <w:vAlign w:val="center"/>
          </w:tcPr>
          <w:p>
            <w:pPr>
              <w:spacing w:before="0" w:after="0" w:line="264" w:lineRule="auto"/>
              <w:jc w:val="left"/>
            </w:pPr>
            <w:r/>
            <w:r>
              <w:rPr>
                <w:rFonts w:ascii="Calibri" w:hAnsi="Calibri"/>
                <w:b w:val="0"/>
                <w:color w:val="000000"/>
                <w:sz w:val="19"/>
              </w:rPr>
              <w:t>Medium confidence, early catalyst, or developing signal.</w:t>
            </w:r>
          </w:p>
        </w:tc>
      </w:tr>
      <w:tr>
        <w:trPr>
          <w:cantSplit/>
        </w:trPr>
        <w:tc>
          <w:tcPr>
            <w:tcW w:type="dxa" w:w="1600"/>
            <w:vAlign w:val="center"/>
          </w:tcPr>
          <w:p>
            <w:pPr>
              <w:spacing w:before="0" w:after="0" w:line="264" w:lineRule="auto"/>
              <w:jc w:val="left"/>
            </w:pPr>
            <w:r/>
            <w:r>
              <w:rPr>
                <w:rFonts w:ascii="Calibri" w:hAnsi="Calibri"/>
                <w:b/>
                <w:color w:val="0B2545"/>
                <w:sz w:val="19"/>
              </w:rPr>
              <w:t>Avoid</w:t>
            </w:r>
          </w:p>
        </w:tc>
        <w:tc>
          <w:tcPr>
            <w:tcW w:type="dxa" w:w="3760"/>
            <w:vAlign w:val="center"/>
          </w:tcPr>
          <w:p>
            <w:pPr>
              <w:spacing w:before="0" w:after="0" w:line="264" w:lineRule="auto"/>
              <w:jc w:val="left"/>
            </w:pPr>
            <w:r/>
            <w:r>
              <w:rPr>
                <w:rFonts w:ascii="Calibri" w:hAnsi="Calibri"/>
                <w:b w:val="0"/>
                <w:color w:val="000000"/>
                <w:sz w:val="19"/>
              </w:rPr>
              <w:t>Risk outweighs evidence of opportunity.</w:t>
            </w:r>
          </w:p>
        </w:tc>
        <w:tc>
          <w:tcPr>
            <w:tcW w:type="dxa" w:w="4000"/>
            <w:vAlign w:val="center"/>
          </w:tcPr>
          <w:p>
            <w:pPr>
              <w:spacing w:before="0" w:after="0" w:line="264" w:lineRule="auto"/>
              <w:jc w:val="left"/>
            </w:pPr>
            <w:r/>
            <w:r>
              <w:rPr>
                <w:rFonts w:ascii="Calibri" w:hAnsi="Calibri"/>
                <w:b w:val="0"/>
                <w:color w:val="000000"/>
                <w:sz w:val="19"/>
              </w:rPr>
              <w:t>Overextension, weak liquidity, supply risk, or fake rally signal.</w:t>
            </w:r>
          </w:p>
        </w:tc>
      </w:tr>
      <w:tr>
        <w:trPr>
          <w:cantSplit/>
        </w:trPr>
        <w:tc>
          <w:tcPr>
            <w:tcW w:type="dxa" w:w="1600"/>
            <w:vAlign w:val="center"/>
          </w:tcPr>
          <w:p>
            <w:pPr>
              <w:spacing w:before="0" w:after="0" w:line="264" w:lineRule="auto"/>
              <w:jc w:val="left"/>
            </w:pPr>
            <w:r/>
            <w:r>
              <w:rPr>
                <w:rFonts w:ascii="Calibri" w:hAnsi="Calibri"/>
                <w:b/>
                <w:color w:val="0B2545"/>
                <w:sz w:val="19"/>
              </w:rPr>
              <w:t>Reduce Risk</w:t>
            </w:r>
          </w:p>
        </w:tc>
        <w:tc>
          <w:tcPr>
            <w:tcW w:type="dxa" w:w="3760"/>
            <w:vAlign w:val="center"/>
          </w:tcPr>
          <w:p>
            <w:pPr>
              <w:spacing w:before="0" w:after="0" w:line="264" w:lineRule="auto"/>
              <w:jc w:val="left"/>
            </w:pPr>
            <w:r/>
            <w:r>
              <w:rPr>
                <w:rFonts w:ascii="Calibri" w:hAnsi="Calibri"/>
                <w:b w:val="0"/>
                <w:color w:val="000000"/>
                <w:sz w:val="19"/>
              </w:rPr>
              <w:t>Portfolio concentration or asset-specific risk is elevated.</w:t>
            </w:r>
          </w:p>
        </w:tc>
        <w:tc>
          <w:tcPr>
            <w:tcW w:type="dxa" w:w="4000"/>
            <w:vAlign w:val="center"/>
          </w:tcPr>
          <w:p>
            <w:pPr>
              <w:spacing w:before="0" w:after="0" w:line="264" w:lineRule="auto"/>
              <w:jc w:val="left"/>
            </w:pPr>
            <w:r/>
            <w:r>
              <w:rPr>
                <w:rFonts w:ascii="Calibri" w:hAnsi="Calibri"/>
                <w:b w:val="0"/>
                <w:color w:val="000000"/>
                <w:sz w:val="19"/>
              </w:rPr>
              <w:t>Concentration, volatility, or liquidity deterioration.</w:t>
            </w:r>
          </w:p>
        </w:tc>
      </w:tr>
    </w:tbl>
    <w:p>
      <w:pPr>
        <w:spacing w:after="40"/>
      </w:pPr>
    </w:p>
    <w:p>
      <w:pPr>
        <w:pStyle w:val="Heading2"/>
      </w:pPr>
      <w:r>
        <w:t>11.4 Portfolio Acceptance Criteria</w:t>
      </w:r>
    </w:p>
    <w:p>
      <w:pPr>
        <w:pStyle w:val="ListBullet"/>
        <w:spacing w:after="40" w:line="280" w:lineRule="auto"/>
        <w:ind w:left="720" w:hanging="360"/>
      </w:pPr>
      <w:r>
        <w:rPr>
          <w:rFonts w:ascii="Calibri" w:hAnsi="Calibri"/>
          <w:sz w:val="22"/>
        </w:rPr>
        <w:t>Users can add, edit, and remove holdings without losing valuation history.</w:t>
      </w:r>
    </w:p>
    <w:p>
      <w:pPr>
        <w:pStyle w:val="ListBullet"/>
        <w:spacing w:after="40" w:line="280" w:lineRule="auto"/>
        <w:ind w:left="720" w:hanging="360"/>
      </w:pPr>
      <w:r>
        <w:rPr>
          <w:rFonts w:ascii="Calibri" w:hAnsi="Calibri"/>
          <w:sz w:val="22"/>
        </w:rPr>
        <w:t>Portfolio valuation shows confidence and missing-price states.</w:t>
      </w:r>
    </w:p>
    <w:p>
      <w:pPr>
        <w:pStyle w:val="ListBullet"/>
        <w:spacing w:after="40" w:line="280" w:lineRule="auto"/>
        <w:ind w:left="720" w:hanging="360"/>
      </w:pPr>
      <w:r>
        <w:rPr>
          <w:rFonts w:ascii="Calibri" w:hAnsi="Calibri"/>
          <w:sz w:val="22"/>
        </w:rPr>
        <w:t>Portfolio intelligence explains concentration, liquidity, and risk.</w:t>
      </w:r>
    </w:p>
    <w:p>
      <w:pPr>
        <w:pStyle w:val="ListBullet"/>
        <w:spacing w:after="40" w:line="280" w:lineRule="auto"/>
        <w:ind w:left="720" w:hanging="360"/>
      </w:pPr>
      <w:r>
        <w:rPr>
          <w:rFonts w:ascii="Calibri" w:hAnsi="Calibri"/>
          <w:sz w:val="22"/>
        </w:rPr>
        <w:t>Decision labels include evidence and never appear without confidence.</w:t>
      </w:r>
    </w:p>
    <w:p>
      <w:pPr>
        <w:pStyle w:val="ListBullet"/>
        <w:spacing w:after="40" w:line="280" w:lineRule="auto"/>
        <w:ind w:left="720" w:hanging="360"/>
      </w:pPr>
      <w:r>
        <w:rPr>
          <w:rFonts w:ascii="Calibri" w:hAnsi="Calibri"/>
          <w:sz w:val="22"/>
        </w:rPr>
        <w:t>Watchlist and portfolio alerts share a consistent notification system.</w:t>
      </w:r>
    </w:p>
    <w:p>
      <w:pPr>
        <w:pStyle w:val="Heading1"/>
      </w:pPr>
      <w:r>
        <w:t>Chapter 12: Codex Execution Plan</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Execution goal: </w:t>
            </w:r>
            <w:r>
              <w:rPr>
                <w:rFonts w:ascii="Calibri" w:hAnsi="Calibri"/>
                <w:color w:val="0B2545"/>
                <w:sz w:val="21"/>
              </w:rPr>
              <w:t>Give Codex a practical build order that turns the Product Bible into working software without guessing product intent.</w:t>
            </w:r>
          </w:p>
        </w:tc>
      </w:tr>
    </w:tbl>
    <w:p>
      <w:pPr>
        <w:spacing w:after="40"/>
      </w:pPr>
    </w:p>
    <w:p>
      <w:pPr>
        <w:pStyle w:val="Heading2"/>
      </w:pPr>
      <w:r>
        <w:t>12.1 Development Phases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500"/>
        <w:gridCol w:w="4210"/>
        <w:gridCol w:w="3650"/>
      </w:tblGrid>
      <w:tr>
        <w:trPr>
          <w:tblHeader w:val="true"/>
          <w:cantSplit/>
        </w:trPr>
        <w:tc>
          <w:tcPr>
            <w:tcW w:type="dxa" w:w="1500"/>
            <w:shd w:fill="F2F4F7"/>
            <w:vAlign w:val="center"/>
          </w:tcPr>
          <w:p>
            <w:pPr>
              <w:spacing w:before="0" w:after="0" w:line="264" w:lineRule="auto"/>
              <w:jc w:val="center"/>
            </w:pPr>
            <w:r/>
            <w:r>
              <w:rPr>
                <w:rFonts w:ascii="Calibri" w:hAnsi="Calibri"/>
                <w:b/>
                <w:color w:val="0B2545"/>
                <w:sz w:val="20"/>
              </w:rPr>
              <w:t>Phase</w:t>
            </w:r>
          </w:p>
        </w:tc>
        <w:tc>
          <w:tcPr>
            <w:tcW w:type="dxa" w:w="4210"/>
            <w:shd w:fill="F2F4F7"/>
            <w:vAlign w:val="center"/>
          </w:tcPr>
          <w:p>
            <w:pPr>
              <w:spacing w:before="0" w:after="0" w:line="264" w:lineRule="auto"/>
              <w:jc w:val="center"/>
            </w:pPr>
            <w:r/>
            <w:r>
              <w:rPr>
                <w:rFonts w:ascii="Calibri" w:hAnsi="Calibri"/>
                <w:b/>
                <w:color w:val="0B2545"/>
                <w:sz w:val="20"/>
              </w:rPr>
              <w:t>Scope</w:t>
            </w:r>
          </w:p>
        </w:tc>
        <w:tc>
          <w:tcPr>
            <w:tcW w:type="dxa" w:w="3650"/>
            <w:shd w:fill="F2F4F7"/>
            <w:vAlign w:val="center"/>
          </w:tcPr>
          <w:p>
            <w:pPr>
              <w:spacing w:before="0" w:after="0" w:line="264" w:lineRule="auto"/>
              <w:jc w:val="center"/>
            </w:pPr>
            <w:r/>
            <w:r>
              <w:rPr>
                <w:rFonts w:ascii="Calibri" w:hAnsi="Calibri"/>
                <w:b/>
                <w:color w:val="0B2545"/>
                <w:sz w:val="20"/>
              </w:rPr>
              <w:t>Definition of Done</w:t>
            </w:r>
          </w:p>
        </w:tc>
      </w:tr>
      <w:tr>
        <w:trPr>
          <w:cantSplit/>
        </w:trPr>
        <w:tc>
          <w:tcPr>
            <w:tcW w:type="dxa" w:w="1500"/>
            <w:vAlign w:val="center"/>
          </w:tcPr>
          <w:p>
            <w:pPr>
              <w:spacing w:before="0" w:after="0" w:line="264" w:lineRule="auto"/>
              <w:jc w:val="left"/>
            </w:pPr>
            <w:r/>
            <w:r>
              <w:rPr>
                <w:rFonts w:ascii="Calibri" w:hAnsi="Calibri"/>
                <w:b/>
                <w:color w:val="0B2545"/>
                <w:sz w:val="19"/>
              </w:rPr>
              <w:t>Phase 1</w:t>
            </w:r>
          </w:p>
        </w:tc>
        <w:tc>
          <w:tcPr>
            <w:tcW w:type="dxa" w:w="4210"/>
            <w:vAlign w:val="center"/>
          </w:tcPr>
          <w:p>
            <w:pPr>
              <w:spacing w:before="0" w:after="0" w:line="264" w:lineRule="auto"/>
              <w:jc w:val="left"/>
            </w:pPr>
            <w:r/>
            <w:r>
              <w:rPr>
                <w:rFonts w:ascii="Calibri" w:hAnsi="Calibri"/>
                <w:b w:val="0"/>
                <w:color w:val="000000"/>
                <w:sz w:val="19"/>
              </w:rPr>
              <w:t>Foundation: catalog, assets, observations, price snapshots, basic dashboard.</w:t>
            </w:r>
          </w:p>
        </w:tc>
        <w:tc>
          <w:tcPr>
            <w:tcW w:type="dxa" w:w="3650"/>
            <w:vAlign w:val="center"/>
          </w:tcPr>
          <w:p>
            <w:pPr>
              <w:spacing w:before="0" w:after="0" w:line="264" w:lineRule="auto"/>
              <w:jc w:val="left"/>
            </w:pPr>
            <w:r/>
            <w:r>
              <w:rPr>
                <w:rFonts w:ascii="Calibri" w:hAnsi="Calibri"/>
                <w:b w:val="0"/>
                <w:color w:val="000000"/>
                <w:sz w:val="19"/>
              </w:rPr>
              <w:t>Users can search assets and see trusted price history.</w:t>
            </w:r>
          </w:p>
        </w:tc>
      </w:tr>
      <w:tr>
        <w:trPr>
          <w:cantSplit/>
        </w:trPr>
        <w:tc>
          <w:tcPr>
            <w:tcW w:type="dxa" w:w="1500"/>
            <w:vAlign w:val="center"/>
          </w:tcPr>
          <w:p>
            <w:pPr>
              <w:spacing w:before="0" w:after="0" w:line="264" w:lineRule="auto"/>
              <w:jc w:val="left"/>
            </w:pPr>
            <w:r/>
            <w:r>
              <w:rPr>
                <w:rFonts w:ascii="Calibri" w:hAnsi="Calibri"/>
                <w:b/>
                <w:color w:val="0B2545"/>
                <w:sz w:val="19"/>
              </w:rPr>
              <w:t>Phase 2</w:t>
            </w:r>
          </w:p>
        </w:tc>
        <w:tc>
          <w:tcPr>
            <w:tcW w:type="dxa" w:w="4210"/>
            <w:vAlign w:val="center"/>
          </w:tcPr>
          <w:p>
            <w:pPr>
              <w:spacing w:before="0" w:after="0" w:line="264" w:lineRule="auto"/>
              <w:jc w:val="left"/>
            </w:pPr>
            <w:r/>
            <w:r>
              <w:rPr>
                <w:rFonts w:ascii="Calibri" w:hAnsi="Calibri"/>
                <w:b w:val="0"/>
                <w:color w:val="000000"/>
                <w:sz w:val="19"/>
              </w:rPr>
              <w:t>Market intelligence: signals, catalysts, confidence, evidence bundles.</w:t>
            </w:r>
          </w:p>
        </w:tc>
        <w:tc>
          <w:tcPr>
            <w:tcW w:type="dxa" w:w="3650"/>
            <w:vAlign w:val="center"/>
          </w:tcPr>
          <w:p>
            <w:pPr>
              <w:spacing w:before="0" w:after="0" w:line="264" w:lineRule="auto"/>
              <w:jc w:val="left"/>
            </w:pPr>
            <w:r/>
            <w:r>
              <w:rPr>
                <w:rFonts w:ascii="Calibri" w:hAnsi="Calibri"/>
                <w:b w:val="0"/>
                <w:color w:val="000000"/>
                <w:sz w:val="19"/>
              </w:rPr>
              <w:t>Movers and signals are evidence-backed and testable.</w:t>
            </w:r>
          </w:p>
        </w:tc>
      </w:tr>
      <w:tr>
        <w:trPr>
          <w:cantSplit/>
        </w:trPr>
        <w:tc>
          <w:tcPr>
            <w:tcW w:type="dxa" w:w="1500"/>
            <w:vAlign w:val="center"/>
          </w:tcPr>
          <w:p>
            <w:pPr>
              <w:spacing w:before="0" w:after="0" w:line="264" w:lineRule="auto"/>
              <w:jc w:val="left"/>
            </w:pPr>
            <w:r/>
            <w:r>
              <w:rPr>
                <w:rFonts w:ascii="Calibri" w:hAnsi="Calibri"/>
                <w:b/>
                <w:color w:val="0B2545"/>
                <w:sz w:val="19"/>
              </w:rPr>
              <w:t>Phase 3</w:t>
            </w:r>
          </w:p>
        </w:tc>
        <w:tc>
          <w:tcPr>
            <w:tcW w:type="dxa" w:w="4210"/>
            <w:vAlign w:val="center"/>
          </w:tcPr>
          <w:p>
            <w:pPr>
              <w:spacing w:before="0" w:after="0" w:line="264" w:lineRule="auto"/>
              <w:jc w:val="left"/>
            </w:pPr>
            <w:r/>
            <w:r>
              <w:rPr>
                <w:rFonts w:ascii="Calibri" w:hAnsi="Calibri"/>
                <w:b w:val="0"/>
                <w:color w:val="000000"/>
                <w:sz w:val="19"/>
              </w:rPr>
              <w:t>AI: explanations, daily report, why-did-it-move, risk summaries.</w:t>
            </w:r>
          </w:p>
        </w:tc>
        <w:tc>
          <w:tcPr>
            <w:tcW w:type="dxa" w:w="3650"/>
            <w:vAlign w:val="center"/>
          </w:tcPr>
          <w:p>
            <w:pPr>
              <w:spacing w:before="0" w:after="0" w:line="264" w:lineRule="auto"/>
              <w:jc w:val="left"/>
            </w:pPr>
            <w:r/>
            <w:r>
              <w:rPr>
                <w:rFonts w:ascii="Calibri" w:hAnsi="Calibri"/>
                <w:b w:val="0"/>
                <w:color w:val="000000"/>
                <w:sz w:val="19"/>
              </w:rPr>
              <w:t>AI outputs are stored with evidence and confidence.</w:t>
            </w:r>
          </w:p>
        </w:tc>
      </w:tr>
      <w:tr>
        <w:trPr>
          <w:cantSplit/>
        </w:trPr>
        <w:tc>
          <w:tcPr>
            <w:tcW w:type="dxa" w:w="1500"/>
            <w:vAlign w:val="center"/>
          </w:tcPr>
          <w:p>
            <w:pPr>
              <w:spacing w:before="0" w:after="0" w:line="264" w:lineRule="auto"/>
              <w:jc w:val="left"/>
            </w:pPr>
            <w:r/>
            <w:r>
              <w:rPr>
                <w:rFonts w:ascii="Calibri" w:hAnsi="Calibri"/>
                <w:b/>
                <w:color w:val="0B2545"/>
                <w:sz w:val="19"/>
              </w:rPr>
              <w:t>Phase 4</w:t>
            </w:r>
          </w:p>
        </w:tc>
        <w:tc>
          <w:tcPr>
            <w:tcW w:type="dxa" w:w="4210"/>
            <w:vAlign w:val="center"/>
          </w:tcPr>
          <w:p>
            <w:pPr>
              <w:spacing w:before="0" w:after="0" w:line="264" w:lineRule="auto"/>
              <w:jc w:val="left"/>
            </w:pPr>
            <w:r/>
            <w:r>
              <w:rPr>
                <w:rFonts w:ascii="Calibri" w:hAnsi="Calibri"/>
                <w:b w:val="0"/>
                <w:color w:val="000000"/>
                <w:sz w:val="19"/>
              </w:rPr>
              <w:t>Portfolio: holdings, valuation, risk, alerts, Decision Center.</w:t>
            </w:r>
          </w:p>
        </w:tc>
        <w:tc>
          <w:tcPr>
            <w:tcW w:type="dxa" w:w="3650"/>
            <w:vAlign w:val="center"/>
          </w:tcPr>
          <w:p>
            <w:pPr>
              <w:spacing w:before="0" w:after="0" w:line="264" w:lineRule="auto"/>
              <w:jc w:val="left"/>
            </w:pPr>
            <w:r/>
            <w:r>
              <w:rPr>
                <w:rFonts w:ascii="Calibri" w:hAnsi="Calibri"/>
                <w:b w:val="0"/>
                <w:color w:val="000000"/>
                <w:sz w:val="19"/>
              </w:rPr>
              <w:t>Users can manage collections and understand portfolio health.</w:t>
            </w:r>
          </w:p>
        </w:tc>
      </w:tr>
      <w:tr>
        <w:trPr>
          <w:cantSplit/>
        </w:trPr>
        <w:tc>
          <w:tcPr>
            <w:tcW w:type="dxa" w:w="1500"/>
            <w:vAlign w:val="center"/>
          </w:tcPr>
          <w:p>
            <w:pPr>
              <w:spacing w:before="0" w:after="0" w:line="264" w:lineRule="auto"/>
              <w:jc w:val="left"/>
            </w:pPr>
            <w:r/>
            <w:r>
              <w:rPr>
                <w:rFonts w:ascii="Calibri" w:hAnsi="Calibri"/>
                <w:b/>
                <w:color w:val="0B2545"/>
                <w:sz w:val="19"/>
              </w:rPr>
              <w:t>Phase 5</w:t>
            </w:r>
          </w:p>
        </w:tc>
        <w:tc>
          <w:tcPr>
            <w:tcW w:type="dxa" w:w="4210"/>
            <w:vAlign w:val="center"/>
          </w:tcPr>
          <w:p>
            <w:pPr>
              <w:spacing w:before="0" w:after="0" w:line="264" w:lineRule="auto"/>
              <w:jc w:val="left"/>
            </w:pPr>
            <w:r/>
            <w:r>
              <w:rPr>
                <w:rFonts w:ascii="Calibri" w:hAnsi="Calibri"/>
                <w:b w:val="0"/>
                <w:color w:val="000000"/>
                <w:sz w:val="19"/>
              </w:rPr>
              <w:t>Expansion: enterprise API, multi-category scale, advanced indexes.</w:t>
            </w:r>
          </w:p>
        </w:tc>
        <w:tc>
          <w:tcPr>
            <w:tcW w:type="dxa" w:w="3650"/>
            <w:vAlign w:val="center"/>
          </w:tcPr>
          <w:p>
            <w:pPr>
              <w:spacing w:before="0" w:after="0" w:line="264" w:lineRule="auto"/>
              <w:jc w:val="left"/>
            </w:pPr>
            <w:r/>
            <w:r>
              <w:rPr>
                <w:rFonts w:ascii="Calibri" w:hAnsi="Calibri"/>
                <w:b w:val="0"/>
                <w:color w:val="000000"/>
                <w:sz w:val="19"/>
              </w:rPr>
              <w:t>Platform supports commercial data access and category growth.</w:t>
            </w:r>
          </w:p>
        </w:tc>
      </w:tr>
    </w:tbl>
    <w:p>
      <w:pPr>
        <w:spacing w:after="40"/>
      </w:pPr>
    </w:p>
    <w:p>
      <w:pPr>
        <w:pStyle w:val="Heading2"/>
      </w:pPr>
      <w:r>
        <w:t>12.2 Codex Build Rules</w:t>
      </w:r>
    </w:p>
    <w:p>
      <w:pPr>
        <w:pStyle w:val="ListBullet"/>
        <w:spacing w:after="40" w:line="280" w:lineRule="auto"/>
        <w:ind w:left="720" w:hanging="360"/>
      </w:pPr>
      <w:r>
        <w:rPr>
          <w:rFonts w:ascii="Calibri" w:hAnsi="Calibri"/>
          <w:sz w:val="22"/>
        </w:rPr>
        <w:t>Read the Product Bible before implementing a module.</w:t>
      </w:r>
    </w:p>
    <w:p>
      <w:pPr>
        <w:pStyle w:val="ListBullet"/>
        <w:spacing w:after="40" w:line="280" w:lineRule="auto"/>
        <w:ind w:left="720" w:hanging="360"/>
      </w:pPr>
      <w:r>
        <w:rPr>
          <w:rFonts w:ascii="Calibri" w:hAnsi="Calibri"/>
          <w:sz w:val="22"/>
        </w:rPr>
        <w:t>Implement one module at a time and keep changes scoped.</w:t>
      </w:r>
    </w:p>
    <w:p>
      <w:pPr>
        <w:pStyle w:val="ListBullet"/>
        <w:spacing w:after="40" w:line="280" w:lineRule="auto"/>
        <w:ind w:left="720" w:hanging="360"/>
      </w:pPr>
      <w:r>
        <w:rPr>
          <w:rFonts w:ascii="Calibri" w:hAnsi="Calibri"/>
          <w:sz w:val="22"/>
        </w:rPr>
        <w:t>Prefer existing patterns in the repository over new abstractions.</w:t>
      </w:r>
    </w:p>
    <w:p>
      <w:pPr>
        <w:pStyle w:val="ListBullet"/>
        <w:spacing w:after="40" w:line="280" w:lineRule="auto"/>
        <w:ind w:left="720" w:hanging="360"/>
      </w:pPr>
      <w:r>
        <w:rPr>
          <w:rFonts w:ascii="Calibri" w:hAnsi="Calibri"/>
          <w:sz w:val="22"/>
        </w:rPr>
        <w:t>Add tests for market calculations, signal rules, API contracts, and AI guardrails.</w:t>
      </w:r>
    </w:p>
    <w:p>
      <w:pPr>
        <w:pStyle w:val="ListBullet"/>
        <w:spacing w:after="40" w:line="280" w:lineRule="auto"/>
        <w:ind w:left="720" w:hanging="360"/>
      </w:pPr>
      <w:r>
        <w:rPr>
          <w:rFonts w:ascii="Calibri" w:hAnsi="Calibri"/>
          <w:sz w:val="22"/>
        </w:rPr>
        <w:t>Do not invent provider data or hardcode market values.</w:t>
      </w:r>
    </w:p>
    <w:p>
      <w:pPr>
        <w:pStyle w:val="ListBullet"/>
        <w:spacing w:after="40" w:line="280" w:lineRule="auto"/>
        <w:ind w:left="720" w:hanging="360"/>
      </w:pPr>
      <w:r>
        <w:rPr>
          <w:rFonts w:ascii="Calibri" w:hAnsi="Calibri"/>
          <w:sz w:val="22"/>
        </w:rPr>
        <w:t>When real provider access is unavailable, build typed fixtures and clearly labeled mock adapters.</w:t>
      </w:r>
    </w:p>
    <w:p>
      <w:pPr>
        <w:pStyle w:val="Heading2"/>
      </w:pPr>
      <w:r>
        <w:t>12.3 First Codex Tasks</w:t>
      </w:r>
    </w:p>
    <w:p>
      <w:pPr>
        <w:numPr>
          <w:ilvl w:val="0"/>
          <w:numId w:val="16"/>
        </w:numPr>
        <w:spacing w:after="40" w:line="280" w:lineRule="auto"/>
        <w:ind w:left="720" w:hanging="360"/>
      </w:pPr>
      <w:r>
        <w:rPr>
          <w:rFonts w:ascii="Calibri" w:hAnsi="Calibri"/>
          <w:sz w:val="22"/>
        </w:rPr>
        <w:t>Create docs folder structure and commit this Product Bible as the source of truth.</w:t>
      </w:r>
    </w:p>
    <w:p>
      <w:pPr>
        <w:numPr>
          <w:ilvl w:val="0"/>
          <w:numId w:val="16"/>
        </w:numPr>
        <w:spacing w:after="40" w:line="280" w:lineRule="auto"/>
        <w:ind w:left="720" w:hanging="360"/>
      </w:pPr>
      <w:r>
        <w:rPr>
          <w:rFonts w:ascii="Calibri" w:hAnsi="Calibri"/>
          <w:sz w:val="22"/>
        </w:rPr>
        <w:t>Add technical README explaining v2 architecture and development phases.</w:t>
      </w:r>
    </w:p>
    <w:p>
      <w:pPr>
        <w:numPr>
          <w:ilvl w:val="0"/>
          <w:numId w:val="16"/>
        </w:numPr>
        <w:spacing w:after="40" w:line="280" w:lineRule="auto"/>
        <w:ind w:left="720" w:hanging="360"/>
      </w:pPr>
      <w:r>
        <w:rPr>
          <w:rFonts w:ascii="Calibri" w:hAnsi="Calibri"/>
          <w:sz w:val="22"/>
        </w:rPr>
        <w:t>Implement canonical catalog schema and migrations.</w:t>
      </w:r>
    </w:p>
    <w:p>
      <w:pPr>
        <w:numPr>
          <w:ilvl w:val="0"/>
          <w:numId w:val="16"/>
        </w:numPr>
        <w:spacing w:after="40" w:line="280" w:lineRule="auto"/>
        <w:ind w:left="720" w:hanging="360"/>
      </w:pPr>
      <w:r>
        <w:rPr>
          <w:rFonts w:ascii="Calibri" w:hAnsi="Calibri"/>
          <w:sz w:val="22"/>
        </w:rPr>
        <w:t>Implement observation ingestion models and fixture-based provider adapter.</w:t>
      </w:r>
    </w:p>
    <w:p>
      <w:pPr>
        <w:numPr>
          <w:ilvl w:val="0"/>
          <w:numId w:val="16"/>
        </w:numPr>
        <w:spacing w:after="40" w:line="280" w:lineRule="auto"/>
        <w:ind w:left="720" w:hanging="360"/>
      </w:pPr>
      <w:r>
        <w:rPr>
          <w:rFonts w:ascii="Calibri" w:hAnsi="Calibri"/>
          <w:sz w:val="22"/>
        </w:rPr>
        <w:t>Implement market overview API with mock normalized observations.</w:t>
      </w:r>
    </w:p>
    <w:p>
      <w:pPr>
        <w:numPr>
          <w:ilvl w:val="0"/>
          <w:numId w:val="16"/>
        </w:numPr>
        <w:spacing w:after="40" w:line="280" w:lineRule="auto"/>
        <w:ind w:left="720" w:hanging="360"/>
      </w:pPr>
      <w:r>
        <w:rPr>
          <w:rFonts w:ascii="Calibri" w:hAnsi="Calibri"/>
          <w:sz w:val="22"/>
        </w:rPr>
        <w:t>Implement dashboard UI consuming the market overview API.</w:t>
      </w:r>
    </w:p>
    <w:p>
      <w:pPr>
        <w:numPr>
          <w:ilvl w:val="0"/>
          <w:numId w:val="16"/>
        </w:numPr>
        <w:spacing w:after="40" w:line="280" w:lineRule="auto"/>
        <w:ind w:left="720" w:hanging="360"/>
      </w:pPr>
      <w:r>
        <w:rPr>
          <w:rFonts w:ascii="Calibri" w:hAnsi="Calibri"/>
          <w:sz w:val="22"/>
        </w:rPr>
        <w:t>Implement evidence bundle, confidence score, and first signal calculation.</w:t>
      </w:r>
    </w:p>
    <w:p>
      <w:pPr>
        <w:numPr>
          <w:ilvl w:val="0"/>
          <w:numId w:val="16"/>
        </w:numPr>
        <w:spacing w:after="40" w:line="280" w:lineRule="auto"/>
        <w:ind w:left="720" w:hanging="360"/>
      </w:pPr>
      <w:r>
        <w:rPr>
          <w:rFonts w:ascii="Calibri" w:hAnsi="Calibri"/>
          <w:sz w:val="22"/>
        </w:rPr>
        <w:t>Add Daily Report skeleton generated from stored market metrics.</w:t>
      </w:r>
    </w:p>
    <w:p>
      <w:pPr>
        <w:pStyle w:val="Heading2"/>
      </w:pPr>
      <w:r>
        <w:t>12.4 Release Gates</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300"/>
        <w:gridCol w:w="4660"/>
        <w:gridCol w:w="3400"/>
      </w:tblGrid>
      <w:tr>
        <w:trPr>
          <w:tblHeader w:val="true"/>
          <w:cantSplit/>
        </w:trPr>
        <w:tc>
          <w:tcPr>
            <w:tcW w:type="dxa" w:w="1300"/>
            <w:shd w:fill="F2F4F7"/>
            <w:vAlign w:val="center"/>
          </w:tcPr>
          <w:p>
            <w:pPr>
              <w:spacing w:before="0" w:after="0" w:line="264" w:lineRule="auto"/>
              <w:jc w:val="center"/>
            </w:pPr>
            <w:r/>
            <w:r>
              <w:rPr>
                <w:rFonts w:ascii="Calibri" w:hAnsi="Calibri"/>
                <w:b/>
                <w:color w:val="0B2545"/>
                <w:sz w:val="20"/>
              </w:rPr>
              <w:t>Gate</w:t>
            </w:r>
          </w:p>
        </w:tc>
        <w:tc>
          <w:tcPr>
            <w:tcW w:type="dxa" w:w="4660"/>
            <w:shd w:fill="F2F4F7"/>
            <w:vAlign w:val="center"/>
          </w:tcPr>
          <w:p>
            <w:pPr>
              <w:spacing w:before="0" w:after="0" w:line="264" w:lineRule="auto"/>
              <w:jc w:val="center"/>
            </w:pPr>
            <w:r/>
            <w:r>
              <w:rPr>
                <w:rFonts w:ascii="Calibri" w:hAnsi="Calibri"/>
                <w:b/>
                <w:color w:val="0B2545"/>
                <w:sz w:val="20"/>
              </w:rPr>
              <w:t>Requirement</w:t>
            </w:r>
          </w:p>
        </w:tc>
        <w:tc>
          <w:tcPr>
            <w:tcW w:type="dxa" w:w="3400"/>
            <w:shd w:fill="F2F4F7"/>
            <w:vAlign w:val="center"/>
          </w:tcPr>
          <w:p>
            <w:pPr>
              <w:spacing w:before="0" w:after="0" w:line="264" w:lineRule="auto"/>
              <w:jc w:val="center"/>
            </w:pPr>
            <w:r/>
            <w:r>
              <w:rPr>
                <w:rFonts w:ascii="Calibri" w:hAnsi="Calibri"/>
                <w:b/>
                <w:color w:val="0B2545"/>
                <w:sz w:val="20"/>
              </w:rPr>
              <w:t>Why It Matters</w:t>
            </w:r>
          </w:p>
        </w:tc>
      </w:tr>
      <w:tr>
        <w:trPr>
          <w:cantSplit/>
        </w:trPr>
        <w:tc>
          <w:tcPr>
            <w:tcW w:type="dxa" w:w="1300"/>
            <w:vAlign w:val="center"/>
          </w:tcPr>
          <w:p>
            <w:pPr>
              <w:spacing w:before="0" w:after="0" w:line="264" w:lineRule="auto"/>
              <w:jc w:val="left"/>
            </w:pPr>
            <w:r/>
            <w:r>
              <w:rPr>
                <w:rFonts w:ascii="Calibri" w:hAnsi="Calibri"/>
                <w:b/>
                <w:color w:val="0B2545"/>
                <w:sz w:val="19"/>
              </w:rPr>
              <w:t>Data Gate</w:t>
            </w:r>
          </w:p>
        </w:tc>
        <w:tc>
          <w:tcPr>
            <w:tcW w:type="dxa" w:w="4660"/>
            <w:vAlign w:val="center"/>
          </w:tcPr>
          <w:p>
            <w:pPr>
              <w:spacing w:before="0" w:after="0" w:line="264" w:lineRule="auto"/>
              <w:jc w:val="left"/>
            </w:pPr>
            <w:r/>
            <w:r>
              <w:rPr>
                <w:rFonts w:ascii="Calibri" w:hAnsi="Calibri"/>
                <w:b w:val="0"/>
                <w:color w:val="000000"/>
                <w:sz w:val="19"/>
              </w:rPr>
              <w:t>Every displayed metric has source, timestamp, and confidence.</w:t>
            </w:r>
          </w:p>
        </w:tc>
        <w:tc>
          <w:tcPr>
            <w:tcW w:type="dxa" w:w="3400"/>
            <w:vAlign w:val="center"/>
          </w:tcPr>
          <w:p>
            <w:pPr>
              <w:spacing w:before="0" w:after="0" w:line="264" w:lineRule="auto"/>
              <w:jc w:val="left"/>
            </w:pPr>
            <w:r/>
            <w:r>
              <w:rPr>
                <w:rFonts w:ascii="Calibri" w:hAnsi="Calibri"/>
                <w:b w:val="0"/>
                <w:color w:val="000000"/>
                <w:sz w:val="19"/>
              </w:rPr>
              <w:t>Protects trust.</w:t>
            </w:r>
          </w:p>
        </w:tc>
      </w:tr>
      <w:tr>
        <w:trPr>
          <w:cantSplit/>
        </w:trPr>
        <w:tc>
          <w:tcPr>
            <w:tcW w:type="dxa" w:w="1300"/>
            <w:vAlign w:val="center"/>
          </w:tcPr>
          <w:p>
            <w:pPr>
              <w:spacing w:before="0" w:after="0" w:line="264" w:lineRule="auto"/>
              <w:jc w:val="left"/>
            </w:pPr>
            <w:r/>
            <w:r>
              <w:rPr>
                <w:rFonts w:ascii="Calibri" w:hAnsi="Calibri"/>
                <w:b/>
                <w:color w:val="0B2545"/>
                <w:sz w:val="19"/>
              </w:rPr>
              <w:t>AI Gate</w:t>
            </w:r>
          </w:p>
        </w:tc>
        <w:tc>
          <w:tcPr>
            <w:tcW w:type="dxa" w:w="4660"/>
            <w:vAlign w:val="center"/>
          </w:tcPr>
          <w:p>
            <w:pPr>
              <w:spacing w:before="0" w:after="0" w:line="264" w:lineRule="auto"/>
              <w:jc w:val="left"/>
            </w:pPr>
            <w:r/>
            <w:r>
              <w:rPr>
                <w:rFonts w:ascii="Calibri" w:hAnsi="Calibri"/>
                <w:b w:val="0"/>
                <w:color w:val="000000"/>
                <w:sz w:val="19"/>
              </w:rPr>
              <w:t>Every AI output has evidence bundle, prompt version, and refusal behavior.</w:t>
            </w:r>
          </w:p>
        </w:tc>
        <w:tc>
          <w:tcPr>
            <w:tcW w:type="dxa" w:w="3400"/>
            <w:vAlign w:val="center"/>
          </w:tcPr>
          <w:p>
            <w:pPr>
              <w:spacing w:before="0" w:after="0" w:line="264" w:lineRule="auto"/>
              <w:jc w:val="left"/>
            </w:pPr>
            <w:r/>
            <w:r>
              <w:rPr>
                <w:rFonts w:ascii="Calibri" w:hAnsi="Calibri"/>
                <w:b w:val="0"/>
                <w:color w:val="000000"/>
                <w:sz w:val="19"/>
              </w:rPr>
              <w:t>Prevents hallucination.</w:t>
            </w:r>
          </w:p>
        </w:tc>
      </w:tr>
      <w:tr>
        <w:trPr>
          <w:cantSplit/>
        </w:trPr>
        <w:tc>
          <w:tcPr>
            <w:tcW w:type="dxa" w:w="1300"/>
            <w:vAlign w:val="center"/>
          </w:tcPr>
          <w:p>
            <w:pPr>
              <w:spacing w:before="0" w:after="0" w:line="264" w:lineRule="auto"/>
              <w:jc w:val="left"/>
            </w:pPr>
            <w:r/>
            <w:r>
              <w:rPr>
                <w:rFonts w:ascii="Calibri" w:hAnsi="Calibri"/>
                <w:b/>
                <w:color w:val="0B2545"/>
                <w:sz w:val="19"/>
              </w:rPr>
              <w:t>API Gate</w:t>
            </w:r>
          </w:p>
        </w:tc>
        <w:tc>
          <w:tcPr>
            <w:tcW w:type="dxa" w:w="4660"/>
            <w:vAlign w:val="center"/>
          </w:tcPr>
          <w:p>
            <w:pPr>
              <w:spacing w:before="0" w:after="0" w:line="264" w:lineRule="auto"/>
              <w:jc w:val="left"/>
            </w:pPr>
            <w:r/>
            <w:r>
              <w:rPr>
                <w:rFonts w:ascii="Calibri" w:hAnsi="Calibri"/>
                <w:b w:val="0"/>
                <w:color w:val="000000"/>
                <w:sz w:val="19"/>
              </w:rPr>
              <w:t>Endpoints have OpenAPI docs, auth rules, tests, and error handling.</w:t>
            </w:r>
          </w:p>
        </w:tc>
        <w:tc>
          <w:tcPr>
            <w:tcW w:type="dxa" w:w="3400"/>
            <w:vAlign w:val="center"/>
          </w:tcPr>
          <w:p>
            <w:pPr>
              <w:spacing w:before="0" w:after="0" w:line="264" w:lineRule="auto"/>
              <w:jc w:val="left"/>
            </w:pPr>
            <w:r/>
            <w:r>
              <w:rPr>
                <w:rFonts w:ascii="Calibri" w:hAnsi="Calibri"/>
                <w:b w:val="0"/>
                <w:color w:val="000000"/>
                <w:sz w:val="19"/>
              </w:rPr>
              <w:t>Keeps product maintainable.</w:t>
            </w:r>
          </w:p>
        </w:tc>
      </w:tr>
      <w:tr>
        <w:trPr>
          <w:cantSplit/>
        </w:trPr>
        <w:tc>
          <w:tcPr>
            <w:tcW w:type="dxa" w:w="1300"/>
            <w:vAlign w:val="center"/>
          </w:tcPr>
          <w:p>
            <w:pPr>
              <w:spacing w:before="0" w:after="0" w:line="264" w:lineRule="auto"/>
              <w:jc w:val="left"/>
            </w:pPr>
            <w:r/>
            <w:r>
              <w:rPr>
                <w:rFonts w:ascii="Calibri" w:hAnsi="Calibri"/>
                <w:b/>
                <w:color w:val="0B2545"/>
                <w:sz w:val="19"/>
              </w:rPr>
              <w:t>UX Gate</w:t>
            </w:r>
          </w:p>
        </w:tc>
        <w:tc>
          <w:tcPr>
            <w:tcW w:type="dxa" w:w="4660"/>
            <w:vAlign w:val="center"/>
          </w:tcPr>
          <w:p>
            <w:pPr>
              <w:spacing w:before="0" w:after="0" w:line="264" w:lineRule="auto"/>
              <w:jc w:val="left"/>
            </w:pPr>
            <w:r/>
            <w:r>
              <w:rPr>
                <w:rFonts w:ascii="Calibri" w:hAnsi="Calibri"/>
                <w:b w:val="0"/>
                <w:color w:val="000000"/>
                <w:sz w:val="19"/>
              </w:rPr>
              <w:t>Dashboard answers what happened, why, and what to watch next.</w:t>
            </w:r>
          </w:p>
        </w:tc>
        <w:tc>
          <w:tcPr>
            <w:tcW w:type="dxa" w:w="3400"/>
            <w:vAlign w:val="center"/>
          </w:tcPr>
          <w:p>
            <w:pPr>
              <w:spacing w:before="0" w:after="0" w:line="264" w:lineRule="auto"/>
              <w:jc w:val="left"/>
            </w:pPr>
            <w:r/>
            <w:r>
              <w:rPr>
                <w:rFonts w:ascii="Calibri" w:hAnsi="Calibri"/>
                <w:b w:val="0"/>
                <w:color w:val="000000"/>
                <w:sz w:val="19"/>
              </w:rPr>
              <w:t>Maintains product positioning.</w:t>
            </w:r>
          </w:p>
        </w:tc>
      </w:tr>
      <w:tr>
        <w:trPr>
          <w:cantSplit/>
        </w:trPr>
        <w:tc>
          <w:tcPr>
            <w:tcW w:type="dxa" w:w="1300"/>
            <w:vAlign w:val="center"/>
          </w:tcPr>
          <w:p>
            <w:pPr>
              <w:spacing w:before="0" w:after="0" w:line="264" w:lineRule="auto"/>
              <w:jc w:val="left"/>
            </w:pPr>
            <w:r/>
            <w:r>
              <w:rPr>
                <w:rFonts w:ascii="Calibri" w:hAnsi="Calibri"/>
                <w:b/>
                <w:color w:val="0B2545"/>
                <w:sz w:val="19"/>
              </w:rPr>
              <w:t>Quality Gate</w:t>
            </w:r>
          </w:p>
        </w:tc>
        <w:tc>
          <w:tcPr>
            <w:tcW w:type="dxa" w:w="4660"/>
            <w:vAlign w:val="center"/>
          </w:tcPr>
          <w:p>
            <w:pPr>
              <w:spacing w:before="0" w:after="0" w:line="264" w:lineRule="auto"/>
              <w:jc w:val="left"/>
            </w:pPr>
            <w:r/>
            <w:r>
              <w:rPr>
                <w:rFonts w:ascii="Calibri" w:hAnsi="Calibri"/>
                <w:b w:val="0"/>
                <w:color w:val="000000"/>
                <w:sz w:val="19"/>
              </w:rPr>
              <w:t>Core jobs, calculations, and signals have automated tests.</w:t>
            </w:r>
          </w:p>
        </w:tc>
        <w:tc>
          <w:tcPr>
            <w:tcW w:type="dxa" w:w="3400"/>
            <w:vAlign w:val="center"/>
          </w:tcPr>
          <w:p>
            <w:pPr>
              <w:spacing w:before="0" w:after="0" w:line="264" w:lineRule="auto"/>
              <w:jc w:val="left"/>
            </w:pPr>
            <w:r/>
            <w:r>
              <w:rPr>
                <w:rFonts w:ascii="Calibri" w:hAnsi="Calibri"/>
                <w:b w:val="0"/>
                <w:color w:val="000000"/>
                <w:sz w:val="19"/>
              </w:rPr>
              <w:t>Protects future changes.</w:t>
            </w:r>
          </w:p>
        </w:tc>
      </w:tr>
    </w:tbl>
    <w:p>
      <w:pPr>
        <w:spacing w:after="40"/>
      </w:pPr>
    </w:p>
    <w:p>
      <w:pPr>
        <w:pStyle w:val="Heading2"/>
      </w:pPr>
      <w:r>
        <w:t>12.5 Final Product Bible Rule</w:t>
      </w:r>
    </w:p>
    <w:tbl>
      <w:tblPr>
        <w:tblW w:type="dxa" w:w="9360"/>
        <w:tblLook w:firstColumn="1" w:firstRow="1" w:lastColumn="0" w:lastRow="0" w:noHBand="0" w:noVBand="1" w:val="04A0"/>
        <w:tblInd w:w="120" w:type="dxa"/>
        <w:tblLayout w:type="fixed"/>
        <w:tblCellMar>
          <w:top w:w="80" w:type="dxa"/>
          <w:bottom w:w="80" w:type="dxa"/>
          <w:start w:w="120" w:type="dxa"/>
          <w:end w:w="120" w:type="dxa"/>
        </w:tblCellMar>
      </w:tblPr>
      <w:tblGrid>
        <w:gridCol w:w="9360"/>
      </w:tblGrid>
      <w:tr>
        <w:tc>
          <w:tcPr>
            <w:tcW w:type="dxa" w:w="9360"/>
            <w:shd w:fill="F4F6F9"/>
          </w:tcPr>
          <w:p>
            <w:pPr>
              <w:spacing w:before="40" w:after="40" w:line="264" w:lineRule="auto"/>
            </w:pPr>
            <w:r>
              <w:rPr>
                <w:rFonts w:ascii="Calibri" w:hAnsi="Calibri"/>
                <w:b/>
                <w:color w:val="1F4D78"/>
                <w:sz w:val="21"/>
              </w:rPr>
              <w:t xml:space="preserve">Single source of truth: </w:t>
            </w:r>
            <w:r>
              <w:rPr>
                <w:rFonts w:ascii="Calibri" w:hAnsi="Calibri"/>
                <w:color w:val="0B2545"/>
                <w:sz w:val="21"/>
              </w:rPr>
              <w:t>When product behavior is unclear, Codex should update the Product Bible or the relevant PRD first, then implement. The specification and software must evolve together.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F6670"/>
        <w:sz w:val="18"/>
      </w:rPr>
      <w:t xml:space="preserve">Page </w:t>
    </w:r>
    <w:r>
      <w:fldChar w:fldCharType="begin"/>
    </w:r>
    <w:r>
      <w:instrText xml:space="preserve">PAGE</w:instrText>
    </w:r>
    <w:r>
      <w:fldChar w:fldCharType="separate"/>
    </w:r>
    <w:r>
      <w:r>
        <w:t>1</w:t>
      </w: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color w:val="5F6670"/>
        <w:sz w:val="18"/>
      </w:rPr>
      <w:t>Flashcard Planet Product Bible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abstractNum w:abstractNumId="15">
    <w:multiLevelType w:val="singleLevel"/>
    <w:lvl w:ilvl="0">
      <w:start w:val="1"/>
      <w:numFmt w:val="decimal"/>
      <w:lvlText w:val="%1."/>
      <w:lvlJc w:val="left"/>
      <w:pPr>
        <w:tabs>
          <w:tab w:val="num" w:pos="720"/>
        </w:tabs>
        <w:ind w:left="720" w:hanging="36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pageBreakBefore w:val="0"/>
      <w:numPr>
        <w:numId w:val="1"/>
      </w:numPr>
      <w:spacing w:before="0" w:after="40" w:line="28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pageBreakBefore w:val="0"/>
      <w:numPr>
        <w:numId w:val="5"/>
      </w:numPr>
      <w:spacing w:before="0" w:after="40" w:line="280" w:lineRule="auto"/>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pageBreakBefore w:val="0"/>
      <w:spacing w:before="0" w:after="160" w:line="240" w:lineRule="auto"/>
      <w:jc w:val="center"/>
    </w:pPr>
    <w:rPr>
      <w:rFonts w:ascii="Calibri" w:hAnsi="Calibri"/>
      <w:b/>
      <w:color w:val="0B2545"/>
      <w:sz w:val="60"/>
    </w:rPr>
  </w:style>
  <w:style w:type="paragraph" w:customStyle="1" w:styleId="CoverSubtitle">
    <w:name w:val="Cover Subtitle"/>
    <w:pPr>
      <w:pageBreakBefore w:val="0"/>
      <w:spacing w:before="0" w:after="80" w:line="276" w:lineRule="auto"/>
      <w:jc w:val="center"/>
    </w:pPr>
    <w:rPr>
      <w:rFonts w:ascii="Calibri" w:hAnsi="Calibri"/>
      <w:b w:val="0"/>
      <w:color w:val="1F4D78"/>
      <w:sz w:val="30"/>
    </w:rPr>
  </w:style>
  <w:style w:type="paragraph" w:customStyle="1" w:styleId="CoverMetadata">
    <w:name w:val="Cover Metadata"/>
    <w:pPr>
      <w:pageBreakBefore w:val="0"/>
      <w:spacing w:before="0" w:after="40" w:line="264" w:lineRule="auto"/>
      <w:jc w:val="center"/>
    </w:pPr>
    <w:rPr>
      <w:rFonts w:ascii="Calibri" w:hAnsi="Calibri"/>
      <w:b w:val="0"/>
      <w:color w:val="5F6670"/>
      <w:sz w:val="21"/>
    </w:rPr>
  </w:style>
  <w:style w:type="paragraph" w:customStyle="1" w:styleId="FrontMatterHeading">
    <w:name w:val="Front Matter Heading"/>
    <w:pPr>
      <w:pageBreakBefore w:val="0"/>
      <w:spacing w:before="0" w:after="200" w:line="264" w:lineRule="auto"/>
    </w:pPr>
    <w:rPr>
      <w:rFonts w:ascii="Calibri" w:hAnsi="Calibri"/>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Flashcard Planet Product Bible v2.0</dc:title>
  <dc:subject>Product Bible and first chapter for Flashcard Planet v2.0</dc:subject>
  <dc:creator>Flashcard Planet Team</dc:creator>
  <cp:keywords/>
  <dc:description>Generated as a professional Word product specification with Heading 1-3 styles for automatic TOC generation.</dc:description>
  <cp:lastModifiedBy/>
  <cp:revision>1</cp:revision>
  <dcterms:created xsi:type="dcterms:W3CDTF">2013-12-23T23:15:00Z</dcterms:created>
  <dcterms:modified xsi:type="dcterms:W3CDTF">2013-12-23T23:15:00Z</dcterms:modified>
  <cp:category/>
</cp:coreProperties>
</file>