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pPr>
        <w:jc w:val="center"/>
      </w:pPr>
      <w:r>
        <w:rPr>
          <w:b/>
          <w:color w:val="1F4E79"/>
          <w:sz w:val="32"/>
        </w:rPr>
        <w:t>Mastère 2 Cybersécurité</w:t>
      </w:r>
    </w:p>
    <w:p>
      <w:pPr>
        <w:jc w:val="center"/>
      </w:pPr>
      <w:r>
        <w:rPr>
          <w:b/>
          <w:color w:val="111827"/>
          <w:sz w:val="40"/>
        </w:rPr>
        <w:t>Projet M2  Mise en place d’un SOC externalisé</w:t>
      </w:r>
    </w:p>
    <w:p>
      <w:pPr>
        <w:jc w:val="center"/>
      </w:pPr>
      <w:r>
        <w:rPr>
          <w:b/>
          <w:color w:val="1F4E79"/>
          <w:sz w:val="44"/>
        </w:rPr>
        <w:t>Rendu groupe  Daylight / Cyber Trust</w:t>
      </w:r>
    </w:p>
    <w:p>
      <w:pPr>
        <w:jc w:val="center"/>
      </w:pPr>
      <w:r>
        <w:rPr>
          <w:sz w:val="24"/>
        </w:rPr>
        <w:t>Équipe : Yvan FOCSA, Youssef GUERNIOU, Kilyan FELIX, Mahamadou DIACOUMBA</w:t>
        <w:br/>
        <w:t>Client fictif : Daylight</w:t>
        <w:br/>
        <w:t>Prestataire : Cyber Trust</w:t>
        <w:br/>
        <w:t>Année 2025-2026</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8"/>
          </w:tcPr>
          <w:p>
            <w:r/>
            <w:r>
              <w:rPr>
                <w:b/>
                <w:color w:val="FFFFFF"/>
                <w:sz w:val="17"/>
              </w:rPr>
              <w:t>Champ</w:t>
            </w:r>
          </w:p>
        </w:tc>
        <w:tc>
          <w:tcPr>
            <w:tcW w:type="dxa" w:w="5184"/>
            <w:vAlign w:val="center"/>
            <w:shd w:fill="1F4E78"/>
          </w:tcPr>
          <w:p>
            <w:r/>
            <w:r>
              <w:rPr>
                <w:b/>
                <w:color w:val="FFFFFF"/>
                <w:sz w:val="17"/>
              </w:rPr>
              <w:t>Valeur</w:t>
            </w:r>
          </w:p>
        </w:tc>
      </w:tr>
      <w:tr>
        <w:tc>
          <w:tcPr>
            <w:tcW w:type="dxa" w:w="5184"/>
            <w:vAlign w:val="center"/>
          </w:tcPr>
          <w:p>
            <w:r/>
            <w:r>
              <w:rPr>
                <w:b w:val="0"/>
                <w:sz w:val="17"/>
              </w:rPr>
              <w:t>Type de document</w:t>
            </w:r>
          </w:p>
        </w:tc>
        <w:tc>
          <w:tcPr>
            <w:tcW w:type="dxa" w:w="5184"/>
            <w:vAlign w:val="center"/>
          </w:tcPr>
          <w:p>
            <w:r>
              <w:t>Rendu groupe  version de travail structurée</w:t>
            </w:r>
            <w:r>
              <w:rPr>
                <w:b w:val="0"/>
                <w:sz w:val="17"/>
              </w:rPr>
            </w:r>
          </w:p>
        </w:tc>
      </w:tr>
      <w:tr>
        <w:tc>
          <w:tcPr>
            <w:tcW w:type="dxa" w:w="5184"/>
            <w:vAlign w:val="center"/>
          </w:tcPr>
          <w:p>
            <w:r/>
            <w:r>
              <w:rPr>
                <w:b w:val="0"/>
                <w:sz w:val="17"/>
              </w:rPr>
              <w:t>Sujet</w:t>
            </w:r>
          </w:p>
        </w:tc>
        <w:tc>
          <w:tcPr>
            <w:tcW w:type="dxa" w:w="5184"/>
            <w:vAlign w:val="center"/>
          </w:tcPr>
          <w:p>
            <w:r>
              <w:t>SOC externalisé pour un réseau d’audioprothésistes</w:t>
            </w:r>
            <w:r>
              <w:rPr>
                <w:b w:val="0"/>
                <w:sz w:val="17"/>
              </w:rPr>
            </w:r>
          </w:p>
        </w:tc>
      </w:tr>
      <w:tr>
        <w:tc>
          <w:tcPr>
            <w:tcW w:type="dxa" w:w="5184"/>
            <w:vAlign w:val="center"/>
          </w:tcPr>
          <w:p>
            <w:r/>
            <w:r>
              <w:rPr>
                <w:b w:val="0"/>
                <w:sz w:val="17"/>
              </w:rPr>
              <w:t>Objectif</w:t>
            </w:r>
          </w:p>
        </w:tc>
        <w:tc>
          <w:tcPr>
            <w:tcW w:type="dxa" w:w="5184"/>
            <w:vAlign w:val="center"/>
          </w:tcPr>
          <w:p>
            <w:r>
              <w:t>Présenter le besoin, la solution technique, le démonstrateur, les preuves et la trajectoire d’industrialisation</w:t>
            </w:r>
            <w:r>
              <w:rPr>
                <w:b w:val="0"/>
                <w:sz w:val="17"/>
              </w:rPr>
            </w:r>
          </w:p>
        </w:tc>
      </w:tr>
      <w:tr>
        <w:tc>
          <w:tcPr>
            <w:tcW w:type="dxa" w:w="5184"/>
            <w:vAlign w:val="center"/>
          </w:tcPr>
          <w:p>
            <w:r>
              <w:t>Références relues</w:t>
            </w:r>
            <w:r>
              <w:rPr>
                <w:b w:val="0"/>
                <w:sz w:val="17"/>
              </w:rPr>
            </w:r>
          </w:p>
        </w:tc>
        <w:tc>
          <w:tcPr>
            <w:tcW w:type="dxa" w:w="5184"/>
            <w:vAlign w:val="center"/>
          </w:tcPr>
          <w:p>
            <w:r>
              <w:t>Cadre pédagogique Projet Étude CS 2025-2026, Cahier des charges Projet M2 CS 2025</w:t>
            </w:r>
            <w:r>
              <w:rPr>
                <w:b w:val="0"/>
                <w:sz w:val="17"/>
              </w:rPr>
            </w:r>
          </w:p>
        </w:tc>
      </w:tr>
    </w:tbl>
    <w:p/>
    <w:p>
      <w:r>
        <w:br w:type="page"/>
      </w:r>
    </w:p>
    <w:p>
      <w:pPr>
        <w:pStyle w:val="Titre1"/>
      </w:pPr>
      <w:r>
        <w:t>Sommaire</w:t>
      </w:r>
    </w:p>
    <w:p>
      <w:r>
        <w:fldChar w:fldCharType="begin"/>
        <w:instrText xml:space="preserve">TOC \o "1-2" \h \z \u</w:instrText>
        <w:fldChar w:fldCharType="separate"/>
        <w:fldChar w:fldCharType="end"/>
      </w:r>
    </w:p>
    <w:p>
      <w:pPr>
        <w:spacing w:after="160" w:line="259" w:lineRule="auto"/>
      </w:pPr>
      <w:r>
        <w:rPr>
          <w:sz w:val="21"/>
        </w:rPr>
        <w:t>Mettre à jour le sommaire dans Word avant export PDF.</w:t>
      </w:r>
    </w:p>
    <w:p>
      <w:r>
        <w:br w:type="page"/>
      </w:r>
    </w:p>
    <w:p>
      <w:pPr>
        <w:pStyle w:val="Titre1"/>
      </w:pPr>
      <w:r>
        <w:t>1. Présentation de l’entreprise et de l’équipe projet</w:t>
      </w:r>
    </w:p>
    <w:p>
      <w:pPr>
        <w:spacing w:after="160" w:line="259" w:lineRule="auto"/>
      </w:pPr>
      <w:r>
        <w:rPr>
          <w:sz w:val="21"/>
        </w:rPr>
        <w:t>Daylight est un réseau fictif d’environ trente centres d’audioprothésistes. Les équipes manipulent des rendez-vous, des informations CRM, des dossiers patients et des données administratives. Le SI repose sur des postes de travail, des serveurs internes, des applications métiers, de la messagerie et des équipements réseau répartis sur plusieurs sites.</w:t>
      </w:r>
    </w:p>
    <w:p>
      <w:pPr>
        <w:spacing w:after="160" w:line="259" w:lineRule="auto"/>
      </w:pPr>
      <w:r>
        <w:rPr>
          <w:sz w:val="21"/>
        </w:rPr>
        <w:t>Cyber Trust agit comme prestataire SOC externalisé. L’objectif est de fournir une plateforme de démonstration fonctionnelle, sécurisée, documentée et industrialisable. La solution doit centraliser les événements de sécurité, détecter les comportements suspects, produire des dashboards lisibles et proposer des procédures de réponse.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8"/>
          </w:tcPr>
          <w:p>
            <w:r/>
            <w:r>
              <w:rPr>
                <w:b/>
                <w:color w:val="FFFFFF"/>
                <w:sz w:val="17"/>
              </w:rPr>
              <w:t>Membre</w:t>
            </w:r>
          </w:p>
        </w:tc>
        <w:tc>
          <w:tcPr>
            <w:tcW w:type="dxa" w:w="3456"/>
            <w:vAlign w:val="center"/>
            <w:shd w:fill="1F4E78"/>
          </w:tcPr>
          <w:p>
            <w:r>
              <w:t>Rôle projet</w:t>
            </w:r>
            <w:r>
              <w:rPr>
                <w:b/>
                <w:color w:val="FFFFFF"/>
                <w:sz w:val="17"/>
              </w:rPr>
            </w:r>
          </w:p>
        </w:tc>
        <w:tc>
          <w:tcPr>
            <w:tcW w:type="dxa" w:w="3456"/>
            <w:vAlign w:val="center"/>
            <w:shd w:fill="1F4E78"/>
          </w:tcPr>
          <w:p>
            <w:r>
              <w:t>Responsabilités défendues</w:t>
            </w:r>
            <w:r>
              <w:rPr>
                <w:b/>
                <w:color w:val="FFFFFF"/>
                <w:sz w:val="17"/>
              </w:rPr>
            </w:r>
          </w:p>
        </w:tc>
      </w:tr>
      <w:tr>
        <w:tc>
          <w:tcPr>
            <w:tcW w:type="dxa" w:w="3456"/>
            <w:vAlign w:val="center"/>
          </w:tcPr>
          <w:p>
            <w:r/>
            <w:r>
              <w:rPr>
                <w:b w:val="0"/>
                <w:sz w:val="17"/>
              </w:rPr>
              <w:t>Yvan FOCSA</w:t>
            </w:r>
          </w:p>
        </w:tc>
        <w:tc>
          <w:tcPr>
            <w:tcW w:type="dxa" w:w="3456"/>
            <w:vAlign w:val="center"/>
          </w:tcPr>
          <w:p>
            <w:r/>
            <w:r>
              <w:rPr>
                <w:b w:val="0"/>
                <w:sz w:val="17"/>
              </w:rPr>
              <w:t>Architecte solution</w:t>
            </w:r>
          </w:p>
        </w:tc>
        <w:tc>
          <w:tcPr>
            <w:tcW w:type="dxa" w:w="3456"/>
            <w:vAlign w:val="center"/>
          </w:tcPr>
          <w:p>
            <w:r>
              <w:t>Architecture, segmentation, pfSense, zones réseau, flux, cible production.</w:t>
            </w:r>
            <w:r>
              <w:rPr>
                <w:b w:val="0"/>
                <w:sz w:val="17"/>
              </w:rPr>
            </w:r>
          </w:p>
        </w:tc>
      </w:tr>
      <w:tr>
        <w:tc>
          <w:tcPr>
            <w:tcW w:type="dxa" w:w="3456"/>
            <w:vAlign w:val="center"/>
          </w:tcPr>
          <w:p>
            <w:r/>
            <w:r>
              <w:rPr>
                <w:b w:val="0"/>
                <w:sz w:val="17"/>
              </w:rPr>
              <w:t>Youssef GUERNIOU</w:t>
            </w:r>
          </w:p>
        </w:tc>
        <w:tc>
          <w:tcPr>
            <w:tcW w:type="dxa" w:w="3456"/>
            <w:vAlign w:val="center"/>
          </w:tcPr>
          <w:p>
            <w:r>
              <w:t>Ingénieur SIEM Wazuh</w:t>
            </w:r>
            <w:r>
              <w:rPr>
                <w:b w:val="0"/>
                <w:sz w:val="17"/>
              </w:rPr>
            </w:r>
          </w:p>
        </w:tc>
        <w:tc>
          <w:tcPr>
            <w:tcW w:type="dxa" w:w="3456"/>
            <w:vAlign w:val="center"/>
          </w:tcPr>
          <w:p>
            <w:r>
              <w:t>Déploiement Wazuh, agents, collecte, règles, RBAC, dashboards SIEM.</w:t>
            </w:r>
            <w:r>
              <w:rPr>
                <w:b w:val="0"/>
                <w:sz w:val="17"/>
              </w:rPr>
            </w:r>
          </w:p>
        </w:tc>
      </w:tr>
      <w:tr>
        <w:tc>
          <w:tcPr>
            <w:tcW w:type="dxa" w:w="3456"/>
            <w:vAlign w:val="center"/>
          </w:tcPr>
          <w:p>
            <w:r/>
            <w:r>
              <w:rPr>
                <w:b w:val="0"/>
                <w:sz w:val="17"/>
              </w:rPr>
              <w:t>Kilyan FELIX</w:t>
            </w:r>
          </w:p>
        </w:tc>
        <w:tc>
          <w:tcPr>
            <w:tcW w:type="dxa" w:w="3456"/>
            <w:vAlign w:val="center"/>
          </w:tcPr>
          <w:p>
            <w:r>
              <w:t>Lead détection et qualification</w:t>
            </w:r>
            <w:r>
              <w:rPr>
                <w:b w:val="0"/>
                <w:sz w:val="17"/>
              </w:rPr>
            </w:r>
          </w:p>
        </w:tc>
        <w:tc>
          <w:tcPr>
            <w:tcW w:type="dxa" w:w="3456"/>
            <w:vAlign w:val="center"/>
          </w:tcPr>
          <w:p>
            <w:r>
              <w:t>Qualification des alertes, priorisation, SLA, reporting, synthèse client.</w:t>
            </w:r>
            <w:r>
              <w:rPr>
                <w:b w:val="0"/>
                <w:sz w:val="17"/>
              </w:rPr>
            </w:r>
          </w:p>
        </w:tc>
      </w:tr>
      <w:tr>
        <w:tc>
          <w:tcPr>
            <w:tcW w:type="dxa" w:w="3456"/>
            <w:vAlign w:val="center"/>
          </w:tcPr>
          <w:p>
            <w:r/>
            <w:r>
              <w:rPr>
                <w:b w:val="0"/>
                <w:sz w:val="17"/>
              </w:rPr>
              <w:t>Mahamadou DIACOUMBA</w:t>
            </w:r>
          </w:p>
        </w:tc>
        <w:tc>
          <w:tcPr>
            <w:tcW w:type="dxa" w:w="3456"/>
            <w:vAlign w:val="center"/>
          </w:tcPr>
          <w:p>
            <w:r>
              <w:t>Exploitation et réponse</w:t>
            </w:r>
            <w:r>
              <w:rPr>
                <w:b w:val="0"/>
                <w:sz w:val="17"/>
              </w:rPr>
            </w:r>
          </w:p>
        </w:tc>
        <w:tc>
          <w:tcPr>
            <w:tcW w:type="dxa" w:w="3456"/>
            <w:vAlign w:val="center"/>
          </w:tcPr>
          <w:p>
            <w:r>
              <w:t>Runbooks, playbooks, procédures, exploitation lab, REX incidents.</w:t>
            </w:r>
            <w:r>
              <w:rPr>
                <w:b w:val="0"/>
                <w:sz w:val="17"/>
              </w:rPr>
            </w:r>
          </w:p>
        </w:tc>
      </w:tr>
    </w:tbl>
    <w:p/>
    <w:p>
      <w:pPr>
        <w:pStyle w:val="Titre1"/>
      </w:pPr>
      <w:r>
        <w:t>2. Analyse de la problématique et solution proposée</w:t>
      </w:r>
    </w:p>
    <w:p>
      <w:pPr>
        <w:spacing w:after="160" w:line="259" w:lineRule="auto"/>
      </w:pPr>
      <w:r>
        <w:rPr>
          <w:sz w:val="21"/>
        </w:rPr>
        <w:t>Daylight manque de ressources internes pour surveiller en continu son SI multi-site. Les risques prioritaires concernent les accès anormaux aux dossiers patients, les attaques par force brute, l’usage USB, les modifications de privilèges, les flux réseau non autorisés et les incidents de messagerie. Le SOC Cyber Trust répond à ce besoin par une supervision centralisée et reproductible.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8"/>
          </w:tcPr>
          <w:p>
            <w:r/>
            <w:r>
              <w:rPr>
                <w:b/>
                <w:color w:val="FFFFFF"/>
                <w:sz w:val="17"/>
              </w:rPr>
              <w:t>Brique SI</w:t>
            </w:r>
          </w:p>
        </w:tc>
        <w:tc>
          <w:tcPr>
            <w:tcW w:type="dxa" w:w="3456"/>
            <w:vAlign w:val="center"/>
            <w:shd w:fill="1F4E78"/>
          </w:tcPr>
          <w:p>
            <w:r/>
            <w:r>
              <w:rPr>
                <w:b/>
                <w:color w:val="FFFFFF"/>
                <w:sz w:val="17"/>
              </w:rPr>
              <w:t>Besoin de monitoring</w:t>
            </w:r>
          </w:p>
        </w:tc>
        <w:tc>
          <w:tcPr>
            <w:tcW w:type="dxa" w:w="3456"/>
            <w:vAlign w:val="center"/>
            <w:shd w:fill="1F4E78"/>
          </w:tcPr>
          <w:p>
            <w:r>
              <w:t>Réponse Cyber Trust</w:t>
            </w:r>
            <w:r>
              <w:rPr>
                <w:b/>
                <w:color w:val="FFFFFF"/>
                <w:sz w:val="17"/>
              </w:rPr>
            </w:r>
          </w:p>
        </w:tc>
      </w:tr>
      <w:tr>
        <w:tc>
          <w:tcPr>
            <w:tcW w:type="dxa" w:w="3456"/>
            <w:vAlign w:val="center"/>
          </w:tcPr>
          <w:p>
            <w:r/>
            <w:r>
              <w:rPr>
                <w:b w:val="0"/>
                <w:sz w:val="17"/>
              </w:rPr>
              <w:t>Postes de travail</w:t>
            </w:r>
          </w:p>
        </w:tc>
        <w:tc>
          <w:tcPr>
            <w:tcW w:type="dxa" w:w="3456"/>
            <w:vAlign w:val="center"/>
          </w:tcPr>
          <w:p>
            <w:r>
              <w:t>Authentifications locales, exécutions suspectes, usage USB</w:t>
            </w:r>
            <w:r>
              <w:rPr>
                <w:b w:val="0"/>
                <w:sz w:val="17"/>
              </w:rPr>
            </w:r>
          </w:p>
        </w:tc>
        <w:tc>
          <w:tcPr>
            <w:tcW w:type="dxa" w:w="3456"/>
            <w:vAlign w:val="center"/>
          </w:tcPr>
          <w:p>
            <w:r>
              <w:t>Agents Wazuh, SCA, règles USB et endpoint.</w:t>
            </w:r>
            <w:r>
              <w:rPr>
                <w:b w:val="0"/>
                <w:sz w:val="17"/>
              </w:rPr>
            </w:r>
          </w:p>
        </w:tc>
      </w:tr>
      <w:tr>
        <w:tc>
          <w:tcPr>
            <w:tcW w:type="dxa" w:w="3456"/>
            <w:vAlign w:val="center"/>
          </w:tcPr>
          <w:p>
            <w:r/>
            <w:r>
              <w:rPr>
                <w:b w:val="0"/>
                <w:sz w:val="17"/>
              </w:rPr>
              <w:t>Routeurs / Firewall</w:t>
            </w:r>
          </w:p>
        </w:tc>
        <w:tc>
          <w:tcPr>
            <w:tcW w:type="dxa" w:w="3456"/>
            <w:vAlign w:val="center"/>
          </w:tcPr>
          <w:p>
            <w:r>
              <w:t>Flux réseau, accès non autorisés, configuration</w:t>
            </w:r>
            <w:r>
              <w:rPr>
                <w:b w:val="0"/>
                <w:sz w:val="17"/>
              </w:rPr>
            </w:r>
          </w:p>
        </w:tc>
        <w:tc>
          <w:tcPr>
            <w:tcW w:type="dxa" w:w="3456"/>
            <w:vAlign w:val="center"/>
          </w:tcPr>
          <w:p>
            <w:r/>
            <w:r>
              <w:rPr>
                <w:b w:val="0"/>
                <w:sz w:val="17"/>
              </w:rPr>
              <w:t>pfSense, syslog UDP 514, alertes 110010 et 110020.</w:t>
            </w:r>
          </w:p>
        </w:tc>
      </w:tr>
      <w:tr>
        <w:tc>
          <w:tcPr>
            <w:tcW w:type="dxa" w:w="3456"/>
            <w:vAlign w:val="center"/>
          </w:tcPr>
          <w:p>
            <w:r>
              <w:t>Applications métiers</w:t>
            </w:r>
            <w:r>
              <w:rPr>
                <w:b w:val="0"/>
                <w:sz w:val="17"/>
              </w:rPr>
            </w:r>
          </w:p>
        </w:tc>
        <w:tc>
          <w:tcPr>
            <w:tcW w:type="dxa" w:w="3456"/>
            <w:vAlign w:val="center"/>
          </w:tcPr>
          <w:p>
            <w:r>
              <w:t>Logs CRM/RDV/dossiers patients, accès anormaux</w:t>
            </w:r>
            <w:r>
              <w:rPr>
                <w:b w:val="0"/>
                <w:sz w:val="17"/>
              </w:rPr>
            </w:r>
          </w:p>
        </w:tc>
        <w:tc>
          <w:tcPr>
            <w:tcW w:type="dxa" w:w="3456"/>
            <w:vAlign w:val="center"/>
          </w:tcPr>
          <w:p>
            <w:r>
              <w:t>Logs applicatifs Daylight et règles métier 100110 à 100140.</w:t>
            </w:r>
            <w:r>
              <w:rPr>
                <w:b w:val="0"/>
                <w:sz w:val="17"/>
              </w:rPr>
            </w:r>
          </w:p>
        </w:tc>
      </w:tr>
      <w:tr>
        <w:tc>
          <w:tcPr>
            <w:tcW w:type="dxa" w:w="3456"/>
            <w:vAlign w:val="center"/>
          </w:tcPr>
          <w:p>
            <w:r/>
            <w:r>
              <w:rPr>
                <w:b w:val="0"/>
                <w:sz w:val="17"/>
              </w:rPr>
              <w:t>Serveurs internes</w:t>
            </w:r>
          </w:p>
        </w:tc>
        <w:tc>
          <w:tcPr>
            <w:tcW w:type="dxa" w:w="3456"/>
            <w:vAlign w:val="center"/>
          </w:tcPr>
          <w:p>
            <w:r>
              <w:t>Accès partages, brute force, élévation de privilèges</w:t>
            </w:r>
            <w:r>
              <w:rPr>
                <w:b w:val="0"/>
                <w:sz w:val="17"/>
              </w:rPr>
            </w:r>
          </w:p>
        </w:tc>
        <w:tc>
          <w:tcPr>
            <w:tcW w:type="dxa" w:w="3456"/>
            <w:vAlign w:val="center"/>
          </w:tcPr>
          <w:p>
            <w:r>
              <w:t>Serveur Linux simulé, auth.log, règles SSH/PAM.</w:t>
            </w:r>
            <w:r>
              <w:rPr>
                <w:b w:val="0"/>
                <w:sz w:val="17"/>
              </w:rPr>
            </w:r>
          </w:p>
        </w:tc>
      </w:tr>
      <w:tr>
        <w:tc>
          <w:tcPr>
            <w:tcW w:type="dxa" w:w="3456"/>
            <w:vAlign w:val="center"/>
          </w:tcPr>
          <w:p>
            <w:r/>
            <w:r>
              <w:rPr>
                <w:b w:val="0"/>
                <w:sz w:val="17"/>
              </w:rPr>
              <w:t>Messagerie</w:t>
            </w:r>
          </w:p>
        </w:tc>
        <w:tc>
          <w:tcPr>
            <w:tcW w:type="dxa" w:w="3456"/>
            <w:vAlign w:val="center"/>
          </w:tcPr>
          <w:p>
            <w:r>
              <w:t>Phishing, spam, pièces jointes</w:t>
            </w:r>
            <w:r>
              <w:rPr>
                <w:b w:val="0"/>
                <w:sz w:val="17"/>
              </w:rPr>
            </w:r>
          </w:p>
        </w:tc>
        <w:tc>
          <w:tcPr>
            <w:tcW w:type="dxa" w:w="3456"/>
            <w:vAlign w:val="center"/>
          </w:tcPr>
          <w:p>
            <w:r>
              <w:t>Scénarios simulés et playbooks de traitement.</w:t>
            </w:r>
            <w:r>
              <w:rPr>
                <w:b w:val="0"/>
                <w:sz w:val="17"/>
              </w:rPr>
            </w:r>
          </w:p>
        </w:tc>
      </w:tr>
    </w:tbl>
    <w:p/>
    <w:p>
      <w:pPr>
        <w:pStyle w:val="Titre1"/>
      </w:pPr>
      <w:r>
        <w:t>3. Gestion des coûts et choix de MVP</w:t>
      </w:r>
    </w:p>
    <w:p>
      <w:pPr>
        <w:spacing w:after="160" w:line="259" w:lineRule="auto"/>
      </w:pPr>
      <w:r>
        <w:rPr>
          <w:sz w:val="21"/>
        </w:rPr>
        <w:t>Le MVP privilégie des composants open source et reproductibles afin de concentrer le budget sur l’expertise, la configuration et la documentation. Wazuh et pfSense Community Edition réduisent le coût logiciel initial, tout en permettant de démontrer les fonctions attendues : collecte, règles, dashboards, RBAC, logs firewall et procédures.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F4E78"/>
          </w:tcPr>
          <w:p>
            <w:r/>
            <w:r>
              <w:rPr>
                <w:b/>
                <w:color w:val="FFFFFF"/>
                <w:sz w:val="17"/>
              </w:rPr>
              <w:t>Poste</w:t>
            </w:r>
          </w:p>
        </w:tc>
        <w:tc>
          <w:tcPr>
            <w:tcW w:type="dxa" w:w="2592"/>
            <w:vAlign w:val="center"/>
            <w:shd w:fill="1F4E78"/>
          </w:tcPr>
          <w:p>
            <w:r/>
            <w:r>
              <w:rPr>
                <w:b/>
                <w:color w:val="FFFFFF"/>
                <w:sz w:val="17"/>
              </w:rPr>
              <w:t>Choix MVP</w:t>
            </w:r>
          </w:p>
        </w:tc>
        <w:tc>
          <w:tcPr>
            <w:tcW w:type="dxa" w:w="2592"/>
            <w:vAlign w:val="center"/>
            <w:shd w:fill="1F4E78"/>
          </w:tcPr>
          <w:p>
            <w:r>
              <w:t>Coût logiciel</w:t>
            </w:r>
            <w:r>
              <w:rPr>
                <w:b/>
                <w:color w:val="FFFFFF"/>
                <w:sz w:val="17"/>
              </w:rPr>
            </w:r>
          </w:p>
        </w:tc>
        <w:tc>
          <w:tcPr>
            <w:tcW w:type="dxa" w:w="2592"/>
            <w:vAlign w:val="center"/>
            <w:shd w:fill="1F4E78"/>
          </w:tcPr>
          <w:p>
            <w:r/>
            <w:r>
              <w:rPr>
                <w:b/>
                <w:color w:val="FFFFFF"/>
                <w:sz w:val="17"/>
              </w:rPr>
              <w:t>Remarque production</w:t>
            </w:r>
          </w:p>
        </w:tc>
      </w:tr>
      <w:tr>
        <w:tc>
          <w:tcPr>
            <w:tcW w:type="dxa" w:w="2592"/>
            <w:vAlign w:val="center"/>
          </w:tcPr>
          <w:p>
            <w:r/>
            <w:r>
              <w:rPr>
                <w:b w:val="0"/>
                <w:sz w:val="17"/>
              </w:rPr>
              <w:t>SIEM</w:t>
            </w:r>
          </w:p>
        </w:tc>
        <w:tc>
          <w:tcPr>
            <w:tcW w:type="dxa" w:w="2592"/>
            <w:vAlign w:val="center"/>
          </w:tcPr>
          <w:p>
            <w:r/>
            <w:r>
              <w:rPr>
                <w:b w:val="0"/>
                <w:sz w:val="17"/>
              </w:rPr>
              <w:t>Wazuh single-node Docker</w:t>
            </w:r>
          </w:p>
        </w:tc>
        <w:tc>
          <w:tcPr>
            <w:tcW w:type="dxa" w:w="2592"/>
            <w:vAlign w:val="center"/>
          </w:tcPr>
          <w:p>
            <w:r>
              <w:t>0 € licence</w:t>
            </w:r>
            <w:r>
              <w:rPr>
                <w:b w:val="0"/>
                <w:sz w:val="17"/>
              </w:rPr>
            </w:r>
          </w:p>
        </w:tc>
        <w:tc>
          <w:tcPr>
            <w:tcW w:type="dxa" w:w="2592"/>
            <w:vAlign w:val="center"/>
          </w:tcPr>
          <w:p>
            <w:r>
              <w:t>Séparer Manager, Indexer et Dashboard en production.</w:t>
            </w:r>
            <w:r>
              <w:rPr>
                <w:b w:val="0"/>
                <w:sz w:val="17"/>
              </w:rPr>
            </w:r>
          </w:p>
        </w:tc>
      </w:tr>
      <w:tr>
        <w:tc>
          <w:tcPr>
            <w:tcW w:type="dxa" w:w="2592"/>
            <w:vAlign w:val="center"/>
          </w:tcPr>
          <w:p>
            <w:r/>
            <w:r>
              <w:rPr>
                <w:b w:val="0"/>
                <w:sz w:val="17"/>
              </w:rPr>
              <w:t>Firewall</w:t>
            </w:r>
          </w:p>
        </w:tc>
        <w:tc>
          <w:tcPr>
            <w:tcW w:type="dxa" w:w="2592"/>
            <w:vAlign w:val="center"/>
          </w:tcPr>
          <w:p>
            <w:r/>
            <w:r>
              <w:rPr>
                <w:b w:val="0"/>
                <w:sz w:val="17"/>
              </w:rPr>
              <w:t>pfSense CE en VM VMware</w:t>
            </w:r>
          </w:p>
        </w:tc>
        <w:tc>
          <w:tcPr>
            <w:tcW w:type="dxa" w:w="2592"/>
            <w:vAlign w:val="center"/>
          </w:tcPr>
          <w:p>
            <w:r>
              <w:t>0 € licence</w:t>
            </w:r>
            <w:r>
              <w:rPr>
                <w:b w:val="0"/>
                <w:sz w:val="17"/>
              </w:rPr>
            </w:r>
          </w:p>
        </w:tc>
        <w:tc>
          <w:tcPr>
            <w:tcW w:type="dxa" w:w="2592"/>
            <w:vAlign w:val="center"/>
          </w:tcPr>
          <w:p>
            <w:r>
              <w:t>Prévoir appliance ou HA pour sites critiques.</w:t>
            </w:r>
            <w:r>
              <w:rPr>
                <w:b w:val="0"/>
                <w:sz w:val="17"/>
              </w:rPr>
            </w:r>
          </w:p>
        </w:tc>
      </w:tr>
      <w:tr>
        <w:tc>
          <w:tcPr>
            <w:tcW w:type="dxa" w:w="2592"/>
            <w:vAlign w:val="center"/>
          </w:tcPr>
          <w:p>
            <w:r/>
            <w:r>
              <w:rPr>
                <w:b w:val="0"/>
                <w:sz w:val="17"/>
              </w:rPr>
              <w:t>Lab</w:t>
            </w:r>
          </w:p>
        </w:tc>
        <w:tc>
          <w:tcPr>
            <w:tcW w:type="dxa" w:w="2592"/>
            <w:vAlign w:val="center"/>
          </w:tcPr>
          <w:p>
            <w:r/>
            <w:r>
              <w:rPr>
                <w:b w:val="0"/>
                <w:sz w:val="17"/>
              </w:rPr>
              <w:t>Docker, conteneur serveur-01, VM pfSense</w:t>
            </w:r>
          </w:p>
        </w:tc>
        <w:tc>
          <w:tcPr>
            <w:tcW w:type="dxa" w:w="2592"/>
            <w:vAlign w:val="center"/>
          </w:tcPr>
          <w:p>
            <w:r>
              <w:t>0 € licence</w:t>
            </w:r>
            <w:r>
              <w:rPr>
                <w:b w:val="0"/>
                <w:sz w:val="17"/>
              </w:rPr>
            </w:r>
          </w:p>
        </w:tc>
        <w:tc>
          <w:tcPr>
            <w:tcW w:type="dxa" w:w="2592"/>
            <w:vAlign w:val="center"/>
          </w:tcPr>
          <w:p>
            <w:r/>
            <w:r>
              <w:rPr>
                <w:b w:val="0"/>
                <w:sz w:val="17"/>
              </w:rPr>
              <w:t>Industrialiser via templates et sauvegardes.</w:t>
            </w:r>
          </w:p>
        </w:tc>
      </w:tr>
      <w:tr>
        <w:tc>
          <w:tcPr>
            <w:tcW w:type="dxa" w:w="2592"/>
            <w:vAlign w:val="center"/>
          </w:tcPr>
          <w:p>
            <w:r/>
            <w:r>
              <w:rPr>
                <w:b w:val="0"/>
                <w:sz w:val="17"/>
              </w:rPr>
              <w:t>Exploitation</w:t>
            </w:r>
          </w:p>
        </w:tc>
        <w:tc>
          <w:tcPr>
            <w:tcW w:type="dxa" w:w="2592"/>
            <w:vAlign w:val="center"/>
          </w:tcPr>
          <w:p>
            <w:r/>
            <w:r>
              <w:rPr>
                <w:b w:val="0"/>
                <w:sz w:val="17"/>
              </w:rPr>
              <w:t>Runbooks, playbooks, REX</w:t>
            </w:r>
          </w:p>
        </w:tc>
        <w:tc>
          <w:tcPr>
            <w:tcW w:type="dxa" w:w="2592"/>
            <w:vAlign w:val="center"/>
          </w:tcPr>
          <w:p>
            <w:r/>
            <w:r>
              <w:rPr>
                <w:b w:val="0"/>
                <w:sz w:val="17"/>
              </w:rPr>
              <w:t>Temps projet</w:t>
            </w:r>
          </w:p>
        </w:tc>
        <w:tc>
          <w:tcPr>
            <w:tcW w:type="dxa" w:w="2592"/>
            <w:vAlign w:val="center"/>
          </w:tcPr>
          <w:p>
            <w:r>
              <w:t>À intégrer dans un contrat d’infogérance.</w:t>
            </w:r>
            <w:r>
              <w:rPr>
                <w:b w:val="0"/>
                <w:sz w:val="17"/>
              </w:rPr>
            </w:r>
          </w:p>
        </w:tc>
      </w:tr>
    </w:tbl>
    <w:p/>
    <w:p>
      <w:pPr>
        <w:pStyle w:val="Titre1"/>
      </w:pPr>
      <w:r>
        <w:t>4. Présentation de la solution technique</w:t>
      </w:r>
    </w:p>
    <w:p>
      <w:pPr>
        <w:spacing w:after="160" w:line="259" w:lineRule="auto"/>
      </w:pPr>
      <w:r>
        <w:rPr>
          <w:sz w:val="21"/>
        </w:rPr>
        <w:t>La solution repose sur Wazuh pour la collecte, l’analyse, l’indexation et la visualisation des alertes. pfSense apporte le filtrage réseau, la segmentation et les logs firewall. Les sources obligatoires sont couvertes : endpoint Windows, serveur Linux simulé, application métier Daylight, et logs réseau pfSense.</w:t>
      </w:r>
    </w:p>
    <w:p>
      <w:pPr>
        <w:jc w:val="center"/>
      </w:pPr>
      <w:r>
        <w:drawing>
          <wp:inline>
            <wp:extent cx="5852160" cy="3641344"/>
            <wp:docPr id="1" name="Picture 1"/>
            <wp:cNvGraphicFramePr>
              <a:graphicFrameLocks noChangeAspect="1"/>
            </wp:cNvGraphicFramePr>
            <a:graphic>
              <a:graphicData uri="http://schemas.openxmlformats.org/drawingml/2006/picture">
                <pic:pic>
                  <pic:nvPicPr>
                    <pic:cNvPr id="0" name="CAP-12_architecture-solution.png"/>
                    <pic:cNvPicPr/>
                  </pic:nvPicPr>
                  <pic:blipFill>
                    <a:blip r:embed="rId13"/>
                    <a:stretch>
                      <a:fillRect/>
                    </a:stretch>
                  </pic:blipFill>
                  <pic:spPr>
                    <a:xfrm>
                      <a:off x="0" y="0"/>
                      <a:ext cx="5852160" cy="3641344"/>
                    </a:xfrm>
                    <a:prstGeom prst="rect"/>
                  </pic:spPr>
                </pic:pic>
              </a:graphicData>
            </a:graphic>
          </wp:inline>
        </w:drawing>
      </w:r>
    </w:p>
    <w:p>
      <w:pPr>
        <w:jc w:val="center"/>
      </w:pPr>
      <w:r>
        <w:rPr>
          <w:i/>
          <w:color w:val="4B5563"/>
          <w:sz w:val="18"/>
        </w:rPr>
        <w:t>Architecture globale de la solution Daylight / Cyber Trust</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8"/>
          </w:tcPr>
          <w:p>
            <w:r/>
            <w:r>
              <w:rPr>
                <w:b/>
                <w:color w:val="FFFFFF"/>
                <w:sz w:val="17"/>
              </w:rPr>
              <w:t>Composant</w:t>
            </w:r>
          </w:p>
        </w:tc>
        <w:tc>
          <w:tcPr>
            <w:tcW w:type="dxa" w:w="3456"/>
            <w:vAlign w:val="center"/>
            <w:shd w:fill="1F4E78"/>
          </w:tcPr>
          <w:p>
            <w:r>
              <w:t>Rôle</w:t>
            </w:r>
            <w:r>
              <w:rPr>
                <w:b/>
                <w:color w:val="FFFFFF"/>
                <w:sz w:val="17"/>
              </w:rPr>
            </w:r>
          </w:p>
        </w:tc>
        <w:tc>
          <w:tcPr>
            <w:tcW w:type="dxa" w:w="3456"/>
            <w:vAlign w:val="center"/>
            <w:shd w:fill="1F4E78"/>
          </w:tcPr>
          <w:p>
            <w:r>
              <w:t>Ports / données clés</w:t>
            </w:r>
            <w:r>
              <w:rPr>
                <w:b/>
                <w:color w:val="FFFFFF"/>
                <w:sz w:val="17"/>
              </w:rPr>
            </w:r>
          </w:p>
        </w:tc>
      </w:tr>
      <w:tr>
        <w:tc>
          <w:tcPr>
            <w:tcW w:type="dxa" w:w="3456"/>
            <w:vAlign w:val="center"/>
          </w:tcPr>
          <w:p>
            <w:r/>
            <w:r>
              <w:rPr>
                <w:b w:val="0"/>
                <w:sz w:val="17"/>
              </w:rPr>
              <w:t>Wazuh Manager</w:t>
            </w:r>
          </w:p>
        </w:tc>
        <w:tc>
          <w:tcPr>
            <w:tcW w:type="dxa" w:w="3456"/>
            <w:vAlign w:val="center"/>
          </w:tcPr>
          <w:p>
            <w:r>
              <w:t>Analyse et règles de détection</w:t>
            </w:r>
            <w:r>
              <w:rPr>
                <w:b w:val="0"/>
                <w:sz w:val="17"/>
              </w:rPr>
            </w:r>
          </w:p>
        </w:tc>
        <w:tc>
          <w:tcPr>
            <w:tcW w:type="dxa" w:w="3456"/>
            <w:vAlign w:val="center"/>
          </w:tcPr>
          <w:p>
            <w:r>
              <w:t>1514/TCP agents, 1515/TCP enrôlement, 514/UDP syslog, 55000/TCP API</w:t>
            </w:r>
            <w:r>
              <w:rPr>
                <w:b w:val="0"/>
                <w:sz w:val="17"/>
              </w:rPr>
            </w:r>
          </w:p>
        </w:tc>
      </w:tr>
      <w:tr>
        <w:tc>
          <w:tcPr>
            <w:tcW w:type="dxa" w:w="3456"/>
            <w:vAlign w:val="center"/>
          </w:tcPr>
          <w:p>
            <w:r/>
            <w:r>
              <w:rPr>
                <w:b w:val="0"/>
                <w:sz w:val="17"/>
              </w:rPr>
              <w:t>Wazuh Indexer</w:t>
            </w:r>
          </w:p>
        </w:tc>
        <w:tc>
          <w:tcPr>
            <w:tcW w:type="dxa" w:w="3456"/>
            <w:vAlign w:val="center"/>
          </w:tcPr>
          <w:p>
            <w:r/>
            <w:r>
              <w:rPr>
                <w:b w:val="0"/>
                <w:sz w:val="17"/>
              </w:rPr>
              <w:t>Stockage et recherche</w:t>
            </w:r>
          </w:p>
        </w:tc>
        <w:tc>
          <w:tcPr>
            <w:tcW w:type="dxa" w:w="3456"/>
            <w:vAlign w:val="center"/>
          </w:tcPr>
          <w:p>
            <w:r/>
            <w:r>
              <w:rPr>
                <w:b w:val="0"/>
                <w:sz w:val="17"/>
              </w:rPr>
              <w:t>9200/TCP</w:t>
            </w:r>
          </w:p>
        </w:tc>
      </w:tr>
      <w:tr>
        <w:tc>
          <w:tcPr>
            <w:tcW w:type="dxa" w:w="3456"/>
            <w:vAlign w:val="center"/>
          </w:tcPr>
          <w:p>
            <w:r/>
            <w:r>
              <w:rPr>
                <w:b w:val="0"/>
                <w:sz w:val="17"/>
              </w:rPr>
              <w:t>Wazuh Dashboard</w:t>
            </w:r>
          </w:p>
        </w:tc>
        <w:tc>
          <w:tcPr>
            <w:tcW w:type="dxa" w:w="3456"/>
            <w:vAlign w:val="center"/>
          </w:tcPr>
          <w:p>
            <w:r/>
            <w:r>
              <w:rPr>
                <w:b w:val="0"/>
                <w:sz w:val="17"/>
              </w:rPr>
              <w:t>Interface web et dashboards</w:t>
            </w:r>
          </w:p>
        </w:tc>
        <w:tc>
          <w:tcPr>
            <w:tcW w:type="dxa" w:w="3456"/>
            <w:vAlign w:val="center"/>
          </w:tcPr>
          <w:p>
            <w:r/>
            <w:r>
              <w:rPr>
                <w:b w:val="0"/>
                <w:sz w:val="17"/>
              </w:rPr>
              <w:t>443/TCP</w:t>
            </w:r>
          </w:p>
        </w:tc>
      </w:tr>
      <w:tr>
        <w:tc>
          <w:tcPr>
            <w:tcW w:type="dxa" w:w="3456"/>
            <w:vAlign w:val="center"/>
          </w:tcPr>
          <w:p>
            <w:r/>
            <w:r>
              <w:rPr>
                <w:b w:val="0"/>
                <w:sz w:val="17"/>
              </w:rPr>
              <w:t>pfSense</w:t>
            </w:r>
          </w:p>
        </w:tc>
        <w:tc>
          <w:tcPr>
            <w:tcW w:type="dxa" w:w="3456"/>
            <w:vAlign w:val="center"/>
          </w:tcPr>
          <w:p>
            <w:r>
              <w:t>Firewall, filtrage, logs réseau</w:t>
            </w:r>
            <w:r>
              <w:rPr>
                <w:b w:val="0"/>
                <w:sz w:val="17"/>
              </w:rPr>
            </w:r>
          </w:p>
        </w:tc>
        <w:tc>
          <w:tcPr>
            <w:tcW w:type="dxa" w:w="3456"/>
            <w:vAlign w:val="center"/>
          </w:tcPr>
          <w:p>
            <w:r/>
            <w:r>
              <w:rPr>
                <w:b w:val="0"/>
                <w:sz w:val="17"/>
              </w:rPr>
              <w:t>WAN 192.168.5.128, LAN 10.10.40.1, syslog vers 10.10.50.10:514</w:t>
            </w:r>
          </w:p>
        </w:tc>
      </w:tr>
      <w:tr>
        <w:tc>
          <w:tcPr>
            <w:tcW w:type="dxa" w:w="3456"/>
            <w:vAlign w:val="center"/>
          </w:tcPr>
          <w:p>
            <w:r/>
            <w:r>
              <w:rPr>
                <w:b w:val="0"/>
                <w:sz w:val="17"/>
              </w:rPr>
              <w:t>serveur-01</w:t>
            </w:r>
          </w:p>
        </w:tc>
        <w:tc>
          <w:tcPr>
            <w:tcW w:type="dxa" w:w="3456"/>
            <w:vAlign w:val="center"/>
          </w:tcPr>
          <w:p>
            <w:r>
              <w:t>Serveur Linux simulé</w:t>
            </w:r>
            <w:r>
              <w:rPr>
                <w:b w:val="0"/>
                <w:sz w:val="17"/>
              </w:rPr>
            </w:r>
          </w:p>
        </w:tc>
        <w:tc>
          <w:tcPr>
            <w:tcW w:type="dxa" w:w="3456"/>
            <w:vAlign w:val="center"/>
          </w:tcPr>
          <w:p>
            <w:r>
              <w:t>auth.log, SSH, brute force simulée</w:t>
            </w:r>
            <w:r>
              <w:rPr>
                <w:b w:val="0"/>
                <w:sz w:val="17"/>
              </w:rPr>
            </w:r>
          </w:p>
        </w:tc>
      </w:tr>
      <w:tr>
        <w:tc>
          <w:tcPr>
            <w:tcW w:type="dxa" w:w="3456"/>
            <w:vAlign w:val="center"/>
          </w:tcPr>
          <w:p>
            <w:r/>
            <w:r>
              <w:rPr>
                <w:b w:val="0"/>
                <w:sz w:val="17"/>
              </w:rPr>
              <w:t>Daylight app</w:t>
            </w:r>
          </w:p>
        </w:tc>
        <w:tc>
          <w:tcPr>
            <w:tcW w:type="dxa" w:w="3456"/>
            <w:vAlign w:val="center"/>
          </w:tcPr>
          <w:p>
            <w:r>
              <w:t>Logs métier patients/RDV/CRM</w:t>
            </w:r>
            <w:r>
              <w:rPr>
                <w:b w:val="0"/>
                <w:sz w:val="17"/>
              </w:rPr>
            </w:r>
          </w:p>
        </w:tc>
        <w:tc>
          <w:tcPr>
            <w:tcW w:type="dxa" w:w="3456"/>
            <w:vAlign w:val="center"/>
          </w:tcPr>
          <w:p>
            <w:r>
              <w:t>Règles 100110, 100120, 100130, 100140</w:t>
            </w:r>
            <w:r>
              <w:rPr>
                <w:b w:val="0"/>
                <w:sz w:val="17"/>
              </w:rPr>
            </w:r>
          </w:p>
        </w:tc>
      </w:tr>
    </w:tbl>
    <w:p/>
    <w:p>
      <w:pPr>
        <w:pStyle w:val="Titre1"/>
      </w:pPr>
      <w:r>
        <w:t>5. Démonstrateur opérationnel</w:t>
      </w:r>
    </w:p>
    <w:p>
      <w:pPr>
        <w:spacing w:after="160" w:line="259" w:lineRule="auto"/>
      </w:pPr>
      <w:r>
        <w:rPr>
          <w:sz w:val="21"/>
        </w:rPr>
        <w:t>Le démonstrateur est constitué d’un lab Wazuh Docker, d’un conteneur serveur Linux, de logs applicatifs Daylight simulés et d’une VM pfSense. Cette approche répond à la consigne de simulation d’un SI client par VMs ou conteneurs et permet de rejouer des scénarios attaque/safe.</w:t>
      </w:r>
    </w:p>
    <w:p>
      <w:pPr>
        <w:jc w:val="center"/>
      </w:pPr>
      <w:r>
        <w:drawing>
          <wp:inline>
            <wp:extent cx="5669280" cy="9622658"/>
            <wp:docPr id="2" name="Picture 2"/>
            <wp:cNvGraphicFramePr>
              <a:graphicFrameLocks noChangeAspect="1"/>
            </wp:cNvGraphicFramePr>
            <a:graphic>
              <a:graphicData uri="http://schemas.openxmlformats.org/drawingml/2006/picture">
                <pic:pic>
                  <pic:nvPicPr>
                    <pic:cNvPr id="0" name="CAP-02_agents-poste01-serveur01.png"/>
                    <pic:cNvPicPr/>
                  </pic:nvPicPr>
                  <pic:blipFill>
                    <a:blip r:embed="rId14"/>
                    <a:stretch>
                      <a:fillRect/>
                    </a:stretch>
                  </pic:blipFill>
                  <pic:spPr>
                    <a:xfrm>
                      <a:off x="0" y="0"/>
                      <a:ext cx="5669280" cy="9622658"/>
                    </a:xfrm>
                    <a:prstGeom prst="rect"/>
                  </pic:spPr>
                </pic:pic>
              </a:graphicData>
            </a:graphic>
          </wp:inline>
        </w:drawing>
      </w:r>
    </w:p>
    <w:p>
      <w:pPr>
        <w:jc w:val="center"/>
      </w:pPr>
      <w:r>
        <w:rPr>
          <w:i/>
          <w:color w:val="4B5563"/>
          <w:sz w:val="18"/>
        </w:rPr>
        <w:t>Agents et sources Wazuh raccordés au démonstrateur</w:t>
      </w:r>
    </w:p>
    <w:p>
      <w:pPr>
        <w:jc w:val="center"/>
      </w:pPr>
      <w:r>
        <w:drawing>
          <wp:inline>
            <wp:extent cx="5669280" cy="2887553"/>
            <wp:docPr id="3" name="Picture 3"/>
            <wp:cNvGraphicFramePr>
              <a:graphicFrameLocks noChangeAspect="1"/>
            </wp:cNvGraphicFramePr>
            <a:graphic>
              <a:graphicData uri="http://schemas.openxmlformats.org/drawingml/2006/picture">
                <pic:pic>
                  <pic:nvPicPr>
                    <pic:cNvPr id="0" name="CAP-32_pfsense-rules-lan-reelles.png"/>
                    <pic:cNvPicPr/>
                  </pic:nvPicPr>
                  <pic:blipFill>
                    <a:blip r:embed="rId15"/>
                    <a:stretch>
                      <a:fillRect/>
                    </a:stretch>
                  </pic:blipFill>
                  <pic:spPr>
                    <a:xfrm>
                      <a:off x="0" y="0"/>
                      <a:ext cx="5669280" cy="2887553"/>
                    </a:xfrm>
                    <a:prstGeom prst="rect"/>
                  </pic:spPr>
                </pic:pic>
              </a:graphicData>
            </a:graphic>
          </wp:inline>
        </w:drawing>
      </w:r>
    </w:p>
    <w:p>
      <w:pPr>
        <w:jc w:val="center"/>
      </w:pPr>
      <w:r>
        <w:rPr>
          <w:i/>
          <w:color w:val="4B5563"/>
          <w:sz w:val="18"/>
        </w:rPr>
        <w:t>Règles pfSense LAN : autorisations nécessaires et blocages critiques</w:t>
      </w:r>
    </w:p>
    <w:p>
      <w:pPr>
        <w:jc w:val="center"/>
      </w:pPr>
      <w:r>
        <w:drawing>
          <wp:inline>
            <wp:extent cx="5669280" cy="3887053"/>
            <wp:docPr id="4" name="Picture 4"/>
            <wp:cNvGraphicFramePr>
              <a:graphicFrameLocks noChangeAspect="1"/>
            </wp:cNvGraphicFramePr>
            <a:graphic>
              <a:graphicData uri="http://schemas.openxmlformats.org/drawingml/2006/picture">
                <pic:pic>
                  <pic:nvPicPr>
                    <pic:cNvPr id="0" name="CAP-35_pfsense-syslog-wazuh-reel.png"/>
                    <pic:cNvPicPr/>
                  </pic:nvPicPr>
                  <pic:blipFill>
                    <a:blip r:embed="rId16"/>
                    <a:stretch>
                      <a:fillRect/>
                    </a:stretch>
                  </pic:blipFill>
                  <pic:spPr>
                    <a:xfrm>
                      <a:off x="0" y="0"/>
                      <a:ext cx="5669280" cy="3887053"/>
                    </a:xfrm>
                    <a:prstGeom prst="rect"/>
                  </pic:spPr>
                </pic:pic>
              </a:graphicData>
            </a:graphic>
          </wp:inline>
        </w:drawing>
      </w:r>
    </w:p>
    <w:p>
      <w:pPr>
        <w:jc w:val="center"/>
      </w:pPr>
      <w:r>
        <w:rPr>
          <w:i/>
          <w:color w:val="4B5563"/>
          <w:sz w:val="18"/>
        </w:rPr>
        <w:t>Configuration syslog pfSense vers Wazuh</w:t>
      </w:r>
    </w:p>
    <w:p>
      <w:pPr>
        <w:pStyle w:val="Titre1"/>
      </w:pPr>
      <w:r>
        <w:t>6. Dashboards, alertes et RBAC</w:t>
      </w:r>
    </w:p>
    <w:p>
      <w:pPr>
        <w:spacing w:after="160" w:line="259" w:lineRule="auto"/>
      </w:pPr>
      <w:r>
        <w:rPr>
          <w:sz w:val="21"/>
        </w:rPr>
        <w:t>Les dashboards répondent au besoin de lisibilité et de segmentation des vues. Le dashboard technique aide l’analyste à explorer les alertes par source, règle et sévérité. Le dashboard exécutif synthétise la volumétrie, les alertes critiques et la répartition par site. Les comptes admin, analyste et supervision matérialisent la segmentation par rôles demandée.</w:t>
      </w:r>
    </w:p>
    <w:p>
      <w:pPr>
        <w:jc w:val="center"/>
      </w:pPr>
      <w:r>
        <w:drawing>
          <wp:inline>
            <wp:extent cx="5669280" cy="3527552"/>
            <wp:docPr id="5" name="Picture 5"/>
            <wp:cNvGraphicFramePr>
              <a:graphicFrameLocks noChangeAspect="1"/>
            </wp:cNvGraphicFramePr>
            <a:graphic>
              <a:graphicData uri="http://schemas.openxmlformats.org/drawingml/2006/picture">
                <pic:pic>
                  <pic:nvPicPr>
                    <pic:cNvPr id="0" name="CAP-07_dashboard-technique.png"/>
                    <pic:cNvPicPr/>
                  </pic:nvPicPr>
                  <pic:blipFill>
                    <a:blip r:embed="rId17"/>
                    <a:stretch>
                      <a:fillRect/>
                    </a:stretch>
                  </pic:blipFill>
                  <pic:spPr>
                    <a:xfrm>
                      <a:off x="0" y="0"/>
                      <a:ext cx="5669280" cy="3527552"/>
                    </a:xfrm>
                    <a:prstGeom prst="rect"/>
                  </pic:spPr>
                </pic:pic>
              </a:graphicData>
            </a:graphic>
          </wp:inline>
        </w:drawing>
      </w:r>
    </w:p>
    <w:p>
      <w:pPr>
        <w:jc w:val="center"/>
      </w:pPr>
      <w:r>
        <w:rPr>
          <w:i/>
          <w:color w:val="4B5563"/>
          <w:sz w:val="18"/>
        </w:rPr>
        <w:t>Dashboard technique : alertes par sévérité, source et règle</w:t>
      </w:r>
    </w:p>
    <w:p>
      <w:pPr>
        <w:jc w:val="center"/>
      </w:pPr>
      <w:r>
        <w:drawing>
          <wp:inline>
            <wp:extent cx="5669280" cy="3543300"/>
            <wp:docPr id="6" name="Picture 6"/>
            <wp:cNvGraphicFramePr>
              <a:graphicFrameLocks noChangeAspect="1"/>
            </wp:cNvGraphicFramePr>
            <a:graphic>
              <a:graphicData uri="http://schemas.openxmlformats.org/drawingml/2006/picture">
                <pic:pic>
                  <pic:nvPicPr>
                    <pic:cNvPr id="0" name="CAP-08_dashboard-executif.png"/>
                    <pic:cNvPicPr/>
                  </pic:nvPicPr>
                  <pic:blipFill>
                    <a:blip r:embed="rId18"/>
                    <a:stretch>
                      <a:fillRect/>
                    </a:stretch>
                  </pic:blipFill>
                  <pic:spPr>
                    <a:xfrm>
                      <a:off x="0" y="0"/>
                      <a:ext cx="5669280" cy="3543300"/>
                    </a:xfrm>
                    <a:prstGeom prst="rect"/>
                  </pic:spPr>
                </pic:pic>
              </a:graphicData>
            </a:graphic>
          </wp:inline>
        </w:drawing>
      </w:r>
    </w:p>
    <w:p>
      <w:pPr>
        <w:jc w:val="center"/>
      </w:pPr>
      <w:r>
        <w:rPr>
          <w:i/>
          <w:color w:val="4B5563"/>
          <w:sz w:val="18"/>
        </w:rPr>
        <w:t>Dashboard exécutif : synthèse client et criticité</w:t>
      </w:r>
    </w:p>
    <w:p>
      <w:pPr>
        <w:jc w:val="center"/>
      </w:pPr>
      <w:r>
        <w:drawing>
          <wp:inline>
            <wp:extent cx="5669280" cy="6413671"/>
            <wp:docPr id="7" name="Picture 7"/>
            <wp:cNvGraphicFramePr>
              <a:graphicFrameLocks noChangeAspect="1"/>
            </wp:cNvGraphicFramePr>
            <a:graphic>
              <a:graphicData uri="http://schemas.openxmlformats.org/drawingml/2006/picture">
                <pic:pic>
                  <pic:nvPicPr>
                    <pic:cNvPr id="0" name="CAP-09_rbac-analyste-lecture-seule.png"/>
                    <pic:cNvPicPr/>
                  </pic:nvPicPr>
                  <pic:blipFill>
                    <a:blip r:embed="rId19"/>
                    <a:stretch>
                      <a:fillRect/>
                    </a:stretch>
                  </pic:blipFill>
                  <pic:spPr>
                    <a:xfrm>
                      <a:off x="0" y="0"/>
                      <a:ext cx="5669280" cy="6413671"/>
                    </a:xfrm>
                    <a:prstGeom prst="rect"/>
                  </pic:spPr>
                </pic:pic>
              </a:graphicData>
            </a:graphic>
          </wp:inline>
        </w:drawing>
      </w:r>
    </w:p>
    <w:p>
      <w:pPr>
        <w:jc w:val="center"/>
      </w:pPr>
      <w:r>
        <w:rPr>
          <w:i/>
          <w:color w:val="4B5563"/>
          <w:sz w:val="18"/>
        </w:rPr>
        <w:t>RBAC : compte analyste en lecture seule</w:t>
      </w:r>
    </w:p>
    <w:p>
      <w:pPr>
        <w:pStyle w:val="Titre1"/>
      </w:pPr>
      <w:r>
        <w:t>7. Détections et scénarios de tests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F4E78"/>
          </w:tcPr>
          <w:p>
            <w:r>
              <w:t>Scénario</w:t>
            </w:r>
            <w:r>
              <w:rPr>
                <w:b/>
                <w:color w:val="FFFFFF"/>
                <w:sz w:val="17"/>
              </w:rPr>
            </w:r>
          </w:p>
        </w:tc>
        <w:tc>
          <w:tcPr>
            <w:tcW w:type="dxa" w:w="2592"/>
            <w:vAlign w:val="center"/>
            <w:shd w:fill="1F4E78"/>
          </w:tcPr>
          <w:p>
            <w:r/>
            <w:r>
              <w:rPr>
                <w:b/>
                <w:color w:val="FFFFFF"/>
                <w:sz w:val="17"/>
              </w:rPr>
              <w:t>Source</w:t>
            </w:r>
          </w:p>
        </w:tc>
        <w:tc>
          <w:tcPr>
            <w:tcW w:type="dxa" w:w="2592"/>
            <w:vAlign w:val="center"/>
            <w:shd w:fill="1F4E78"/>
          </w:tcPr>
          <w:p>
            <w:r>
              <w:t>Détection / règle</w:t>
            </w:r>
            <w:r>
              <w:rPr>
                <w:b/>
                <w:color w:val="FFFFFF"/>
                <w:sz w:val="17"/>
              </w:rPr>
            </w:r>
          </w:p>
        </w:tc>
        <w:tc>
          <w:tcPr>
            <w:tcW w:type="dxa" w:w="2592"/>
            <w:vAlign w:val="center"/>
            <w:shd w:fill="1F4E78"/>
          </w:tcPr>
          <w:p>
            <w:r>
              <w:t>Valeur démontrée</w:t>
            </w:r>
            <w:r>
              <w:rPr>
                <w:b/>
                <w:color w:val="FFFFFF"/>
                <w:sz w:val="17"/>
              </w:rPr>
            </w:r>
          </w:p>
        </w:tc>
      </w:tr>
      <w:tr>
        <w:tc>
          <w:tcPr>
            <w:tcW w:type="dxa" w:w="2592"/>
            <w:vAlign w:val="center"/>
          </w:tcPr>
          <w:p>
            <w:r/>
            <w:r>
              <w:rPr>
                <w:b w:val="0"/>
                <w:sz w:val="17"/>
              </w:rPr>
              <w:t>Brute force SSH</w:t>
            </w:r>
          </w:p>
        </w:tc>
        <w:tc>
          <w:tcPr>
            <w:tcW w:type="dxa" w:w="2592"/>
            <w:vAlign w:val="center"/>
          </w:tcPr>
          <w:p>
            <w:r/>
            <w:r>
              <w:rPr>
                <w:b w:val="0"/>
                <w:sz w:val="17"/>
              </w:rPr>
              <w:t>serveur-01</w:t>
            </w:r>
          </w:p>
        </w:tc>
        <w:tc>
          <w:tcPr>
            <w:tcW w:type="dxa" w:w="2592"/>
            <w:vAlign w:val="center"/>
          </w:tcPr>
          <w:p>
            <w:r>
              <w:t>5712 / 5763 selon événement</w:t>
            </w:r>
            <w:r>
              <w:rPr>
                <w:b w:val="0"/>
                <w:sz w:val="17"/>
              </w:rPr>
            </w:r>
          </w:p>
        </w:tc>
        <w:tc>
          <w:tcPr>
            <w:tcW w:type="dxa" w:w="2592"/>
            <w:vAlign w:val="center"/>
          </w:tcPr>
          <w:p>
            <w:r>
              <w:t>Détection système et qualification incident.</w:t>
            </w:r>
            <w:r>
              <w:rPr>
                <w:b w:val="0"/>
                <w:sz w:val="17"/>
              </w:rPr>
            </w:r>
          </w:p>
        </w:tc>
      </w:tr>
      <w:tr>
        <w:tc>
          <w:tcPr>
            <w:tcW w:type="dxa" w:w="2592"/>
            <w:vAlign w:val="center"/>
          </w:tcPr>
          <w:p>
            <w:r>
              <w:t>Accès anormal dossier patient</w:t>
            </w:r>
            <w:r>
              <w:rPr>
                <w:b w:val="0"/>
                <w:sz w:val="17"/>
              </w:rPr>
            </w:r>
          </w:p>
        </w:tc>
        <w:tc>
          <w:tcPr>
            <w:tcW w:type="dxa" w:w="2592"/>
            <w:vAlign w:val="center"/>
          </w:tcPr>
          <w:p>
            <w:r/>
            <w:r>
              <w:rPr>
                <w:b w:val="0"/>
                <w:sz w:val="17"/>
              </w:rPr>
              <w:t>Application Daylight</w:t>
            </w:r>
          </w:p>
        </w:tc>
        <w:tc>
          <w:tcPr>
            <w:tcW w:type="dxa" w:w="2592"/>
            <w:vAlign w:val="center"/>
          </w:tcPr>
          <w:p>
            <w:r/>
            <w:r>
              <w:rPr>
                <w:b w:val="0"/>
                <w:sz w:val="17"/>
              </w:rPr>
              <w:t>100120</w:t>
            </w:r>
          </w:p>
        </w:tc>
        <w:tc>
          <w:tcPr>
            <w:tcW w:type="dxa" w:w="2592"/>
            <w:vAlign w:val="center"/>
          </w:tcPr>
          <w:p>
            <w:r>
              <w:t>Cas métier central lié aux données patients.</w:t>
            </w:r>
            <w:r>
              <w:rPr>
                <w:b w:val="0"/>
                <w:sz w:val="17"/>
              </w:rPr>
            </w:r>
          </w:p>
        </w:tc>
      </w:tr>
      <w:tr>
        <w:tc>
          <w:tcPr>
            <w:tcW w:type="dxa" w:w="2592"/>
            <w:vAlign w:val="center"/>
          </w:tcPr>
          <w:p>
            <w:r>
              <w:t>Modification groupe privilégié</w:t>
            </w:r>
            <w:r>
              <w:rPr>
                <w:b w:val="0"/>
                <w:sz w:val="17"/>
              </w:rPr>
            </w:r>
          </w:p>
        </w:tc>
        <w:tc>
          <w:tcPr>
            <w:tcW w:type="dxa" w:w="2592"/>
            <w:vAlign w:val="center"/>
          </w:tcPr>
          <w:p>
            <w:r>
              <w:t>Application / système</w:t>
            </w:r>
            <w:r>
              <w:rPr>
                <w:b w:val="0"/>
                <w:sz w:val="17"/>
              </w:rPr>
            </w:r>
          </w:p>
        </w:tc>
        <w:tc>
          <w:tcPr>
            <w:tcW w:type="dxa" w:w="2592"/>
            <w:vAlign w:val="center"/>
          </w:tcPr>
          <w:p>
            <w:r/>
            <w:r>
              <w:rPr>
                <w:b w:val="0"/>
                <w:sz w:val="17"/>
              </w:rPr>
              <w:t>100130</w:t>
            </w:r>
          </w:p>
        </w:tc>
        <w:tc>
          <w:tcPr>
            <w:tcW w:type="dxa" w:w="2592"/>
            <w:vAlign w:val="center"/>
          </w:tcPr>
          <w:p>
            <w:r>
              <w:t>Surveillance élévation de privilèges.</w:t>
            </w:r>
            <w:r>
              <w:rPr>
                <w:b w:val="0"/>
                <w:sz w:val="17"/>
              </w:rPr>
            </w:r>
          </w:p>
        </w:tc>
      </w:tr>
      <w:tr>
        <w:tc>
          <w:tcPr>
            <w:tcW w:type="dxa" w:w="2592"/>
            <w:vAlign w:val="center"/>
          </w:tcPr>
          <w:p>
            <w:r/>
            <w:r>
              <w:rPr>
                <w:b w:val="0"/>
                <w:sz w:val="17"/>
              </w:rPr>
              <w:t>Usage USB</w:t>
            </w:r>
          </w:p>
        </w:tc>
        <w:tc>
          <w:tcPr>
            <w:tcW w:type="dxa" w:w="2592"/>
            <w:vAlign w:val="center"/>
          </w:tcPr>
          <w:p>
            <w:r/>
            <w:r>
              <w:rPr>
                <w:b w:val="0"/>
                <w:sz w:val="17"/>
              </w:rPr>
              <w:t>Endpoint</w:t>
            </w:r>
          </w:p>
        </w:tc>
        <w:tc>
          <w:tcPr>
            <w:tcW w:type="dxa" w:w="2592"/>
            <w:vAlign w:val="center"/>
          </w:tcPr>
          <w:p>
            <w:r/>
            <w:r>
              <w:rPr>
                <w:b w:val="0"/>
                <w:sz w:val="17"/>
              </w:rPr>
              <w:t>100140</w:t>
            </w:r>
          </w:p>
        </w:tc>
        <w:tc>
          <w:tcPr>
            <w:tcW w:type="dxa" w:w="2592"/>
            <w:vAlign w:val="center"/>
          </w:tcPr>
          <w:p>
            <w:r/>
            <w:r>
              <w:rPr>
                <w:b w:val="0"/>
                <w:sz w:val="17"/>
              </w:rPr>
              <w:t>Surveillance poste utilisateur.</w:t>
            </w:r>
          </w:p>
        </w:tc>
      </w:tr>
      <w:tr>
        <w:tc>
          <w:tcPr>
            <w:tcW w:type="dxa" w:w="2592"/>
            <w:vAlign w:val="center"/>
          </w:tcPr>
          <w:p>
            <w:r>
              <w:t>Trafic WAN bloqué</w:t>
            </w:r>
            <w:r>
              <w:rPr>
                <w:b w:val="0"/>
                <w:sz w:val="17"/>
              </w:rPr>
            </w:r>
          </w:p>
        </w:tc>
        <w:tc>
          <w:tcPr>
            <w:tcW w:type="dxa" w:w="2592"/>
            <w:vAlign w:val="center"/>
          </w:tcPr>
          <w:p>
            <w:r/>
            <w:r>
              <w:rPr>
                <w:b w:val="0"/>
                <w:sz w:val="17"/>
              </w:rPr>
              <w:t>pfSense</w:t>
            </w:r>
          </w:p>
        </w:tc>
        <w:tc>
          <w:tcPr>
            <w:tcW w:type="dxa" w:w="2592"/>
            <w:vAlign w:val="center"/>
          </w:tcPr>
          <w:p>
            <w:r/>
            <w:r>
              <w:rPr>
                <w:b w:val="0"/>
                <w:sz w:val="17"/>
              </w:rPr>
              <w:t>110010</w:t>
            </w:r>
          </w:p>
        </w:tc>
        <w:tc>
          <w:tcPr>
            <w:tcW w:type="dxa" w:w="2592"/>
            <w:vAlign w:val="center"/>
          </w:tcPr>
          <w:p>
            <w:r/>
            <w:r>
              <w:rPr>
                <w:b w:val="0"/>
                <w:sz w:val="17"/>
              </w:rPr>
              <w:t>Supervision firewall et exposition externe.</w:t>
            </w:r>
          </w:p>
        </w:tc>
      </w:tr>
      <w:tr>
        <w:tc>
          <w:tcPr>
            <w:tcW w:type="dxa" w:w="2592"/>
            <w:vAlign w:val="center"/>
          </w:tcPr>
          <w:p>
            <w:r>
              <w:t>Mouvement latéral vers MGMT</w:t>
            </w:r>
            <w:r>
              <w:rPr>
                <w:b w:val="0"/>
                <w:sz w:val="17"/>
              </w:rPr>
            </w:r>
          </w:p>
        </w:tc>
        <w:tc>
          <w:tcPr>
            <w:tcW w:type="dxa" w:w="2592"/>
            <w:vAlign w:val="center"/>
          </w:tcPr>
          <w:p>
            <w:r/>
            <w:r>
              <w:rPr>
                <w:b w:val="0"/>
                <w:sz w:val="17"/>
              </w:rPr>
              <w:t>pfSense</w:t>
            </w:r>
          </w:p>
        </w:tc>
        <w:tc>
          <w:tcPr>
            <w:tcW w:type="dxa" w:w="2592"/>
            <w:vAlign w:val="center"/>
          </w:tcPr>
          <w:p>
            <w:r/>
            <w:r>
              <w:rPr>
                <w:b w:val="0"/>
                <w:sz w:val="17"/>
              </w:rPr>
              <w:t>110020</w:t>
            </w:r>
          </w:p>
        </w:tc>
        <w:tc>
          <w:tcPr>
            <w:tcW w:type="dxa" w:w="2592"/>
            <w:vAlign w:val="center"/>
          </w:tcPr>
          <w:p>
            <w:r>
              <w:t>Blocage d’accès aux zones sensibles.</w:t>
            </w:r>
            <w:r>
              <w:rPr>
                <w:b w:val="0"/>
                <w:sz w:val="17"/>
              </w:rPr>
            </w:r>
          </w:p>
        </w:tc>
      </w:tr>
    </w:tbl>
    <w:p/>
    <w:p>
      <w:pPr>
        <w:jc w:val="center"/>
      </w:pPr>
      <w:r>
        <w:drawing>
          <wp:inline>
            <wp:extent cx="5669280" cy="3031305"/>
            <wp:docPr id="8" name="Picture 8"/>
            <wp:cNvGraphicFramePr>
              <a:graphicFrameLocks noChangeAspect="1"/>
            </wp:cNvGraphicFramePr>
            <a:graphic>
              <a:graphicData uri="http://schemas.openxmlformats.org/drawingml/2006/picture">
                <pic:pic>
                  <pic:nvPicPr>
                    <pic:cNvPr id="0" name="CAP-05_daylight-alertes-metier.png"/>
                    <pic:cNvPicPr/>
                  </pic:nvPicPr>
                  <pic:blipFill>
                    <a:blip r:embed="rId20"/>
                    <a:stretch>
                      <a:fillRect/>
                    </a:stretch>
                  </pic:blipFill>
                  <pic:spPr>
                    <a:xfrm>
                      <a:off x="0" y="0"/>
                      <a:ext cx="5669280" cy="3031305"/>
                    </a:xfrm>
                    <a:prstGeom prst="rect"/>
                  </pic:spPr>
                </pic:pic>
              </a:graphicData>
            </a:graphic>
          </wp:inline>
        </w:drawing>
      </w:r>
    </w:p>
    <w:p>
      <w:pPr>
        <w:jc w:val="center"/>
      </w:pPr>
      <w:r>
        <w:rPr>
          <w:i/>
          <w:color w:val="4B5563"/>
          <w:sz w:val="18"/>
        </w:rPr>
        <w:t>Alertes métier Daylight intégrées dans Wazuh</w:t>
      </w:r>
    </w:p>
    <w:p>
      <w:pPr>
        <w:jc w:val="center"/>
      </w:pPr>
      <w:r>
        <w:drawing>
          <wp:inline>
            <wp:extent cx="5669280" cy="5512794"/>
            <wp:docPr id="9" name="Picture 9"/>
            <wp:cNvGraphicFramePr>
              <a:graphicFrameLocks noChangeAspect="1"/>
            </wp:cNvGraphicFramePr>
            <a:graphic>
              <a:graphicData uri="http://schemas.openxmlformats.org/drawingml/2006/picture">
                <pic:pic>
                  <pic:nvPicPr>
                    <pic:cNvPr id="0" name="CAP-36_wazuh-pfsense-alertes-reelles.png"/>
                    <pic:cNvPicPr/>
                  </pic:nvPicPr>
                  <pic:blipFill>
                    <a:blip r:embed="rId21"/>
                    <a:stretch>
                      <a:fillRect/>
                    </a:stretch>
                  </pic:blipFill>
                  <pic:spPr>
                    <a:xfrm>
                      <a:off x="0" y="0"/>
                      <a:ext cx="5669280" cy="5512794"/>
                    </a:xfrm>
                    <a:prstGeom prst="rect"/>
                  </pic:spPr>
                </pic:pic>
              </a:graphicData>
            </a:graphic>
          </wp:inline>
        </w:drawing>
      </w:r>
    </w:p>
    <w:p>
      <w:pPr>
        <w:jc w:val="center"/>
      </w:pPr>
      <w:r>
        <w:rPr>
          <w:i/>
          <w:color w:val="4B5563"/>
          <w:sz w:val="18"/>
        </w:rPr>
        <w:t>Alertes pfSense visibles dans Wazuh</w:t>
      </w:r>
    </w:p>
    <w:p>
      <w:pPr>
        <w:pStyle w:val="Titre1"/>
      </w:pPr>
      <w:r>
        <w:t>8. Playbooks, procédures et REX</w:t>
      </w:r>
    </w:p>
    <w:p>
      <w:pPr>
        <w:spacing w:after="160" w:line="259" w:lineRule="auto"/>
      </w:pPr>
      <w:r>
        <w:rPr>
          <w:sz w:val="21"/>
        </w:rPr>
        <w:t>Les playbooks décrivent la réponse semi-automatisée attendue : qualification, vérification des preuves, confinement, notification, correction, clôture et retour d’expérience. Le REX formalise ce qui a été observé pendant les incidents simulés afin d’améliorer les règles, les dashboards et les procédures.</w:t>
      </w:r>
    </w:p>
    <w:p>
      <w:pPr>
        <w:jc w:val="center"/>
      </w:pPr>
      <w:r>
        <w:drawing>
          <wp:inline>
            <wp:extent cx="5669280" cy="3703930"/>
            <wp:docPr id="10" name="Picture 10"/>
            <wp:cNvGraphicFramePr>
              <a:graphicFrameLocks noChangeAspect="1"/>
            </wp:cNvGraphicFramePr>
            <a:graphic>
              <a:graphicData uri="http://schemas.openxmlformats.org/drawingml/2006/picture">
                <pic:pic>
                  <pic:nvPicPr>
                    <pic:cNvPr id="0" name="CAP-10_playbook-brute-force.png"/>
                    <pic:cNvPicPr/>
                  </pic:nvPicPr>
                  <pic:blipFill>
                    <a:blip r:embed="rId22"/>
                    <a:stretch>
                      <a:fillRect/>
                    </a:stretch>
                  </pic:blipFill>
                  <pic:spPr>
                    <a:xfrm>
                      <a:off x="0" y="0"/>
                      <a:ext cx="5669280" cy="3703930"/>
                    </a:xfrm>
                    <a:prstGeom prst="rect"/>
                  </pic:spPr>
                </pic:pic>
              </a:graphicData>
            </a:graphic>
          </wp:inline>
        </w:drawing>
      </w:r>
    </w:p>
    <w:p>
      <w:pPr>
        <w:jc w:val="center"/>
      </w:pPr>
      <w:r>
        <w:rPr>
          <w:i/>
          <w:color w:val="4B5563"/>
          <w:sz w:val="18"/>
        </w:rPr>
        <w:t>Playbook brute force : qualification et réponse</w:t>
      </w:r>
    </w:p>
    <w:p>
      <w:pPr>
        <w:jc w:val="center"/>
      </w:pPr>
      <w:r>
        <w:drawing>
          <wp:inline>
            <wp:extent cx="5669280" cy="3703930"/>
            <wp:docPr id="11" name="Picture 11"/>
            <wp:cNvGraphicFramePr>
              <a:graphicFrameLocks noChangeAspect="1"/>
            </wp:cNvGraphicFramePr>
            <a:graphic>
              <a:graphicData uri="http://schemas.openxmlformats.org/drawingml/2006/picture">
                <pic:pic>
                  <pic:nvPicPr>
                    <pic:cNvPr id="0" name="CAP-11_rex-incident-acces-patient.png"/>
                    <pic:cNvPicPr/>
                  </pic:nvPicPr>
                  <pic:blipFill>
                    <a:blip r:embed="rId23"/>
                    <a:stretch>
                      <a:fillRect/>
                    </a:stretch>
                  </pic:blipFill>
                  <pic:spPr>
                    <a:xfrm>
                      <a:off x="0" y="0"/>
                      <a:ext cx="5669280" cy="3703930"/>
                    </a:xfrm>
                    <a:prstGeom prst="rect"/>
                  </pic:spPr>
                </pic:pic>
              </a:graphicData>
            </a:graphic>
          </wp:inline>
        </w:drawing>
      </w:r>
    </w:p>
    <w:p>
      <w:pPr>
        <w:jc w:val="center"/>
      </w:pPr>
      <w:r>
        <w:rPr>
          <w:i/>
          <w:color w:val="4B5563"/>
          <w:sz w:val="18"/>
        </w:rPr>
        <w:t>REX incident : accès anormal dossier patient</w:t>
      </w:r>
    </w:p>
    <w:p>
      <w:pPr>
        <w:pStyle w:val="Titre1"/>
      </w:pPr>
      <w:r>
        <w:t>9. Guide de déploiement et d’utilisation</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8"/>
          </w:tcPr>
          <w:p>
            <w:r/>
            <w:r>
              <w:rPr>
                <w:b/>
                <w:color w:val="FFFFFF"/>
                <w:sz w:val="17"/>
              </w:rPr>
              <w:t>Action</w:t>
            </w:r>
          </w:p>
        </w:tc>
        <w:tc>
          <w:tcPr>
            <w:tcW w:type="dxa" w:w="3456"/>
            <w:vAlign w:val="center"/>
            <w:shd w:fill="1F4E78"/>
          </w:tcPr>
          <w:p>
            <w:r>
              <w:t>Commande / écran</w:t>
            </w:r>
            <w:r>
              <w:rPr>
                <w:b/>
                <w:color w:val="FFFFFF"/>
                <w:sz w:val="17"/>
              </w:rPr>
            </w:r>
          </w:p>
        </w:tc>
        <w:tc>
          <w:tcPr>
            <w:tcW w:type="dxa" w:w="3456"/>
            <w:vAlign w:val="center"/>
            <w:shd w:fill="1F4E78"/>
          </w:tcPr>
          <w:p>
            <w:r/>
            <w:r>
              <w:rPr>
                <w:b/>
                <w:color w:val="FFFFFF"/>
                <w:sz w:val="17"/>
              </w:rPr>
              <w:t>Responsable</w:t>
            </w:r>
          </w:p>
        </w:tc>
      </w:tr>
      <w:tr>
        <w:tc>
          <w:tcPr>
            <w:tcW w:type="dxa" w:w="3456"/>
            <w:vAlign w:val="center"/>
          </w:tcPr>
          <w:p>
            <w:r>
              <w:t>Démarrer le lab Wazuh</w:t>
            </w:r>
            <w:r>
              <w:rPr>
                <w:b w:val="0"/>
                <w:sz w:val="17"/>
              </w:rPr>
            </w:r>
          </w:p>
        </w:tc>
        <w:tc>
          <w:tcPr>
            <w:tcW w:type="dxa" w:w="3456"/>
            <w:vAlign w:val="center"/>
          </w:tcPr>
          <w:p>
            <w:r/>
            <w:r>
              <w:rPr>
                <w:b w:val="0"/>
                <w:sz w:val="17"/>
              </w:rPr>
              <w:t>docker start ou npm run lab:start selon contexte</w:t>
            </w:r>
          </w:p>
        </w:tc>
        <w:tc>
          <w:tcPr>
            <w:tcW w:type="dxa" w:w="3456"/>
            <w:vAlign w:val="center"/>
          </w:tcPr>
          <w:p>
            <w:r/>
            <w:r>
              <w:rPr>
                <w:b w:val="0"/>
                <w:sz w:val="17"/>
              </w:rPr>
              <w:t>Youssef / Mahamadou</w:t>
            </w:r>
          </w:p>
        </w:tc>
      </w:tr>
      <w:tr>
        <w:tc>
          <w:tcPr>
            <w:tcW w:type="dxa" w:w="3456"/>
            <w:vAlign w:val="center"/>
          </w:tcPr>
          <w:p>
            <w:r/>
            <w:r>
              <w:rPr>
                <w:b w:val="0"/>
                <w:sz w:val="17"/>
              </w:rPr>
              <w:t>Relancer serveur-01</w:t>
            </w:r>
          </w:p>
        </w:tc>
        <w:tc>
          <w:tcPr>
            <w:tcW w:type="dxa" w:w="3456"/>
            <w:vAlign w:val="center"/>
          </w:tcPr>
          <w:p>
            <w:r/>
            <w:r>
              <w:rPr>
                <w:b w:val="0"/>
                <w:sz w:val="17"/>
              </w:rPr>
              <w:t>docker start serveur-01 puis services SSH/rsyslog/Wazuh</w:t>
            </w:r>
          </w:p>
        </w:tc>
        <w:tc>
          <w:tcPr>
            <w:tcW w:type="dxa" w:w="3456"/>
            <w:vAlign w:val="center"/>
          </w:tcPr>
          <w:p>
            <w:r/>
            <w:r>
              <w:rPr>
                <w:b w:val="0"/>
                <w:sz w:val="17"/>
              </w:rPr>
              <w:t>Mahamadou</w:t>
            </w:r>
          </w:p>
        </w:tc>
      </w:tr>
      <w:tr>
        <w:tc>
          <w:tcPr>
            <w:tcW w:type="dxa" w:w="3456"/>
            <w:vAlign w:val="center"/>
          </w:tcPr>
          <w:p>
            <w:r>
              <w:t>Accéder à Wazuh</w:t>
            </w:r>
            <w:r>
              <w:rPr>
                <w:b w:val="0"/>
                <w:sz w:val="17"/>
              </w:rPr>
            </w:r>
          </w:p>
        </w:tc>
        <w:tc>
          <w:tcPr>
            <w:tcW w:type="dxa" w:w="3456"/>
            <w:vAlign w:val="center"/>
          </w:tcPr>
          <w:p>
            <w:r/>
            <w:r>
              <w:rPr>
                <w:b w:val="0"/>
                <w:sz w:val="17"/>
              </w:rPr>
              <w:t>https://localhost, compte admin ou lecture seule</w:t>
            </w:r>
          </w:p>
        </w:tc>
        <w:tc>
          <w:tcPr>
            <w:tcW w:type="dxa" w:w="3456"/>
            <w:vAlign w:val="center"/>
          </w:tcPr>
          <w:p>
            <w:r>
              <w:t>Tous pour démonstration</w:t>
            </w:r>
            <w:r>
              <w:rPr>
                <w:b w:val="0"/>
                <w:sz w:val="17"/>
              </w:rPr>
            </w:r>
          </w:p>
        </w:tc>
      </w:tr>
      <w:tr>
        <w:tc>
          <w:tcPr>
            <w:tcW w:type="dxa" w:w="3456"/>
            <w:vAlign w:val="center"/>
          </w:tcPr>
          <w:p>
            <w:r>
              <w:t>Accéder à pfSense</w:t>
            </w:r>
            <w:r>
              <w:rPr>
                <w:b w:val="0"/>
                <w:sz w:val="17"/>
              </w:rPr>
            </w:r>
          </w:p>
        </w:tc>
        <w:tc>
          <w:tcPr>
            <w:tcW w:type="dxa" w:w="3456"/>
            <w:vAlign w:val="center"/>
          </w:tcPr>
          <w:p>
            <w:r/>
            <w:r>
              <w:rPr>
                <w:b w:val="0"/>
                <w:sz w:val="17"/>
              </w:rPr>
              <w:t>https://10.10.40.1</w:t>
            </w:r>
          </w:p>
        </w:tc>
        <w:tc>
          <w:tcPr>
            <w:tcW w:type="dxa" w:w="3456"/>
            <w:vAlign w:val="center"/>
          </w:tcPr>
          <w:p>
            <w:r/>
            <w:r>
              <w:rPr>
                <w:b w:val="0"/>
                <w:sz w:val="17"/>
              </w:rPr>
              <w:t>Yvan</w:t>
            </w:r>
          </w:p>
        </w:tc>
      </w:tr>
      <w:tr>
        <w:tc>
          <w:tcPr>
            <w:tcW w:type="dxa" w:w="3456"/>
            <w:vAlign w:val="center"/>
          </w:tcPr>
          <w:p>
            <w:r>
              <w:t>Vérifier pfSense dans Wazuh</w:t>
            </w:r>
            <w:r>
              <w:rPr>
                <w:b w:val="0"/>
                <w:sz w:val="17"/>
              </w:rPr>
            </w:r>
          </w:p>
        </w:tc>
        <w:tc>
          <w:tcPr>
            <w:tcW w:type="dxa" w:w="3456"/>
            <w:vAlign w:val="center"/>
          </w:tcPr>
          <w:p>
            <w:r/>
            <w:r>
              <w:rPr>
                <w:b w:val="0"/>
                <w:sz w:val="17"/>
              </w:rPr>
              <w:t>rule.id:110010 OR rule.id:110020 OR pfsense-fw-01</w:t>
            </w:r>
          </w:p>
        </w:tc>
        <w:tc>
          <w:tcPr>
            <w:tcW w:type="dxa" w:w="3456"/>
            <w:vAlign w:val="center"/>
          </w:tcPr>
          <w:p>
            <w:r/>
            <w:r>
              <w:rPr>
                <w:b w:val="0"/>
                <w:sz w:val="17"/>
              </w:rPr>
              <w:t>Yvan / Youssef</w:t>
            </w:r>
          </w:p>
        </w:tc>
      </w:tr>
    </w:tbl>
    <w:p/>
    <w:p>
      <w:pPr>
        <w:pStyle w:val="Titre1"/>
      </w:pPr>
      <w:r>
        <w:t>10. Matrice de conformité aux consignes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8"/>
          </w:tcPr>
          <w:p>
            <w:r/>
            <w:r>
              <w:rPr>
                <w:b/>
                <w:color w:val="FFFFFF"/>
                <w:sz w:val="17"/>
              </w:rPr>
              <w:t>Exigence cahier des charges</w:t>
            </w:r>
          </w:p>
        </w:tc>
        <w:tc>
          <w:tcPr>
            <w:tcW w:type="dxa" w:w="3456"/>
            <w:vAlign w:val="center"/>
            <w:shd w:fill="1F4E78"/>
          </w:tcPr>
          <w:p>
            <w:r>
              <w:t>Réponse projet</w:t>
            </w:r>
            <w:r>
              <w:rPr>
                <w:b/>
                <w:color w:val="FFFFFF"/>
                <w:sz w:val="17"/>
              </w:rPr>
            </w:r>
          </w:p>
        </w:tc>
        <w:tc>
          <w:tcPr>
            <w:tcW w:type="dxa" w:w="3456"/>
            <w:vAlign w:val="center"/>
            <w:shd w:fill="1F4E78"/>
          </w:tcPr>
          <w:p>
            <w:r/>
            <w:r>
              <w:rPr>
                <w:b/>
                <w:color w:val="FFFFFF"/>
                <w:sz w:val="17"/>
              </w:rPr>
              <w:t>Preuve</w:t>
            </w:r>
          </w:p>
        </w:tc>
      </w:tr>
      <w:tr>
        <w:tc>
          <w:tcPr>
            <w:tcW w:type="dxa" w:w="3456"/>
            <w:vAlign w:val="center"/>
          </w:tcPr>
          <w:p>
            <w:r/>
            <w:r>
              <w:rPr>
                <w:b w:val="0"/>
                <w:sz w:val="17"/>
              </w:rPr>
              <w:t>Collecte multi-source</w:t>
            </w:r>
          </w:p>
        </w:tc>
        <w:tc>
          <w:tcPr>
            <w:tcW w:type="dxa" w:w="3456"/>
            <w:vAlign w:val="center"/>
          </w:tcPr>
          <w:p>
            <w:r>
              <w:t>Endpoint, serveur Linux, application métier, pfSense syslog</w:t>
            </w:r>
            <w:r>
              <w:rPr>
                <w:b w:val="0"/>
                <w:sz w:val="17"/>
              </w:rPr>
            </w:r>
          </w:p>
        </w:tc>
        <w:tc>
          <w:tcPr>
            <w:tcW w:type="dxa" w:w="3456"/>
            <w:vAlign w:val="center"/>
          </w:tcPr>
          <w:p>
            <w:r/>
            <w:r>
              <w:rPr>
                <w:b w:val="0"/>
                <w:sz w:val="17"/>
              </w:rPr>
              <w:t>Captures agents, Daylight, pfSense Wazuh</w:t>
            </w:r>
          </w:p>
        </w:tc>
      </w:tr>
      <w:tr>
        <w:tc>
          <w:tcPr>
            <w:tcW w:type="dxa" w:w="3456"/>
            <w:vAlign w:val="center"/>
          </w:tcPr>
          <w:p>
            <w:r>
              <w:t>SIEM open-source centralisé</w:t>
            </w:r>
            <w:r>
              <w:rPr>
                <w:b w:val="0"/>
                <w:sz w:val="17"/>
              </w:rPr>
            </w:r>
          </w:p>
        </w:tc>
        <w:tc>
          <w:tcPr>
            <w:tcW w:type="dxa" w:w="3456"/>
            <w:vAlign w:val="center"/>
          </w:tcPr>
          <w:p>
            <w:r/>
            <w:r>
              <w:rPr>
                <w:b w:val="0"/>
                <w:sz w:val="17"/>
              </w:rPr>
              <w:t>Wazuh Manager, Indexer, Dashboard</w:t>
            </w:r>
          </w:p>
        </w:tc>
        <w:tc>
          <w:tcPr>
            <w:tcW w:type="dxa" w:w="3456"/>
            <w:vAlign w:val="center"/>
          </w:tcPr>
          <w:p>
            <w:r>
              <w:t>Déploiement Docker et interface Wazuh</w:t>
            </w:r>
            <w:r>
              <w:rPr>
                <w:b w:val="0"/>
                <w:sz w:val="17"/>
              </w:rPr>
            </w:r>
          </w:p>
        </w:tc>
      </w:tr>
      <w:tr>
        <w:tc>
          <w:tcPr>
            <w:tcW w:type="dxa" w:w="3456"/>
            <w:vAlign w:val="center"/>
          </w:tcPr>
          <w:p>
            <w:r>
              <w:t>Dashboards lisibles et segmentés</w:t>
            </w:r>
            <w:r>
              <w:rPr>
                <w:b w:val="0"/>
                <w:sz w:val="17"/>
              </w:rPr>
            </w:r>
          </w:p>
        </w:tc>
        <w:tc>
          <w:tcPr>
            <w:tcW w:type="dxa" w:w="3456"/>
            <w:vAlign w:val="center"/>
          </w:tcPr>
          <w:p>
            <w:r>
              <w:t>Dashboard technique et exécutif</w:t>
            </w:r>
            <w:r>
              <w:rPr>
                <w:b w:val="0"/>
                <w:sz w:val="17"/>
              </w:rPr>
            </w:r>
          </w:p>
        </w:tc>
        <w:tc>
          <w:tcPr>
            <w:tcW w:type="dxa" w:w="3456"/>
            <w:vAlign w:val="center"/>
          </w:tcPr>
          <w:p>
            <w:r/>
            <w:r>
              <w:rPr>
                <w:b w:val="0"/>
                <w:sz w:val="17"/>
              </w:rPr>
              <w:t>Captures dashboards</w:t>
            </w:r>
          </w:p>
        </w:tc>
      </w:tr>
      <w:tr>
        <w:tc>
          <w:tcPr>
            <w:tcW w:type="dxa" w:w="3456"/>
            <w:vAlign w:val="center"/>
          </w:tcPr>
          <w:p>
            <w:r>
              <w:t>Interface web segmentée par rôles</w:t>
            </w:r>
            <w:r>
              <w:rPr>
                <w:b w:val="0"/>
                <w:sz w:val="17"/>
              </w:rPr>
            </w:r>
          </w:p>
        </w:tc>
        <w:tc>
          <w:tcPr>
            <w:tcW w:type="dxa" w:w="3456"/>
            <w:vAlign w:val="center"/>
          </w:tcPr>
          <w:p>
            <w:r/>
            <w:r>
              <w:rPr>
                <w:b w:val="0"/>
                <w:sz w:val="17"/>
              </w:rPr>
              <w:t>Admin, analyste, supervision</w:t>
            </w:r>
          </w:p>
        </w:tc>
        <w:tc>
          <w:tcPr>
            <w:tcW w:type="dxa" w:w="3456"/>
            <w:vAlign w:val="center"/>
          </w:tcPr>
          <w:p>
            <w:r/>
            <w:r>
              <w:rPr>
                <w:b w:val="0"/>
                <w:sz w:val="17"/>
              </w:rPr>
              <w:t>Capture RBAC lecture seule</w:t>
            </w:r>
          </w:p>
        </w:tc>
      </w:tr>
      <w:tr>
        <w:tc>
          <w:tcPr>
            <w:tcW w:type="dxa" w:w="3456"/>
            <w:vAlign w:val="center"/>
          </w:tcPr>
          <w:p>
            <w:r>
              <w:t>Playbooks / procédures</w:t>
            </w:r>
            <w:r>
              <w:rPr>
                <w:b w:val="0"/>
                <w:sz w:val="17"/>
              </w:rPr>
            </w:r>
          </w:p>
        </w:tc>
        <w:tc>
          <w:tcPr>
            <w:tcW w:type="dxa" w:w="3456"/>
            <w:vAlign w:val="center"/>
          </w:tcPr>
          <w:p>
            <w:r/>
            <w:r>
              <w:rPr>
                <w:b w:val="0"/>
                <w:sz w:val="17"/>
              </w:rPr>
              <w:t>Playbooks brute force et REX incidents</w:t>
            </w:r>
          </w:p>
        </w:tc>
        <w:tc>
          <w:tcPr>
            <w:tcW w:type="dxa" w:w="3456"/>
            <w:vAlign w:val="center"/>
          </w:tcPr>
          <w:p>
            <w:r/>
            <w:r>
              <w:rPr>
                <w:b w:val="0"/>
                <w:sz w:val="17"/>
              </w:rPr>
              <w:t>Captures playbook et REX</w:t>
            </w:r>
          </w:p>
        </w:tc>
      </w:tr>
      <w:tr>
        <w:tc>
          <w:tcPr>
            <w:tcW w:type="dxa" w:w="3456"/>
            <w:vAlign w:val="center"/>
          </w:tcPr>
          <w:p>
            <w:r>
              <w:t>Reproductibilité et scalabilité</w:t>
            </w:r>
            <w:r>
              <w:rPr>
                <w:b w:val="0"/>
                <w:sz w:val="17"/>
              </w:rPr>
            </w:r>
          </w:p>
        </w:tc>
        <w:tc>
          <w:tcPr>
            <w:tcW w:type="dxa" w:w="3456"/>
            <w:vAlign w:val="center"/>
          </w:tcPr>
          <w:p>
            <w:r/>
            <w:r>
              <w:rPr>
                <w:b w:val="0"/>
                <w:sz w:val="17"/>
              </w:rPr>
              <w:t>Docker, VM pfSense, documentation, trajectoire production</w:t>
            </w:r>
          </w:p>
        </w:tc>
        <w:tc>
          <w:tcPr>
            <w:tcW w:type="dxa" w:w="3456"/>
            <w:vAlign w:val="center"/>
          </w:tcPr>
          <w:p>
            <w:r/>
            <w:r>
              <w:rPr>
                <w:b w:val="0"/>
                <w:sz w:val="17"/>
              </w:rPr>
              <w:t>Guides et tableaux de flux</w:t>
            </w:r>
          </w:p>
        </w:tc>
      </w:tr>
      <w:tr>
        <w:tc>
          <w:tcPr>
            <w:tcW w:type="dxa" w:w="3456"/>
            <w:vAlign w:val="center"/>
          </w:tcPr>
          <w:p>
            <w:r>
              <w:t>Vidéo de démonstration</w:t>
            </w:r>
            <w:r>
              <w:rPr>
                <w:b w:val="0"/>
                <w:sz w:val="17"/>
              </w:rPr>
            </w:r>
          </w:p>
        </w:tc>
        <w:tc>
          <w:tcPr>
            <w:tcW w:type="dxa" w:w="3456"/>
            <w:vAlign w:val="center"/>
          </w:tcPr>
          <w:p>
            <w:r>
              <w:t>Script naturel avec écrans, prises de parole de chaque membre</w:t>
            </w:r>
            <w:r>
              <w:rPr>
                <w:b w:val="0"/>
                <w:sz w:val="17"/>
              </w:rPr>
            </w:r>
          </w:p>
        </w:tc>
        <w:tc>
          <w:tcPr>
            <w:tcW w:type="dxa" w:w="3456"/>
            <w:vAlign w:val="center"/>
          </w:tcPr>
          <w:p>
            <w:r>
              <w:t>Script vidéo final</w:t>
            </w:r>
            <w:r>
              <w:rPr>
                <w:b w:val="0"/>
                <w:sz w:val="17"/>
              </w:rPr>
            </w:r>
          </w:p>
        </w:tc>
      </w:tr>
    </w:tbl>
    <w:p/>
    <w:p>
      <w:pPr>
        <w:pStyle w:val="Titre1"/>
      </w:pPr>
      <w:r>
        <w:t>11. Limites et perspectives</w:t>
      </w:r>
    </w:p>
    <w:p>
      <w:pPr>
        <w:spacing w:after="160" w:line="259" w:lineRule="auto"/>
      </w:pPr>
      <w:r>
        <w:rPr>
          <w:sz w:val="21"/>
        </w:rPr>
        <w:t>Le MVP démontre les fonctions essentielles mais ne représente pas encore une production complète multi-sites. Les zones pfSense sont partiellement représentées par aliases et schémas, la haute disponibilité n’est pas activée, et les volumes de logs restent limités. Ces limites sont assumées et documentées pour cadrer la soutenance.</w:t>
      </w:r>
    </w:p>
    <w:p>
      <w:pPr>
        <w:spacing w:after="160" w:line="259" w:lineRule="auto"/>
      </w:pPr>
      <w:r>
        <w:rPr>
          <w:sz w:val="21"/>
        </w:rPr>
        <w:t>Les perspectives sont la séparation des composants Wazuh, la mise en place de tunnels VPN site à site, l’ajout de Suricata ou d’un IDS réseau, l’automatisation des déploiements clients et le durcissement des sauvegardes et de la rétention.</w:t>
      </w:r>
    </w:p>
    <w:p>
      <w:pPr>
        <w:pStyle w:val="Titre1"/>
      </w:pPr>
      <w:r>
        <w:t>12. Conclusion</w:t>
      </w:r>
    </w:p>
    <w:p>
      <w:pPr>
        <w:spacing w:after="160" w:line="259" w:lineRule="auto"/>
      </w:pPr>
      <w:r>
        <w:rPr>
          <w:sz w:val="21"/>
        </w:rPr>
        <w:t>Le projet Cyber Trust fournit à Daylight une base de SOC externalisé démontrable, documentée et industrialisable. Les exigences principales sont couvertes : collecte multi-source, SIEM open-source, règles de détection, dashboards, RBAC, playbooks, procédures, architecture réseau, pfSense et preuves de fonctionnement. Le rendu groupe V1 constitue une base solide à compléter avec les derniers ajustements de mise en page et la vidéo finale.</w:t>
      </w:r>
    </w:p>
    <w:sectPr w:rsidR="00630017" w:rsidSect="00CF52F6">
      <w:headerReference w:type="default" r:id="rId9"/>
      <w:footerReference w:type="default" r:id="rId10"/>
      <w:pgSz w:w="12240" w:h="15840" w:orient="portrait"/>
      <w:pgMar w:top="864" w:right="936" w:bottom="864" w:left="936" w:header="708" w:footer="708" w:gutter="0"/>
      <w:cols w:space="720"/>
      <w:titlePg/>
      <w:docGrid w:linePitch="360"/>
      <w:headerReference w:type="first" r:id="Rdf9da4769bea4bd2"/>
      <w:footerReference w:type="first" r:id="Rc6aaf009a63b4fd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858E5" w:rsidRDefault="009858E5" w14:paraId="2561314B" w14:textId="77777777">
      <w:r>
        <w:separator/>
      </w:r>
    </w:p>
  </w:endnote>
  <w:endnote w:type="continuationSeparator" w:id="0">
    <w:p w:rsidR="009858E5" w:rsidRDefault="009858E5" w14:paraId="2E47023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0017" w:rsidRDefault="00000000" w14:paraId="068D9C70" w14:textId="77777777">
    <w:pPr>
      <w:pBdr>
        <w:top w:val="single" w:color="CCCCCC" w:sz="4" w:space="4"/>
      </w:pBd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CF52F6">
      <w:rPr>
        <w:noProof/>
        <w:color w:val="808080"/>
        <w:sz w:val="16"/>
        <w:szCs w:val="16"/>
      </w:rPr>
      <w:t>1</w:t>
    </w:r>
    <w:r>
      <w:rPr>
        <w:color w:val="808080"/>
        <w:sz w:val="16"/>
        <w:szCs w:val="16"/>
      </w:rPr>
      <w:fldChar w:fldCharType="end"/>
    </w:r>
    <w:r>
      <w:rPr>
        <w:color w:val="808080"/>
        <w:sz w:val="16"/>
        <w:szCs w:val="16"/>
      </w:rPr>
      <w:t xml:space="preserve"> / </w:t>
    </w:r>
    <w:r>
      <w:rPr>
        <w:color w:val="808080"/>
        <w:sz w:val="16"/>
        <w:szCs w:val="16"/>
      </w:rPr>
      <w:fldChar w:fldCharType="begin"/>
    </w:r>
    <w:r>
      <w:rPr>
        <w:color w:val="808080"/>
        <w:sz w:val="16"/>
        <w:szCs w:val="16"/>
      </w:rPr>
      <w:instrText>NUMPAGES</w:instrText>
    </w:r>
    <w:r>
      <w:rPr>
        <w:color w:val="808080"/>
        <w:sz w:val="16"/>
        <w:szCs w:val="16"/>
      </w:rPr>
      <w:fldChar w:fldCharType="separate"/>
    </w:r>
    <w:r w:rsidR="00CF52F6">
      <w:rPr>
        <w:noProof/>
        <w:color w:val="808080"/>
        <w:sz w:val="16"/>
        <w:szCs w:val="16"/>
      </w:rPr>
      <w:t>2</w:t>
    </w:r>
    <w:r>
      <w:rPr>
        <w:color w:val="808080"/>
        <w:sz w:val="16"/>
        <w:szCs w:val="16"/>
      </w:rPr>
      <w:fldChar w:fldCharType="end"/>
    </w:r>
  </w:p>
</w:ftr>
</file>

<file path=word/footer2.xml><?xml version="1.0" encoding="utf-8"?>
<w:ftr xmlns:w14="http://schemas.microsoft.com/office/word/2010/wordml" xmlns:w="http://schemas.openxmlformats.org/wordprocessingml/2006/main">
  <w:tbl>
    <w:tblPr>
      <w:tblStyle w:val="TableauNormal"/>
      <w:bidiVisual w:val="0"/>
      <w:tblW w:w="0" w:type="auto"/>
      <w:tblLook w:val="06A0" w:firstRow="1" w:lastRow="0" w:firstColumn="1" w:lastColumn="0" w:noHBand="1" w:noVBand="1"/>
    </w:tblPr>
    <w:tblGrid>
      <w:gridCol w:w="3120"/>
      <w:gridCol w:w="3120"/>
      <w:gridCol w:w="3120"/>
    </w:tblGrid>
    <w:tr w:rsidR="545A5E37" w:rsidTr="545A5E37" w14:paraId="2E06106C">
      <w:trPr>
        <w:trHeight w:val="300"/>
      </w:trPr>
      <w:tc>
        <w:tcPr>
          <w:tcW w:w="3120" w:type="dxa"/>
          <w:tcMar/>
        </w:tcPr>
        <w:p w:rsidR="545A5E37" w:rsidP="545A5E37" w:rsidRDefault="545A5E37" w14:paraId="7EE2D166" w14:textId="4F9BE0FA">
          <w:pPr>
            <w:pStyle w:val="En-tte"/>
            <w:bidi w:val="0"/>
            <w:ind w:left="-115"/>
            <w:jc w:val="left"/>
          </w:pPr>
        </w:p>
      </w:tc>
      <w:tc>
        <w:tcPr>
          <w:tcW w:w="3120" w:type="dxa"/>
          <w:tcMar/>
        </w:tcPr>
        <w:p w:rsidR="545A5E37" w:rsidP="545A5E37" w:rsidRDefault="545A5E37" w14:paraId="5ABCE4A9" w14:textId="39091D67">
          <w:pPr>
            <w:pStyle w:val="En-tte"/>
            <w:bidi w:val="0"/>
            <w:jc w:val="center"/>
          </w:pPr>
        </w:p>
      </w:tc>
      <w:tc>
        <w:tcPr>
          <w:tcW w:w="3120" w:type="dxa"/>
          <w:tcMar/>
        </w:tcPr>
        <w:p w:rsidR="545A5E37" w:rsidP="545A5E37" w:rsidRDefault="545A5E37" w14:paraId="5DBA2A69" w14:textId="1DF6432B">
          <w:pPr>
            <w:pStyle w:val="En-tte"/>
            <w:bidi w:val="0"/>
            <w:ind w:right="-115"/>
            <w:jc w:val="right"/>
          </w:pPr>
        </w:p>
      </w:tc>
    </w:tr>
  </w:tbl>
  <w:p w:rsidR="545A5E37" w:rsidP="545A5E37" w:rsidRDefault="545A5E37" w14:paraId="7D251638" w14:textId="098F9976">
    <w:pPr>
      <w:pStyle w:val="Pieddepage"/>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858E5" w:rsidRDefault="009858E5" w14:paraId="070DD3FA" w14:textId="77777777">
      <w:r>
        <w:separator/>
      </w:r>
    </w:p>
  </w:footnote>
  <w:footnote w:type="continuationSeparator" w:id="0">
    <w:p w:rsidR="009858E5" w:rsidRDefault="009858E5" w14:paraId="1B06B89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056AA0" w:rsidR="00630017" w:rsidP="545A5E37" w:rsidRDefault="00056AA0" w14:paraId="4CD6431E" w14:textId="04F2B673">
    <w:pPr>
      <w:pBdr>
        <w:bottom w:val="single" w:color="CCCCCC" w:sz="4" w:space="4"/>
      </w:pBdr>
      <w:rPr>
        <w:color w:val="808080"/>
        <w:sz w:val="16"/>
        <w:szCs w:val="16"/>
      </w:rPr>
    </w:pPr>
    <w:r w:rsidRPr="545A5E37" w:rsidR="545A5E37">
      <w:rPr>
        <w:color w:val="808080" w:themeColor="background1" w:themeTint="FF" w:themeShade="80"/>
        <w:sz w:val="16"/>
        <w:szCs w:val="16"/>
      </w:rPr>
      <w:t xml:space="preserve">Projet de groupe : </w:t>
    </w:r>
    <w:r w:rsidRPr="545A5E37" w:rsidR="545A5E37">
      <w:rPr>
        <w:color w:val="808080" w:themeColor="background1" w:themeTint="FF" w:themeShade="80"/>
        <w:sz w:val="16"/>
        <w:szCs w:val="16"/>
      </w:rPr>
      <w:t xml:space="preserve">SOC externalisé </w:t>
    </w:r>
    <w:r w:rsidRPr="545A5E37" w:rsidR="545A5E37">
      <w:rPr>
        <w:color w:val="808080" w:themeColor="background1" w:themeTint="FF" w:themeShade="80"/>
        <w:sz w:val="16"/>
        <w:szCs w:val="16"/>
      </w:rPr>
      <w:t>-</w:t>
    </w:r>
    <w:r w:rsidRPr="545A5E37" w:rsidR="545A5E37">
      <w:rPr>
        <w:color w:val="808080" w:themeColor="background1" w:themeTint="FF" w:themeShade="80"/>
        <w:sz w:val="16"/>
        <w:szCs w:val="16"/>
      </w:rPr>
      <w:t xml:space="preserve"> Rendu individuel</w:t>
    </w:r>
  </w:p>
</w:hdr>
</file>

<file path=word/header2.xml><?xml version="1.0" encoding="utf-8"?>
<w:hdr xmlns:w14="http://schemas.microsoft.com/office/word/2010/wordml" xmlns:w="http://schemas.openxmlformats.org/wordprocessingml/2006/main">
  <w:tbl>
    <w:tblPr>
      <w:tblStyle w:val="TableauNormal"/>
      <w:bidiVisual w:val="0"/>
      <w:tblW w:w="0" w:type="auto"/>
      <w:tblLook w:val="06A0" w:firstRow="1" w:lastRow="0" w:firstColumn="1" w:lastColumn="0" w:noHBand="1" w:noVBand="1"/>
    </w:tblPr>
    <w:tblGrid>
      <w:gridCol w:w="3120"/>
      <w:gridCol w:w="3120"/>
      <w:gridCol w:w="3120"/>
    </w:tblGrid>
    <w:tr w:rsidR="545A5E37" w:rsidTr="545A5E37" w14:paraId="02E4D842">
      <w:trPr>
        <w:trHeight w:val="300"/>
      </w:trPr>
      <w:tc>
        <w:tcPr>
          <w:tcW w:w="3120" w:type="dxa"/>
          <w:tcMar/>
        </w:tcPr>
        <w:p w:rsidR="545A5E37" w:rsidP="545A5E37" w:rsidRDefault="545A5E37" w14:paraId="6247B78A" w14:textId="780CB74E">
          <w:pPr>
            <w:pStyle w:val="En-tte"/>
            <w:bidi w:val="0"/>
            <w:ind w:left="-115"/>
            <w:jc w:val="left"/>
          </w:pPr>
        </w:p>
      </w:tc>
      <w:tc>
        <w:tcPr>
          <w:tcW w:w="3120" w:type="dxa"/>
          <w:tcMar/>
        </w:tcPr>
        <w:p w:rsidR="545A5E37" w:rsidP="545A5E37" w:rsidRDefault="545A5E37" w14:paraId="25CCCBCB" w14:textId="4A112F76">
          <w:pPr>
            <w:pStyle w:val="En-tte"/>
            <w:bidi w:val="0"/>
            <w:jc w:val="center"/>
          </w:pPr>
        </w:p>
      </w:tc>
      <w:tc>
        <w:tcPr>
          <w:tcW w:w="3120" w:type="dxa"/>
          <w:tcMar/>
        </w:tcPr>
        <w:p w:rsidR="545A5E37" w:rsidP="545A5E37" w:rsidRDefault="545A5E37" w14:paraId="1A3138F7" w14:textId="7B260755">
          <w:pPr>
            <w:pStyle w:val="En-tte"/>
            <w:bidi w:val="0"/>
            <w:ind w:right="-115"/>
            <w:jc w:val="right"/>
          </w:pPr>
        </w:p>
      </w:tc>
    </w:tr>
  </w:tbl>
  <w:p w:rsidR="545A5E37" w:rsidP="545A5E37" w:rsidRDefault="545A5E37" w14:paraId="287AE5C8" w14:textId="7F34CAC3">
    <w:pPr>
      <w:pStyle w:val="En-tte"/>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DC1D01"/>
    <w:multiLevelType w:val="hybridMultilevel"/>
    <w:tmpl w:val="B0CAB346"/>
    <w:lvl w:ilvl="0" w:tplc="F6CC8CB6">
      <w:start w:val="1"/>
      <w:numFmt w:val="bullet"/>
      <w:lvlText w:val="●"/>
      <w:lvlJc w:val="left"/>
      <w:pPr>
        <w:ind w:left="720" w:hanging="360"/>
      </w:pPr>
    </w:lvl>
    <w:lvl w:ilvl="1" w:tplc="99BE9704">
      <w:start w:val="1"/>
      <w:numFmt w:val="bullet"/>
      <w:lvlText w:val="○"/>
      <w:lvlJc w:val="left"/>
      <w:pPr>
        <w:ind w:left="1440" w:hanging="360"/>
      </w:pPr>
    </w:lvl>
    <w:lvl w:ilvl="2" w:tplc="103C3502">
      <w:start w:val="1"/>
      <w:numFmt w:val="bullet"/>
      <w:lvlText w:val="■"/>
      <w:lvlJc w:val="left"/>
      <w:pPr>
        <w:ind w:left="2160" w:hanging="360"/>
      </w:pPr>
    </w:lvl>
    <w:lvl w:ilvl="3" w:tplc="0B1A2FDE">
      <w:start w:val="1"/>
      <w:numFmt w:val="bullet"/>
      <w:lvlText w:val="●"/>
      <w:lvlJc w:val="left"/>
      <w:pPr>
        <w:ind w:left="2880" w:hanging="360"/>
      </w:pPr>
    </w:lvl>
    <w:lvl w:ilvl="4" w:tplc="D1182D7C">
      <w:start w:val="1"/>
      <w:numFmt w:val="bullet"/>
      <w:lvlText w:val="○"/>
      <w:lvlJc w:val="left"/>
      <w:pPr>
        <w:ind w:left="3600" w:hanging="360"/>
      </w:pPr>
    </w:lvl>
    <w:lvl w:ilvl="5" w:tplc="5BDC9B48">
      <w:start w:val="1"/>
      <w:numFmt w:val="bullet"/>
      <w:lvlText w:val="■"/>
      <w:lvlJc w:val="left"/>
      <w:pPr>
        <w:ind w:left="4320" w:hanging="360"/>
      </w:pPr>
    </w:lvl>
    <w:lvl w:ilvl="6" w:tplc="95D21D68">
      <w:start w:val="1"/>
      <w:numFmt w:val="bullet"/>
      <w:lvlText w:val="●"/>
      <w:lvlJc w:val="left"/>
      <w:pPr>
        <w:ind w:left="5040" w:hanging="360"/>
      </w:pPr>
    </w:lvl>
    <w:lvl w:ilvl="7" w:tplc="9B50D7A2">
      <w:start w:val="1"/>
      <w:numFmt w:val="bullet"/>
      <w:lvlText w:val="●"/>
      <w:lvlJc w:val="left"/>
      <w:pPr>
        <w:ind w:left="5760" w:hanging="360"/>
      </w:pPr>
    </w:lvl>
    <w:lvl w:ilvl="8" w:tplc="254AF15A">
      <w:start w:val="1"/>
      <w:numFmt w:val="bullet"/>
      <w:lvlText w:val="●"/>
      <w:lvlJc w:val="left"/>
      <w:pPr>
        <w:ind w:left="6480" w:hanging="360"/>
      </w:pPr>
    </w:lvl>
  </w:abstractNum>
  <w:abstractNum w:abstractNumId="1" w15:restartNumberingAfterBreak="0">
    <w:nsid w:val="5F8D7CF5"/>
    <w:multiLevelType w:val="hybridMultilevel"/>
    <w:tmpl w:val="4ADAF5E6"/>
    <w:lvl w:ilvl="0" w:tplc="2F564E98">
      <w:start w:val="1"/>
      <w:numFmt w:val="bullet"/>
      <w:lvlText w:val="●"/>
      <w:lvlJc w:val="left"/>
      <w:pPr>
        <w:ind w:left="720" w:hanging="360"/>
      </w:pPr>
    </w:lvl>
    <w:lvl w:ilvl="1" w:tplc="8146F574">
      <w:start w:val="1"/>
      <w:numFmt w:val="bullet"/>
      <w:lvlText w:val="○"/>
      <w:lvlJc w:val="left"/>
      <w:pPr>
        <w:ind w:left="1440" w:hanging="360"/>
      </w:pPr>
    </w:lvl>
    <w:lvl w:ilvl="2" w:tplc="F2763E12">
      <w:start w:val="1"/>
      <w:numFmt w:val="bullet"/>
      <w:lvlText w:val="■"/>
      <w:lvlJc w:val="left"/>
      <w:pPr>
        <w:ind w:left="2160" w:hanging="360"/>
      </w:pPr>
    </w:lvl>
    <w:lvl w:ilvl="3" w:tplc="C4B613C2">
      <w:start w:val="1"/>
      <w:numFmt w:val="bullet"/>
      <w:lvlText w:val="●"/>
      <w:lvlJc w:val="left"/>
      <w:pPr>
        <w:ind w:left="2880" w:hanging="360"/>
      </w:pPr>
    </w:lvl>
    <w:lvl w:ilvl="4" w:tplc="5C522B2E">
      <w:start w:val="1"/>
      <w:numFmt w:val="bullet"/>
      <w:lvlText w:val="○"/>
      <w:lvlJc w:val="left"/>
      <w:pPr>
        <w:ind w:left="3600" w:hanging="360"/>
      </w:pPr>
    </w:lvl>
    <w:lvl w:ilvl="5" w:tplc="ECBEBBFC">
      <w:start w:val="1"/>
      <w:numFmt w:val="bullet"/>
      <w:lvlText w:val="■"/>
      <w:lvlJc w:val="left"/>
      <w:pPr>
        <w:ind w:left="4320" w:hanging="360"/>
      </w:pPr>
    </w:lvl>
    <w:lvl w:ilvl="6" w:tplc="37B2FD1C">
      <w:start w:val="1"/>
      <w:numFmt w:val="bullet"/>
      <w:lvlText w:val="●"/>
      <w:lvlJc w:val="left"/>
      <w:pPr>
        <w:ind w:left="5040" w:hanging="360"/>
      </w:pPr>
    </w:lvl>
    <w:lvl w:ilvl="7" w:tplc="DA5EC7F0">
      <w:start w:val="1"/>
      <w:numFmt w:val="bullet"/>
      <w:lvlText w:val="●"/>
      <w:lvlJc w:val="left"/>
      <w:pPr>
        <w:ind w:left="5760" w:hanging="360"/>
      </w:pPr>
    </w:lvl>
    <w:lvl w:ilvl="8" w:tplc="E6BA06B4">
      <w:start w:val="1"/>
      <w:numFmt w:val="bullet"/>
      <w:lvlText w:val="●"/>
      <w:lvlJc w:val="left"/>
      <w:pPr>
        <w:ind w:left="6480" w:hanging="360"/>
      </w:pPr>
    </w:lvl>
  </w:abstractNum>
  <w:num w:numId="1" w16cid:durableId="1031616010">
    <w:abstractNumId w:val="0"/>
    <w:lvlOverride w:ilvl="0">
      <w:startOverride w:val="1"/>
    </w:lvlOverride>
  </w:num>
  <w:num w:numId="2" w16cid:durableId="60296007">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isplayBackgroundShape/>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0017"/>
    <w:rsid w:val="00000000"/>
    <w:rsid w:val="00056AA0"/>
    <w:rsid w:val="00630017"/>
    <w:rsid w:val="0066400B"/>
    <w:rsid w:val="009858E5"/>
    <w:rsid w:val="00CF52F6"/>
    <w:rsid w:val="0E0F136F"/>
    <w:rsid w:val="0F88E94D"/>
    <w:rsid w:val="26ECEC2F"/>
    <w:rsid w:val="35362EB1"/>
    <w:rsid w:val="36478903"/>
    <w:rsid w:val="4F00050B"/>
    <w:rsid w:val="4F989E07"/>
    <w:rsid w:val="545A5E37"/>
    <w:rsid w:val="67B76E40"/>
    <w:rsid w:val="6ADE183F"/>
    <w:rsid w:val="6F470B53"/>
    <w:rsid w:val="6F6FECE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EE685"/>
  <w15:docId w15:val="{1C1D3334-85AB-4750-B8A7-C0F695922BD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Aptos" w:hAnsi="Aptos" w:eastAsia="Aptos"/>
      <w:sz w:val="21"/>
    </w:rPr>
  </w:style>
  <w:style w:type="paragraph" w:styleId="Titre1">
    <w:name w:val="heading 1"/>
    <w:uiPriority w:val="9"/>
    <w:qFormat/>
    <w:pPr>
      <w:spacing w:before="280" w:after="140"/>
      <w:outlineLvl w:val="0"/>
    </w:pPr>
    <w:rPr>
      <w:rFonts w:ascii="Aptos Display" w:hAnsi="Aptos Display" w:eastAsia="Aptos Display"/>
      <w:b/>
      <w:bCs/>
      <w:color w:val="1F4E79"/>
      <w:sz w:val="28"/>
      <w:szCs w:val="28"/>
    </w:rPr>
  </w:style>
  <w:style w:type="paragraph" w:styleId="Titre2">
    <w:name w:val="heading 2"/>
    <w:uiPriority w:val="9"/>
    <w:unhideWhenUsed/>
    <w:qFormat/>
    <w:pPr>
      <w:spacing w:before="200" w:after="100"/>
      <w:outlineLvl w:val="1"/>
    </w:pPr>
    <w:rPr>
      <w:rFonts w:ascii="Aptos Display" w:hAnsi="Aptos Display" w:eastAsia="Aptos Display"/>
      <w:b/>
      <w:bCs/>
      <w:color w:val="2F5496"/>
      <w:sz w:val="24"/>
      <w:szCs w:val="24"/>
    </w:rPr>
  </w:style>
  <w:style w:type="paragraph" w:styleId="Titre3">
    <w:name w:val="heading 3"/>
    <w:uiPriority w:val="9"/>
    <w:semiHidden/>
    <w:unhideWhenUsed/>
    <w:qFormat/>
    <w:pPr>
      <w:outlineLvl w:val="2"/>
    </w:pPr>
    <w:rPr>
      <w:rFonts w:ascii="Aptos Display" w:hAnsi="Aptos Display" w:eastAsia="Aptos Display"/>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styleId="Policepardfaut" w:default="1">
    <w:name w:val="Default Paragraph Font"/>
    <w:uiPriority w:val="1"/>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Titre">
    <w:name w:val="Title"/>
    <w:uiPriority w:val="10"/>
    <w:qFormat/>
    <w:rPr>
      <w:sz w:val="56"/>
      <w:szCs w:val="56"/>
    </w:rPr>
  </w:style>
  <w:style w:type="paragraph" w:styleId="lev1" w:customStyle="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styleId="NotedebasdepageCar" w:customStyle="1">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styleId="NotedefinCar" w:customStyle="1">
    <w:name w:val="Note de fin Car"/>
    <w:link w:val="Notedefin"/>
    <w:uiPriority w:val="99"/>
    <w:semiHidden/>
    <w:unhideWhenUsed/>
    <w:rPr>
      <w:sz w:val="20"/>
      <w:szCs w:val="20"/>
    </w:rPr>
  </w:style>
  <w:style w:type="paragraph" w:styleId="En-tte">
    <w:name w:val="header"/>
    <w:basedOn w:val="Normal"/>
    <w:link w:val="En-tteCar"/>
    <w:uiPriority w:val="99"/>
    <w:unhideWhenUsed/>
    <w:rsid w:val="00CF52F6"/>
    <w:pPr>
      <w:tabs>
        <w:tab w:val="center" w:pos="4536"/>
        <w:tab w:val="right" w:pos="9072"/>
      </w:tabs>
    </w:pPr>
  </w:style>
  <w:style w:type="character" w:styleId="En-tteCar" w:customStyle="1">
    <w:name w:val="En-tête Car"/>
    <w:basedOn w:val="Policepardfaut"/>
    <w:link w:val="En-tte"/>
    <w:uiPriority w:val="99"/>
    <w:rsid w:val="00CF52F6"/>
  </w:style>
  <w:style w:type="paragraph" w:styleId="Pieddepage">
    <w:name w:val="footer"/>
    <w:basedOn w:val="Normal"/>
    <w:link w:val="PieddepageCar"/>
    <w:uiPriority w:val="99"/>
    <w:unhideWhenUsed/>
    <w:rsid w:val="00CF52F6"/>
    <w:pPr>
      <w:tabs>
        <w:tab w:val="center" w:pos="4536"/>
        <w:tab w:val="right" w:pos="9072"/>
      </w:tabs>
    </w:pPr>
  </w:style>
  <w:style w:type="character" w:styleId="PieddepageCar" w:customStyle="1">
    <w:name w:val="Pied de page Car"/>
    <w:basedOn w:val="Policepardfaut"/>
    <w:link w:val="Pieddepage"/>
    <w:uiPriority w:val="99"/>
    <w:rsid w:val="00CF52F6"/>
  </w:style>
  <w:style xmlns:w="http://schemas.openxmlformats.org/wordprocessingml/2006/main" w:type="table" w:styleId="TableGrid">
    <w:name xmlns:w="http://schemas.openxmlformats.org/wordprocessingml/2006/main" w:val="Table Grid"/>
    <w:basedOn xmlns:w="http://schemas.openxmlformats.org/wordprocessingml/2006/main" w:val="Tableau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df9da4769bea4bd2" Type="http://schemas.openxmlformats.org/officeDocument/2006/relationships/header" Target="header2.xml"/><Relationship Id="Rc6aaf009a63b4fd0" Type="http://schemas.openxmlformats.org/officeDocument/2006/relationships/footer" Target="footer2.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Yvan Focsa</lastModifiedBy>
  <revision>3</revision>
  <dcterms:created xsi:type="dcterms:W3CDTF">2026-06-23T08:31:00.0000000Z</dcterms:created>
  <dcterms:modified xsi:type="dcterms:W3CDTF">2026-06-23T12:20:16.8598392Z</dcterms:modified>
</coreProperties>
</file>