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Arial" w:hAnsi="Arial" w:cs="Arial"/>
          <w:b/>
          <w:color w:val="1F4E79"/>
          <w:sz w:val="36"/>
        </w:rPr>
        <w:t>Script vidéo groupe - MVP SOC externalisé Daylight</w:t>
      </w:r>
    </w:p>
    <w:p>
      <w:pPr>
        <w:jc w:val="center"/>
      </w:pPr>
      <w:r>
        <w:rPr>
          <w:rFonts w:ascii="Arial" w:hAnsi="Arial" w:cs="Arial"/>
          <w:color w:val="5A6070"/>
          <w:sz w:val="21"/>
        </w:rPr>
        <w:t>Durée cible : 15 à 20 minutes | Format client | Tous les intervenants parlent avec nom affiché</w:t>
      </w:r>
    </w:p>
    <w:p/>
    <w:tbl>
      <w:tblPr>
        <w:tblW w:type="auto" w:w="0"/>
        <w:tblLook w:firstColumn="1" w:firstRow="1" w:lastColumn="0" w:lastRow="0" w:noHBand="0" w:noVBand="1" w:val="04A0"/>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CellMar>
          <w:top w:w="110" w:type="dxa"/>
          <w:start w:w="140" w:type="dxa"/>
          <w:bottom w:w="110" w:type="dxa"/>
          <w:end w:w="140" w:type="dxa"/>
        </w:tblCellMar>
      </w:tblPr>
      <w:tblGrid>
        <w:gridCol w:w="9994"/>
      </w:tblGrid>
      <w:tr>
        <w:tc>
          <w:tcPr>
            <w:tcW w:type="dxa" w:w="9994"/>
            <w:shd w:fill="F6F9FC"/>
          </w:tcPr>
          <w:p>
            <w:pPr>
              <w:widowControl/>
              <w:spacing w:after="100" w:line="259" w:lineRule="auto"/>
            </w:pPr>
            <w:r>
              <w:rPr>
                <w:rFonts w:ascii="Arial" w:hAnsi="Arial" w:cs="Arial"/>
                <w:b/>
                <w:color w:val="202737"/>
                <w:sz w:val="20"/>
              </w:rPr>
              <w:t>Objectif vidéo.</w:t>
            </w:r>
            <w:r>
              <w:rPr>
                <w:rFonts w:ascii="Arial" w:hAnsi="Arial" w:cs="Arial"/>
                <w:b w:val="0"/>
                <w:color w:val="202737"/>
                <w:sz w:val="20"/>
              </w:rPr>
              <w:t xml:space="preserve"> Convaincre Daylight que le MVP est cohérent : besoin, architecture, SIEM, détection, réponse et trajectoire d'industrialisation.</w:t>
            </w:r>
          </w:p>
        </w:tc>
      </w:tr>
    </w:tbl>
    <w:p/>
    <w:tbl>
      <w:tblPr>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CellMar>
          <w:top w:w="80" w:type="dxa"/>
          <w:start w:w="110" w:type="dxa"/>
          <w:bottom w:w="80" w:type="dxa"/>
          <w:end w:w="110" w:type="dxa"/>
        </w:tblCellMar>
      </w:tblPr>
      <w:tblGrid>
        <w:gridCol w:w="2498"/>
        <w:gridCol w:w="2498"/>
        <w:gridCol w:w="2498"/>
        <w:gridCol w:w="2498"/>
      </w:tblGrid>
      <w:tr>
        <w:tc>
          <w:tcPr>
            <w:tcW w:type="dxa" w:w="3168"/>
            <w:shd w:fill="EAF2F8"/>
          </w:tcPr>
          <w:p>
            <w:pPr>
              <w:widowControl/>
              <w:spacing w:after="100" w:line="259" w:lineRule="auto"/>
            </w:pPr>
            <w:r>
              <w:rPr>
                <w:rFonts w:ascii="Arial" w:hAnsi="Arial" w:cs="Arial"/>
                <w:b/>
                <w:color w:val="1F4E79"/>
                <w:sz w:val="18"/>
              </w:rPr>
              <w:t>Séquence</w:t>
            </w:r>
          </w:p>
        </w:tc>
        <w:tc>
          <w:tcPr>
            <w:tcW w:type="dxa" w:w="2088"/>
            <w:shd w:fill="EAF2F8"/>
          </w:tcPr>
          <w:p>
            <w:pPr>
              <w:widowControl/>
              <w:spacing w:after="100" w:line="259" w:lineRule="auto"/>
            </w:pPr>
            <w:r>
              <w:rPr>
                <w:rFonts w:ascii="Arial" w:hAnsi="Arial" w:cs="Arial"/>
                <w:b/>
                <w:color w:val="1F4E79"/>
                <w:sz w:val="18"/>
              </w:rPr>
              <w:t>Intervenant</w:t>
            </w:r>
          </w:p>
        </w:tc>
        <w:tc>
          <w:tcPr>
            <w:tcW w:type="dxa" w:w="1440"/>
            <w:shd w:fill="EAF2F8"/>
          </w:tcPr>
          <w:p>
            <w:pPr>
              <w:widowControl/>
              <w:spacing w:after="100" w:line="259" w:lineRule="auto"/>
            </w:pPr>
            <w:r>
              <w:rPr>
                <w:rFonts w:ascii="Arial" w:hAnsi="Arial" w:cs="Arial"/>
                <w:b/>
                <w:color w:val="1F4E79"/>
                <w:sz w:val="18"/>
              </w:rPr>
              <w:t>Durée</w:t>
            </w:r>
          </w:p>
        </w:tc>
        <w:tc>
          <w:tcPr>
            <w:tcW w:type="dxa" w:w="3600"/>
            <w:shd w:fill="EAF2F8"/>
          </w:tcPr>
          <w:p>
            <w:pPr>
              <w:widowControl/>
              <w:spacing w:after="100" w:line="259" w:lineRule="auto"/>
            </w:pPr>
            <w:r>
              <w:rPr>
                <w:rFonts w:ascii="Arial" w:hAnsi="Arial" w:cs="Arial"/>
                <w:b/>
                <w:color w:val="1F4E79"/>
                <w:sz w:val="18"/>
              </w:rPr>
              <w:t>Preuve à l'écran</w:t>
            </w:r>
          </w:p>
        </w:tc>
      </w:tr>
      <w:tr>
        <w:tc>
          <w:tcPr>
            <w:tcW w:type="dxa" w:w="3168"/>
            <w:vAlign w:val="center"/>
          </w:tcPr>
          <w:p>
            <w:pPr>
              <w:widowControl/>
              <w:spacing w:after="100" w:line="259" w:lineRule="auto"/>
            </w:pPr>
            <w:r>
              <w:rPr>
                <w:rFonts w:ascii="Arial" w:hAnsi="Arial" w:cs="Arial"/>
                <w:color w:val="202737"/>
                <w:sz w:val="17"/>
              </w:rPr>
              <w:t>1. Introduction et contexte client</w:t>
            </w:r>
          </w:p>
        </w:tc>
        <w:tc>
          <w:tcPr>
            <w:tcW w:type="dxa" w:w="2088"/>
            <w:vAlign w:val="center"/>
          </w:tcPr>
          <w:p>
            <w:pPr>
              <w:widowControl/>
              <w:spacing w:after="100" w:line="259" w:lineRule="auto"/>
            </w:pPr>
            <w:r>
              <w:rPr>
                <w:rFonts w:ascii="Arial" w:hAnsi="Arial" w:cs="Arial"/>
                <w:color w:val="202737"/>
                <w:sz w:val="17"/>
              </w:rPr>
              <w:t>Kilyan FELIX</w:t>
            </w:r>
          </w:p>
        </w:tc>
        <w:tc>
          <w:tcPr>
            <w:tcW w:type="dxa" w:w="1440"/>
            <w:vAlign w:val="center"/>
          </w:tcPr>
          <w:p>
            <w:pPr>
              <w:widowControl/>
              <w:spacing w:after="100" w:line="259" w:lineRule="auto"/>
            </w:pPr>
            <w:r>
              <w:rPr>
                <w:rFonts w:ascii="Arial" w:hAnsi="Arial" w:cs="Arial"/>
                <w:color w:val="202737"/>
                <w:sz w:val="17"/>
              </w:rPr>
              <w:t>0:00 - 2:00</w:t>
            </w:r>
          </w:p>
        </w:tc>
        <w:tc>
          <w:tcPr>
            <w:tcW w:type="dxa" w:w="3600"/>
            <w:vAlign w:val="center"/>
          </w:tcPr>
          <w:p>
            <w:pPr>
              <w:widowControl/>
              <w:spacing w:after="100" w:line="259" w:lineRule="auto"/>
            </w:pPr>
            <w:r>
              <w:rPr>
                <w:rFonts w:ascii="Arial" w:hAnsi="Arial" w:cs="Arial"/>
                <w:color w:val="202737"/>
                <w:sz w:val="17"/>
              </w:rPr>
              <w:t>Slide titre Cyber Trust / Daylight + équipe</w:t>
            </w:r>
          </w:p>
        </w:tc>
      </w:tr>
      <w:tr>
        <w:tc>
          <w:tcPr>
            <w:tcW w:type="dxa" w:w="3168"/>
            <w:vAlign w:val="center"/>
          </w:tcPr>
          <w:p>
            <w:pPr>
              <w:widowControl/>
              <w:spacing w:after="100" w:line="259" w:lineRule="auto"/>
            </w:pPr>
            <w:r>
              <w:rPr>
                <w:rFonts w:ascii="Arial" w:hAnsi="Arial" w:cs="Arial"/>
                <w:color w:val="202737"/>
                <w:sz w:val="17"/>
              </w:rPr>
              <w:t>2. Architecture réseau et pfSense</w:t>
            </w:r>
          </w:p>
        </w:tc>
        <w:tc>
          <w:tcPr>
            <w:tcW w:type="dxa" w:w="2088"/>
            <w:vAlign w:val="center"/>
          </w:tcPr>
          <w:p>
            <w:pPr>
              <w:widowControl/>
              <w:spacing w:after="100" w:line="259" w:lineRule="auto"/>
            </w:pPr>
            <w:r>
              <w:rPr>
                <w:rFonts w:ascii="Arial" w:hAnsi="Arial" w:cs="Arial"/>
                <w:color w:val="202737"/>
                <w:sz w:val="17"/>
              </w:rPr>
              <w:t>Yvan FOCSA</w:t>
            </w:r>
          </w:p>
        </w:tc>
        <w:tc>
          <w:tcPr>
            <w:tcW w:type="dxa" w:w="1440"/>
            <w:vAlign w:val="center"/>
          </w:tcPr>
          <w:p>
            <w:pPr>
              <w:widowControl/>
              <w:spacing w:after="100" w:line="259" w:lineRule="auto"/>
            </w:pPr>
            <w:r>
              <w:rPr>
                <w:rFonts w:ascii="Arial" w:hAnsi="Arial" w:cs="Arial"/>
                <w:color w:val="202737"/>
                <w:sz w:val="17"/>
              </w:rPr>
              <w:t>2:00 - 6:00</w:t>
            </w:r>
          </w:p>
        </w:tc>
        <w:tc>
          <w:tcPr>
            <w:tcW w:type="dxa" w:w="3600"/>
            <w:vAlign w:val="center"/>
          </w:tcPr>
          <w:p>
            <w:pPr>
              <w:widowControl/>
              <w:spacing w:after="100" w:line="259" w:lineRule="auto"/>
            </w:pPr>
            <w:r>
              <w:rPr>
                <w:rFonts w:ascii="Arial" w:hAnsi="Arial" w:cs="Arial"/>
                <w:color w:val="202737"/>
                <w:sz w:val="17"/>
              </w:rPr>
              <w:t>Schémas Yvan, matrice Excel, pfSense, Wazuh alertes pfSense</w:t>
            </w:r>
          </w:p>
        </w:tc>
      </w:tr>
      <w:tr>
        <w:tc>
          <w:tcPr>
            <w:tcW w:type="dxa" w:w="3168"/>
            <w:vAlign w:val="center"/>
          </w:tcPr>
          <w:p>
            <w:pPr>
              <w:widowControl/>
              <w:spacing w:after="100" w:line="259" w:lineRule="auto"/>
            </w:pPr>
            <w:r>
              <w:rPr>
                <w:rFonts w:ascii="Arial" w:hAnsi="Arial" w:cs="Arial"/>
                <w:color w:val="202737"/>
                <w:sz w:val="17"/>
              </w:rPr>
              <w:t>3. SIEM Wazuh et collecte multi-source</w:t>
            </w:r>
          </w:p>
        </w:tc>
        <w:tc>
          <w:tcPr>
            <w:tcW w:type="dxa" w:w="2088"/>
            <w:vAlign w:val="center"/>
          </w:tcPr>
          <w:p>
            <w:pPr>
              <w:widowControl/>
              <w:spacing w:after="100" w:line="259" w:lineRule="auto"/>
            </w:pPr>
            <w:r>
              <w:rPr>
                <w:rFonts w:ascii="Arial" w:hAnsi="Arial" w:cs="Arial"/>
                <w:color w:val="202737"/>
                <w:sz w:val="17"/>
              </w:rPr>
              <w:t>Youssef GUERNIOU</w:t>
            </w:r>
          </w:p>
        </w:tc>
        <w:tc>
          <w:tcPr>
            <w:tcW w:type="dxa" w:w="1440"/>
            <w:vAlign w:val="center"/>
          </w:tcPr>
          <w:p>
            <w:pPr>
              <w:widowControl/>
              <w:spacing w:after="100" w:line="259" w:lineRule="auto"/>
            </w:pPr>
            <w:r>
              <w:rPr>
                <w:rFonts w:ascii="Arial" w:hAnsi="Arial" w:cs="Arial"/>
                <w:color w:val="202737"/>
                <w:sz w:val="17"/>
              </w:rPr>
              <w:t>6:00 - 10:00</w:t>
            </w:r>
          </w:p>
        </w:tc>
        <w:tc>
          <w:tcPr>
            <w:tcW w:type="dxa" w:w="3600"/>
            <w:vAlign w:val="center"/>
          </w:tcPr>
          <w:p>
            <w:pPr>
              <w:widowControl/>
              <w:spacing w:after="100" w:line="259" w:lineRule="auto"/>
            </w:pPr>
            <w:r>
              <w:rPr>
                <w:rFonts w:ascii="Arial" w:hAnsi="Arial" w:cs="Arial"/>
                <w:color w:val="202737"/>
                <w:sz w:val="17"/>
              </w:rPr>
              <w:t>Wazuh dashboard, agents, alertes SSH, logs Daylight, RBAC</w:t>
            </w:r>
          </w:p>
        </w:tc>
      </w:tr>
      <w:tr>
        <w:tc>
          <w:tcPr>
            <w:tcW w:type="dxa" w:w="3168"/>
            <w:vAlign w:val="center"/>
          </w:tcPr>
          <w:p>
            <w:pPr>
              <w:widowControl/>
              <w:spacing w:after="100" w:line="259" w:lineRule="auto"/>
            </w:pPr>
            <w:r>
              <w:rPr>
                <w:rFonts w:ascii="Arial" w:hAnsi="Arial" w:cs="Arial"/>
                <w:color w:val="202737"/>
                <w:sz w:val="17"/>
              </w:rPr>
              <w:t>4. Méthodologie, qualification et dashboards</w:t>
            </w:r>
          </w:p>
        </w:tc>
        <w:tc>
          <w:tcPr>
            <w:tcW w:type="dxa" w:w="2088"/>
            <w:vAlign w:val="center"/>
          </w:tcPr>
          <w:p>
            <w:pPr>
              <w:widowControl/>
              <w:spacing w:after="100" w:line="259" w:lineRule="auto"/>
            </w:pPr>
            <w:r>
              <w:rPr>
                <w:rFonts w:ascii="Arial" w:hAnsi="Arial" w:cs="Arial"/>
                <w:color w:val="202737"/>
                <w:sz w:val="17"/>
              </w:rPr>
              <w:t>Kilyan FELIX</w:t>
            </w:r>
          </w:p>
        </w:tc>
        <w:tc>
          <w:tcPr>
            <w:tcW w:type="dxa" w:w="1440"/>
            <w:vAlign w:val="center"/>
          </w:tcPr>
          <w:p>
            <w:pPr>
              <w:widowControl/>
              <w:spacing w:after="100" w:line="259" w:lineRule="auto"/>
            </w:pPr>
            <w:r>
              <w:rPr>
                <w:rFonts w:ascii="Arial" w:hAnsi="Arial" w:cs="Arial"/>
                <w:color w:val="202737"/>
                <w:sz w:val="17"/>
              </w:rPr>
              <w:t>10:00 - 13:00</w:t>
            </w:r>
          </w:p>
        </w:tc>
        <w:tc>
          <w:tcPr>
            <w:tcW w:type="dxa" w:w="3600"/>
            <w:vAlign w:val="center"/>
          </w:tcPr>
          <w:p>
            <w:pPr>
              <w:widowControl/>
              <w:spacing w:after="100" w:line="259" w:lineRule="auto"/>
            </w:pPr>
            <w:r>
              <w:rPr>
                <w:rFonts w:ascii="Arial" w:hAnsi="Arial" w:cs="Arial"/>
                <w:color w:val="202737"/>
                <w:sz w:val="17"/>
              </w:rPr>
              <w:t>Gantt, Jira/Kanban, matrice impact x urgence, dashboards</w:t>
            </w:r>
          </w:p>
        </w:tc>
      </w:tr>
      <w:tr>
        <w:tc>
          <w:tcPr>
            <w:tcW w:type="dxa" w:w="3168"/>
            <w:vAlign w:val="center"/>
          </w:tcPr>
          <w:p>
            <w:pPr>
              <w:widowControl/>
              <w:spacing w:after="100" w:line="259" w:lineRule="auto"/>
            </w:pPr>
            <w:r>
              <w:rPr>
                <w:rFonts w:ascii="Arial" w:hAnsi="Arial" w:cs="Arial"/>
                <w:color w:val="202737"/>
                <w:sz w:val="17"/>
              </w:rPr>
              <w:t>5. Exploitation, playbooks et réponse coordonnée</w:t>
            </w:r>
          </w:p>
        </w:tc>
        <w:tc>
          <w:tcPr>
            <w:tcW w:type="dxa" w:w="2088"/>
            <w:vAlign w:val="center"/>
          </w:tcPr>
          <w:p>
            <w:pPr>
              <w:widowControl/>
              <w:spacing w:after="100" w:line="259" w:lineRule="auto"/>
            </w:pPr>
            <w:r>
              <w:rPr>
                <w:rFonts w:ascii="Arial" w:hAnsi="Arial" w:cs="Arial"/>
                <w:color w:val="202737"/>
                <w:sz w:val="17"/>
              </w:rPr>
              <w:t>Mahamadou DIACOUMBA</w:t>
            </w:r>
          </w:p>
        </w:tc>
        <w:tc>
          <w:tcPr>
            <w:tcW w:type="dxa" w:w="1440"/>
            <w:vAlign w:val="center"/>
          </w:tcPr>
          <w:p>
            <w:pPr>
              <w:widowControl/>
              <w:spacing w:after="100" w:line="259" w:lineRule="auto"/>
            </w:pPr>
            <w:r>
              <w:rPr>
                <w:rFonts w:ascii="Arial" w:hAnsi="Arial" w:cs="Arial"/>
                <w:color w:val="202737"/>
                <w:sz w:val="17"/>
              </w:rPr>
              <w:t>13:00 - 16:00</w:t>
            </w:r>
          </w:p>
        </w:tc>
        <w:tc>
          <w:tcPr>
            <w:tcW w:type="dxa" w:w="3600"/>
            <w:vAlign w:val="center"/>
          </w:tcPr>
          <w:p>
            <w:pPr>
              <w:widowControl/>
              <w:spacing w:after="100" w:line="259" w:lineRule="auto"/>
            </w:pPr>
            <w:r>
              <w:rPr>
                <w:rFonts w:ascii="Arial" w:hAnsi="Arial" w:cs="Arial"/>
                <w:color w:val="202737"/>
                <w:sz w:val="17"/>
              </w:rPr>
              <w:t>Runbook lab, playbooks, REX, preuves de réponse</w:t>
            </w:r>
          </w:p>
        </w:tc>
      </w:tr>
      <w:tr>
        <w:tc>
          <w:tcPr>
            <w:tcW w:type="dxa" w:w="3168"/>
            <w:vAlign w:val="center"/>
          </w:tcPr>
          <w:p>
            <w:pPr>
              <w:widowControl/>
              <w:spacing w:after="100" w:line="259" w:lineRule="auto"/>
            </w:pPr>
            <w:r>
              <w:rPr>
                <w:rFonts w:ascii="Arial" w:hAnsi="Arial" w:cs="Arial"/>
                <w:color w:val="202737"/>
                <w:sz w:val="17"/>
              </w:rPr>
              <w:t>6. Conclusion client</w:t>
            </w:r>
          </w:p>
        </w:tc>
        <w:tc>
          <w:tcPr>
            <w:tcW w:type="dxa" w:w="2088"/>
            <w:vAlign w:val="center"/>
          </w:tcPr>
          <w:p>
            <w:pPr>
              <w:widowControl/>
              <w:spacing w:after="100" w:line="259" w:lineRule="auto"/>
            </w:pPr>
            <w:r>
              <w:rPr>
                <w:rFonts w:ascii="Arial" w:hAnsi="Arial" w:cs="Arial"/>
                <w:color w:val="202737"/>
                <w:sz w:val="17"/>
              </w:rPr>
              <w:t>Équipe Cyber Trust</w:t>
            </w:r>
          </w:p>
        </w:tc>
        <w:tc>
          <w:tcPr>
            <w:tcW w:type="dxa" w:w="1440"/>
            <w:vAlign w:val="center"/>
          </w:tcPr>
          <w:p>
            <w:pPr>
              <w:widowControl/>
              <w:spacing w:after="100" w:line="259" w:lineRule="auto"/>
            </w:pPr>
            <w:r>
              <w:rPr>
                <w:rFonts w:ascii="Arial" w:hAnsi="Arial" w:cs="Arial"/>
                <w:color w:val="202737"/>
                <w:sz w:val="17"/>
              </w:rPr>
              <w:t>16:00 - 18:00</w:t>
            </w:r>
          </w:p>
        </w:tc>
        <w:tc>
          <w:tcPr>
            <w:tcW w:type="dxa" w:w="3600"/>
            <w:vAlign w:val="center"/>
          </w:tcPr>
          <w:p>
            <w:pPr>
              <w:widowControl/>
              <w:spacing w:after="100" w:line="259" w:lineRule="auto"/>
            </w:pPr>
            <w:r>
              <w:rPr>
                <w:rFonts w:ascii="Arial" w:hAnsi="Arial" w:cs="Arial"/>
                <w:color w:val="202737"/>
                <w:sz w:val="17"/>
              </w:rPr>
              <w:t>Dashboard exécutif ou schéma global</w:t>
            </w:r>
          </w:p>
        </w:tc>
      </w:tr>
    </w:tbl>
    <w:p>
      <w:pPr>
        <w:spacing w:after="120"/>
      </w:pPr>
    </w:p>
    <w:p>
      <w:pPr>
        <w:pStyle w:val="Heading1"/>
        <w:keepNext/>
      </w:pPr>
      <w:r>
        <w:t>Règles d'enregistrement</w:t>
      </w:r>
    </w:p>
    <w:p>
      <w:pPr>
        <w:pStyle w:val="ListBullet"/>
        <w:spacing w:after="60" w:line="259" w:lineRule="auto"/>
      </w:pPr>
      <w:r>
        <w:rPr>
          <w:rFonts w:ascii="Arial" w:hAnsi="Arial" w:cs="Arial"/>
          <w:color w:val="202737"/>
          <w:sz w:val="20"/>
        </w:rPr>
        <w:t>Chaque personne parle au moins une fois, avec son overlay nominatif visible.</w:t>
      </w:r>
    </w:p>
    <w:p>
      <w:pPr>
        <w:pStyle w:val="ListBullet"/>
        <w:spacing w:after="60" w:line="259" w:lineRule="auto"/>
      </w:pPr>
      <w:r>
        <w:rPr>
          <w:rFonts w:ascii="Arial" w:hAnsi="Arial" w:cs="Arial"/>
          <w:color w:val="202737"/>
          <w:sz w:val="20"/>
        </w:rPr>
        <w:t>Le récit doit rester client : pourquoi la preuve compte, pas seulement où cliquer.</w:t>
      </w:r>
    </w:p>
    <w:p>
      <w:pPr>
        <w:pStyle w:val="ListBullet"/>
        <w:spacing w:after="60" w:line="259" w:lineRule="auto"/>
      </w:pPr>
      <w:r>
        <w:rPr>
          <w:rFonts w:ascii="Arial" w:hAnsi="Arial" w:cs="Arial"/>
          <w:color w:val="202737"/>
          <w:sz w:val="20"/>
        </w:rPr>
        <w:t>Chaque capture ou écran doit être expliqué en une phrase avant de passer au suivant.</w:t>
      </w:r>
    </w:p>
    <w:p>
      <w:pPr>
        <w:pStyle w:val="ListBullet"/>
        <w:spacing w:after="60" w:line="259" w:lineRule="auto"/>
      </w:pPr>
      <w:r>
        <w:rPr>
          <w:rFonts w:ascii="Arial" w:hAnsi="Arial" w:cs="Arial"/>
          <w:color w:val="202737"/>
          <w:sz w:val="20"/>
        </w:rPr>
        <w:t>Si un outil live ne fonctionne pas, utiliser les captures validées et annoncer que ce sont les preuves du lab.</w:t>
      </w:r>
    </w:p>
    <w:p>
      <w:pPr>
        <w:pStyle w:val="Heading1"/>
        <w:keepNext/>
      </w:pPr>
      <w:r>
        <w:t>0. Préparation avant enregistrement</w:t>
      </w:r>
    </w:p>
    <w:p>
      <w:pPr>
        <w:widowControl/>
        <w:spacing w:after="100" w:line="259" w:lineRule="auto"/>
      </w:pPr>
      <w:r>
        <w:rPr>
          <w:rFonts w:ascii="Arial" w:hAnsi="Arial" w:cs="Arial"/>
          <w:color w:val="5A6070"/>
          <w:sz w:val="19"/>
        </w:rPr>
        <w:t>Équipe | Avant REC | Écran : Rapport, slides, pfSense, Wazuh, captures, overlays</w:t>
      </w:r>
    </w:p>
    <w:p>
      <w:pPr>
        <w:pStyle w:val="Heading3"/>
        <w:keepNext/>
      </w:pPr>
      <w:r>
        <w:t>À dire</w:t>
      </w:r>
    </w:p>
    <w:p>
      <w:pPr>
        <w:pStyle w:val="ListBullet"/>
        <w:spacing w:after="60" w:line="259" w:lineRule="auto"/>
      </w:pPr>
      <w:r>
        <w:rPr>
          <w:rFonts w:ascii="Arial" w:hAnsi="Arial" w:cs="Arial"/>
          <w:color w:val="202737"/>
          <w:sz w:val="20"/>
        </w:rPr>
        <w:t>Chaque intervenant active son overlay nominatif au moment où il parle. L'overlay doit afficher au minimum le prénom, nom et rôle projet.</w:t>
      </w:r>
    </w:p>
    <w:p>
      <w:pPr>
        <w:pStyle w:val="ListBullet"/>
        <w:spacing w:after="60" w:line="259" w:lineRule="auto"/>
      </w:pPr>
      <w:r>
        <w:rPr>
          <w:rFonts w:ascii="Arial" w:hAnsi="Arial" w:cs="Arial"/>
          <w:color w:val="202737"/>
          <w:sz w:val="20"/>
        </w:rPr>
        <w:t>Le fil conducteur reste client : besoin, solution, démonstration, réponse. On évite de présenter une suite de captures sans expliquer la valeur métier.</w:t>
      </w:r>
    </w:p>
    <w:p>
      <w:pPr>
        <w:pStyle w:val="Heading3"/>
        <w:keepNext/>
      </w:pPr>
      <w:r>
        <w:t>À faire à l'écran</w:t>
      </w:r>
    </w:p>
    <w:p>
      <w:pPr>
        <w:pStyle w:val="ListBullet"/>
        <w:spacing w:after="60" w:line="259" w:lineRule="auto"/>
      </w:pPr>
      <w:r>
        <w:rPr>
          <w:rFonts w:ascii="Arial" w:hAnsi="Arial" w:cs="Arial"/>
          <w:color w:val="202737"/>
          <w:sz w:val="20"/>
        </w:rPr>
        <w:t>Ouvrir `Soutenance_Video/Supports_video/overlay_*.png` dans OBS, Canva, CapCut ou l'outil de montage.</w:t>
      </w:r>
    </w:p>
    <w:p>
      <w:pPr>
        <w:pStyle w:val="ListBullet"/>
        <w:spacing w:after="60" w:line="259" w:lineRule="auto"/>
      </w:pPr>
      <w:r>
        <w:rPr>
          <w:rFonts w:ascii="Arial" w:hAnsi="Arial" w:cs="Arial"/>
          <w:color w:val="202737"/>
          <w:sz w:val="20"/>
        </w:rPr>
        <w:t>Préparer les fenêtres : rapport groupe, schéma global, pfSense, Wazuh, dashboards, playbooks.</w:t>
      </w:r>
    </w:p>
    <w:p>
      <w:pPr>
        <w:pStyle w:val="ListBullet"/>
        <w:spacing w:after="60" w:line="259" w:lineRule="auto"/>
      </w:pPr>
      <w:r>
        <w:rPr>
          <w:rFonts w:ascii="Arial" w:hAnsi="Arial" w:cs="Arial"/>
          <w:color w:val="202737"/>
          <w:sz w:val="20"/>
        </w:rPr>
        <w:t>Régler le zoom navigateur à 110-125 %, masquer les mots de passe, couper les notifications.</w:t>
      </w:r>
    </w:p>
    <w:p>
      <w:pPr>
        <w:pStyle w:val="Heading2"/>
        <w:keepNext/>
      </w:pPr>
      <w:r>
        <w:t>1. Introduction et contexte client</w:t>
      </w:r>
    </w:p>
    <w:p>
      <w:pPr>
        <w:widowControl/>
        <w:spacing w:after="100" w:line="259" w:lineRule="auto"/>
      </w:pPr>
      <w:r>
        <w:rPr>
          <w:rFonts w:ascii="Arial" w:hAnsi="Arial" w:cs="Arial"/>
          <w:color w:val="5A6070"/>
          <w:sz w:val="19"/>
        </w:rPr>
        <w:t>Kilyan FELIX | 0:00 - 2:00 | Écran : Slide titre Cyber Trust / Daylight + équipe</w:t>
      </w:r>
    </w:p>
    <w:p>
      <w:pPr>
        <w:pStyle w:val="Heading3"/>
        <w:keepNext/>
      </w:pPr>
      <w:r>
        <w:t>À dire</w:t>
      </w:r>
    </w:p>
    <w:p>
      <w:pPr>
        <w:pStyle w:val="ListBullet"/>
        <w:spacing w:after="60" w:line="259" w:lineRule="auto"/>
      </w:pPr>
      <w:r>
        <w:rPr>
          <w:rFonts w:ascii="Arial" w:hAnsi="Arial" w:cs="Arial"/>
          <w:color w:val="202737"/>
          <w:sz w:val="20"/>
        </w:rPr>
        <w:t>Bonjour, nous sommes l'équipe Cyber Trust. Notre projet répond au besoin de Daylight, un réseau de centres d'audioprothésistes qui manipule des données sensibles, notamment des dossiers patients.</w:t>
      </w:r>
    </w:p>
    <w:p>
      <w:pPr>
        <w:pStyle w:val="ListBullet"/>
        <w:spacing w:after="60" w:line="259" w:lineRule="auto"/>
      </w:pPr>
      <w:r>
        <w:rPr>
          <w:rFonts w:ascii="Arial" w:hAnsi="Arial" w:cs="Arial"/>
          <w:color w:val="202737"/>
          <w:sz w:val="20"/>
        </w:rPr>
        <w:t>Le besoin client est de disposer d'une supervision sécurité externalisée, capable de détecter des comportements à risque, de centraliser les événements, et de fournir une réponse compréhensible par un client non spécialiste.</w:t>
      </w:r>
    </w:p>
    <w:p>
      <w:pPr>
        <w:pStyle w:val="ListBullet"/>
        <w:spacing w:after="60" w:line="259" w:lineRule="auto"/>
      </w:pPr>
      <w:r>
        <w:rPr>
          <w:rFonts w:ascii="Arial" w:hAnsi="Arial" w:cs="Arial"/>
          <w:color w:val="202737"/>
          <w:sz w:val="20"/>
        </w:rPr>
        <w:t>Le MVP que nous présentons s'appuie sur une architecture réseau segmentée, un SIEM Wazuh centralisé, des dashboards, des règles de détection et des playbooks d'exploitation.</w:t>
      </w:r>
    </w:p>
    <w:p>
      <w:pPr>
        <w:pStyle w:val="Heading3"/>
        <w:keepNext/>
      </w:pPr>
      <w:r>
        <w:t>À faire à l'écran</w:t>
      </w:r>
    </w:p>
    <w:p>
      <w:pPr>
        <w:pStyle w:val="ListBullet"/>
        <w:spacing w:after="60" w:line="259" w:lineRule="auto"/>
      </w:pPr>
      <w:r>
        <w:rPr>
          <w:rFonts w:ascii="Arial" w:hAnsi="Arial" w:cs="Arial"/>
          <w:color w:val="202737"/>
          <w:sz w:val="20"/>
        </w:rPr>
        <w:t>Afficher l'overlay Kilyan.</w:t>
      </w:r>
    </w:p>
    <w:p>
      <w:pPr>
        <w:pStyle w:val="ListBullet"/>
        <w:spacing w:after="60" w:line="259" w:lineRule="auto"/>
      </w:pPr>
      <w:r>
        <w:rPr>
          <w:rFonts w:ascii="Arial" w:hAnsi="Arial" w:cs="Arial"/>
          <w:color w:val="202737"/>
          <w:sz w:val="20"/>
        </w:rPr>
        <w:t>Présenter l'équipe et les rôles : Kilyan pilotage/qualification, Yvan architecture/pfSense, Youssef SIEM/Wazuh, Mahamadou exploitation/playbooks.</w:t>
      </w:r>
    </w:p>
    <w:p>
      <w:pPr>
        <w:pStyle w:val="ListBullet"/>
        <w:spacing w:after="60" w:line="259" w:lineRule="auto"/>
      </w:pPr>
      <w:r>
        <w:rPr>
          <w:rFonts w:ascii="Arial" w:hAnsi="Arial" w:cs="Arial"/>
          <w:color w:val="202737"/>
          <w:sz w:val="20"/>
        </w:rPr>
        <w:t>Transition : “On commence par l'architecture, car c'est elle qui rend les flux supervisables.”</w:t>
      </w:r>
    </w:p>
    <w:p>
      <w:pPr>
        <w:pStyle w:val="Heading2"/>
        <w:keepNext/>
      </w:pPr>
      <w:r>
        <w:t>2. Architecture réseau et pfSense</w:t>
      </w:r>
    </w:p>
    <w:p>
      <w:pPr>
        <w:widowControl/>
        <w:spacing w:after="100" w:line="259" w:lineRule="auto"/>
      </w:pPr>
      <w:r>
        <w:rPr>
          <w:rFonts w:ascii="Arial" w:hAnsi="Arial" w:cs="Arial"/>
          <w:color w:val="5A6070"/>
          <w:sz w:val="19"/>
        </w:rPr>
        <w:t>Yvan FOCSA | 2:00 - 6:00 | Écran : Schémas Yvan, matrice Excel, pfSense, Wazuh alertes pfSense</w:t>
      </w:r>
    </w:p>
    <w:p>
      <w:pPr>
        <w:pStyle w:val="Heading3"/>
        <w:keepNext/>
      </w:pPr>
      <w:r>
        <w:t>À dire</w:t>
      </w:r>
    </w:p>
    <w:p>
      <w:pPr>
        <w:pStyle w:val="ListBullet"/>
        <w:spacing w:after="60" w:line="259" w:lineRule="auto"/>
      </w:pPr>
      <w:r>
        <w:rPr>
          <w:rFonts w:ascii="Arial" w:hAnsi="Arial" w:cs="Arial"/>
          <w:color w:val="202737"/>
          <w:sz w:val="20"/>
        </w:rPr>
        <w:t>Mon rôle est de présenter le socle réseau du MVP. L'objectif était d'éviter un réseau plat et de proposer une architecture lisible pour Daylight.</w:t>
      </w:r>
    </w:p>
    <w:p>
      <w:pPr>
        <w:pStyle w:val="ListBullet"/>
        <w:spacing w:after="60" w:line="259" w:lineRule="auto"/>
      </w:pPr>
      <w:r>
        <w:rPr>
          <w:rFonts w:ascii="Arial" w:hAnsi="Arial" w:cs="Arial"/>
          <w:color w:val="202737"/>
          <w:sz w:val="20"/>
        </w:rPr>
        <w:t>L'architecture est organisée en zones : USERS, SERVERS, DMZ, MGMT, SOC et WAN. Cette segmentation limite les mouvements latéraux et clarifie les flux autorisés.</w:t>
      </w:r>
    </w:p>
    <w:p>
      <w:pPr>
        <w:pStyle w:val="ListBullet"/>
        <w:spacing w:after="60" w:line="259" w:lineRule="auto"/>
      </w:pPr>
      <w:r>
        <w:rPr>
          <w:rFonts w:ascii="Arial" w:hAnsi="Arial" w:cs="Arial"/>
          <w:color w:val="202737"/>
          <w:sz w:val="20"/>
        </w:rPr>
        <w:t>pfSense joue le rôle de point de contrôle. Les règles autorisent uniquement les flux nécessaires, comme HTTPS vers l'application Daylight, et bloquent les accès directs vers les zones sensibles.</w:t>
      </w:r>
    </w:p>
    <w:p>
      <w:pPr>
        <w:pStyle w:val="ListBullet"/>
        <w:spacing w:after="60" w:line="259" w:lineRule="auto"/>
      </w:pPr>
      <w:r>
        <w:rPr>
          <w:rFonts w:ascii="Arial" w:hAnsi="Arial" w:cs="Arial"/>
          <w:color w:val="202737"/>
          <w:sz w:val="20"/>
        </w:rPr>
        <w:t>Les logs pfSense sont envoyés vers Wazuh en syslog. La preuve importante est que les blocages réseau deviennent des alertes exploitables côté SOC, notamment avec les règles 110010 et 110020.</w:t>
      </w:r>
    </w:p>
    <w:p>
      <w:pPr>
        <w:pStyle w:val="Heading3"/>
        <w:keepNext/>
      </w:pPr>
      <w:r>
        <w:t>À faire à l'écran</w:t>
      </w:r>
    </w:p>
    <w:p>
      <w:pPr>
        <w:pStyle w:val="ListBullet"/>
        <w:spacing w:after="60" w:line="259" w:lineRule="auto"/>
      </w:pPr>
      <w:r>
        <w:rPr>
          <w:rFonts w:ascii="Arial" w:hAnsi="Arial" w:cs="Arial"/>
          <w:color w:val="202737"/>
          <w:sz w:val="20"/>
        </w:rPr>
        <w:t>Afficher l'overlay Yvan.</w:t>
      </w:r>
    </w:p>
    <w:p>
      <w:pPr>
        <w:pStyle w:val="ListBullet"/>
        <w:spacing w:after="60" w:line="259" w:lineRule="auto"/>
      </w:pPr>
      <w:r>
        <w:rPr>
          <w:rFonts w:ascii="Arial" w:hAnsi="Arial" w:cs="Arial"/>
          <w:color w:val="202737"/>
          <w:sz w:val="20"/>
        </w:rPr>
        <w:t>Montrer : Architecture globale, pfSense flux/règles, dashboard pfSense, interfaces, aliases, règles LAN/WAN, syslog Wazuh.</w:t>
      </w:r>
    </w:p>
    <w:p>
      <w:pPr>
        <w:pStyle w:val="ListBullet"/>
        <w:spacing w:after="60" w:line="259" w:lineRule="auto"/>
      </w:pPr>
      <w:r>
        <w:rPr>
          <w:rFonts w:ascii="Arial" w:hAnsi="Arial" w:cs="Arial"/>
          <w:color w:val="202737"/>
          <w:sz w:val="20"/>
        </w:rPr>
        <w:t>Transition : “Une fois les flux cadrés et journalisés, le SIEM peut collecter et corréler les événements.”</w:t>
      </w:r>
    </w:p>
    <w:p>
      <w:pPr>
        <w:pStyle w:val="Heading2"/>
        <w:keepNext/>
      </w:pPr>
      <w:r>
        <w:t>3. SIEM Wazuh et collecte multi-source</w:t>
      </w:r>
    </w:p>
    <w:p>
      <w:pPr>
        <w:widowControl/>
        <w:spacing w:after="100" w:line="259" w:lineRule="auto"/>
      </w:pPr>
      <w:r>
        <w:rPr>
          <w:rFonts w:ascii="Arial" w:hAnsi="Arial" w:cs="Arial"/>
          <w:color w:val="5A6070"/>
          <w:sz w:val="19"/>
        </w:rPr>
        <w:t>Youssef GUERNIOU | 6:00 - 10:00 | Écran : Wazuh dashboard, agents, alertes SSH, logs Daylight, RBAC</w:t>
      </w:r>
    </w:p>
    <w:p>
      <w:pPr>
        <w:pStyle w:val="Heading3"/>
        <w:keepNext/>
      </w:pPr>
      <w:r>
        <w:t>À dire</w:t>
      </w:r>
    </w:p>
    <w:p>
      <w:pPr>
        <w:pStyle w:val="ListBullet"/>
        <w:spacing w:after="60" w:line="259" w:lineRule="auto"/>
      </w:pPr>
      <w:r>
        <w:rPr>
          <w:rFonts w:ascii="Arial" w:hAnsi="Arial" w:cs="Arial"/>
          <w:color w:val="202737"/>
          <w:sz w:val="20"/>
        </w:rPr>
        <w:t>La partie SIEM repose sur Wazuh. Le choix répond au besoin du cahier des charges : une solution open-source, centralisée, avec règles personnalisables et interface web.</w:t>
      </w:r>
    </w:p>
    <w:p>
      <w:pPr>
        <w:pStyle w:val="ListBullet"/>
        <w:spacing w:after="60" w:line="259" w:lineRule="auto"/>
      </w:pPr>
      <w:r>
        <w:rPr>
          <w:rFonts w:ascii="Arial" w:hAnsi="Arial" w:cs="Arial"/>
          <w:color w:val="202737"/>
          <w:sz w:val="20"/>
        </w:rPr>
        <w:t>La collecte couvre plusieurs sources : un endpoint Windows, un serveur Linux, des logs applicatifs Daylight et les événements pfSense. Cela montre que le SOC peut corréler des signaux poste, serveur, réseau et métier.</w:t>
      </w:r>
    </w:p>
    <w:p>
      <w:pPr>
        <w:pStyle w:val="ListBullet"/>
        <w:spacing w:after="60" w:line="259" w:lineRule="auto"/>
      </w:pPr>
      <w:r>
        <w:rPr>
          <w:rFonts w:ascii="Arial" w:hAnsi="Arial" w:cs="Arial"/>
          <w:color w:val="202737"/>
          <w:sz w:val="20"/>
        </w:rPr>
        <w:t>Nous avons validé des scénarios comme la force brute SSH, l'accès anormal à des dossiers patients et les événements réseau pfSense. Les alertes apparaissent dans Wazuh avec un niveau, une règle et un contexte d'analyse.</w:t>
      </w:r>
    </w:p>
    <w:p>
      <w:pPr>
        <w:pStyle w:val="ListBullet"/>
        <w:spacing w:after="60" w:line="259" w:lineRule="auto"/>
      </w:pPr>
      <w:r>
        <w:rPr>
          <w:rFonts w:ascii="Arial" w:hAnsi="Arial" w:cs="Arial"/>
          <w:color w:val="202737"/>
          <w:sz w:val="20"/>
        </w:rPr>
        <w:t>La partie RBAC permet aussi de séparer les profils administrateur, analyste et supervision. Cela évite qu'un profil de consultation modifie la configuration sécurité.</w:t>
      </w:r>
    </w:p>
    <w:p>
      <w:pPr>
        <w:pStyle w:val="Heading3"/>
        <w:keepNext/>
      </w:pPr>
      <w:r>
        <w:t>À faire à l'écran</w:t>
      </w:r>
    </w:p>
    <w:p>
      <w:pPr>
        <w:pStyle w:val="ListBullet"/>
        <w:spacing w:after="60" w:line="259" w:lineRule="auto"/>
      </w:pPr>
      <w:r>
        <w:rPr>
          <w:rFonts w:ascii="Arial" w:hAnsi="Arial" w:cs="Arial"/>
          <w:color w:val="202737"/>
          <w:sz w:val="20"/>
        </w:rPr>
        <w:t>Afficher l'overlay Youssef.</w:t>
      </w:r>
    </w:p>
    <w:p>
      <w:pPr>
        <w:pStyle w:val="ListBullet"/>
        <w:spacing w:after="60" w:line="259" w:lineRule="auto"/>
      </w:pPr>
      <w:r>
        <w:rPr>
          <w:rFonts w:ascii="Arial" w:hAnsi="Arial" w:cs="Arial"/>
          <w:color w:val="202737"/>
          <w:sz w:val="20"/>
        </w:rPr>
        <w:t>Montrer les agents, une alerte SSH, une alerte Daylight, une vue dashboard, puis RBAC.</w:t>
      </w:r>
    </w:p>
    <w:p>
      <w:pPr>
        <w:pStyle w:val="ListBullet"/>
        <w:spacing w:after="60" w:line="259" w:lineRule="auto"/>
      </w:pPr>
      <w:r>
        <w:rPr>
          <w:rFonts w:ascii="Arial" w:hAnsi="Arial" w:cs="Arial"/>
          <w:color w:val="202737"/>
          <w:sz w:val="20"/>
        </w:rPr>
        <w:t>Transition : “Les alertes existent ; il faut maintenant les prioriser et les rendre lisibles pour le client.”</w:t>
      </w:r>
    </w:p>
    <w:p>
      <w:pPr>
        <w:pStyle w:val="Heading2"/>
        <w:keepNext/>
      </w:pPr>
      <w:r>
        <w:t>4. Méthodologie, qualification et dashboards</w:t>
      </w:r>
    </w:p>
    <w:p>
      <w:pPr>
        <w:widowControl/>
        <w:spacing w:after="100" w:line="259" w:lineRule="auto"/>
      </w:pPr>
      <w:r>
        <w:rPr>
          <w:rFonts w:ascii="Arial" w:hAnsi="Arial" w:cs="Arial"/>
          <w:color w:val="5A6070"/>
          <w:sz w:val="19"/>
        </w:rPr>
        <w:t>Kilyan FELIX | 10:00 - 13:00 | Écran : Gantt, Jira/Kanban, matrice impact x urgence, dashboards</w:t>
      </w:r>
    </w:p>
    <w:p>
      <w:pPr>
        <w:pStyle w:val="Heading3"/>
        <w:keepNext/>
      </w:pPr>
      <w:r>
        <w:t>À dire</w:t>
      </w:r>
    </w:p>
    <w:p>
      <w:pPr>
        <w:pStyle w:val="ListBullet"/>
        <w:spacing w:after="60" w:line="259" w:lineRule="auto"/>
      </w:pPr>
      <w:r>
        <w:rPr>
          <w:rFonts w:ascii="Arial" w:hAnsi="Arial" w:cs="Arial"/>
          <w:color w:val="202737"/>
          <w:sz w:val="20"/>
        </w:rPr>
        <w:t>Le projet a été piloté de façon itérative sur six mois, avec des lots dépendants : architecture, SIEM, détection, réponse, recette et rapport final.</w:t>
      </w:r>
    </w:p>
    <w:p>
      <w:pPr>
        <w:pStyle w:val="ListBullet"/>
        <w:spacing w:after="60" w:line="259" w:lineRule="auto"/>
      </w:pPr>
      <w:r>
        <w:rPr>
          <w:rFonts w:ascii="Arial" w:hAnsi="Arial" w:cs="Arial"/>
          <w:color w:val="202737"/>
          <w:sz w:val="20"/>
        </w:rPr>
        <w:t>Le suivi Kanban nous a permis d'associer chaque tâche à un responsable, un état d'avancement et une preuve attendue. Une tâche n'était considérée terminée que si elle produisait une preuve exploitable.</w:t>
      </w:r>
    </w:p>
    <w:p>
      <w:pPr>
        <w:pStyle w:val="ListBullet"/>
        <w:spacing w:after="60" w:line="259" w:lineRule="auto"/>
      </w:pPr>
      <w:r>
        <w:rPr>
          <w:rFonts w:ascii="Arial" w:hAnsi="Arial" w:cs="Arial"/>
          <w:color w:val="202737"/>
          <w:sz w:val="20"/>
        </w:rPr>
        <w:t>Côté SOC, nous avons transformé les alertes techniques en priorités métier. La matrice impact x urgence permet de traiter en priorité les données patients, les privilèges et les mouvements latéraux.</w:t>
      </w:r>
    </w:p>
    <w:p>
      <w:pPr>
        <w:pStyle w:val="ListBullet"/>
        <w:spacing w:after="60" w:line="259" w:lineRule="auto"/>
      </w:pPr>
      <w:r>
        <w:rPr>
          <w:rFonts w:ascii="Arial" w:hAnsi="Arial" w:cs="Arial"/>
          <w:color w:val="202737"/>
          <w:sz w:val="20"/>
        </w:rPr>
        <w:t>Les dashboards ont deux usages : une vue technique pour l'analyste, et une vue exécutive pour Daylight, avec le volume d'alertes, les alertes critiques et la répartition par site.</w:t>
      </w:r>
    </w:p>
    <w:p>
      <w:pPr>
        <w:pStyle w:val="Heading3"/>
        <w:keepNext/>
      </w:pPr>
      <w:r>
        <w:t>À faire à l'écran</w:t>
      </w:r>
    </w:p>
    <w:p>
      <w:pPr>
        <w:pStyle w:val="ListBullet"/>
        <w:spacing w:after="60" w:line="259" w:lineRule="auto"/>
      </w:pPr>
      <w:r>
        <w:rPr>
          <w:rFonts w:ascii="Arial" w:hAnsi="Arial" w:cs="Arial"/>
          <w:color w:val="202737"/>
          <w:sz w:val="20"/>
        </w:rPr>
        <w:t>Afficher l'overlay Kilyan.</w:t>
      </w:r>
    </w:p>
    <w:p>
      <w:pPr>
        <w:pStyle w:val="ListBullet"/>
        <w:spacing w:after="60" w:line="259" w:lineRule="auto"/>
      </w:pPr>
      <w:r>
        <w:rPr>
          <w:rFonts w:ascii="Arial" w:hAnsi="Arial" w:cs="Arial"/>
          <w:color w:val="202737"/>
          <w:sz w:val="20"/>
        </w:rPr>
        <w:t>Montrer le Gantt, Jira/Kanban, la matrice impact x urgence, puis les dashboards.</w:t>
      </w:r>
    </w:p>
    <w:p>
      <w:pPr>
        <w:pStyle w:val="ListBullet"/>
        <w:spacing w:after="60" w:line="259" w:lineRule="auto"/>
      </w:pPr>
      <w:r>
        <w:rPr>
          <w:rFonts w:ascii="Arial" w:hAnsi="Arial" w:cs="Arial"/>
          <w:color w:val="202737"/>
          <w:sz w:val="20"/>
        </w:rPr>
        <w:t>Transition : “Une alerte priorisée doit ensuite être traitée avec une procédure claire.”</w:t>
      </w:r>
    </w:p>
    <w:p>
      <w:pPr>
        <w:pStyle w:val="Heading2"/>
        <w:keepNext/>
      </w:pPr>
      <w:r>
        <w:t>5. Exploitation, playbooks et réponse coordonnée</w:t>
      </w:r>
    </w:p>
    <w:p>
      <w:pPr>
        <w:widowControl/>
        <w:spacing w:after="100" w:line="259" w:lineRule="auto"/>
      </w:pPr>
      <w:r>
        <w:rPr>
          <w:rFonts w:ascii="Arial" w:hAnsi="Arial" w:cs="Arial"/>
          <w:color w:val="5A6070"/>
          <w:sz w:val="19"/>
        </w:rPr>
        <w:t>Mahamadou DIACOUMBA | 13:00 - 16:00 | Écran : Runbook lab, playbooks, REX, preuves de réponse</w:t>
      </w:r>
    </w:p>
    <w:p>
      <w:pPr>
        <w:pStyle w:val="Heading3"/>
        <w:keepNext/>
      </w:pPr>
      <w:r>
        <w:t>À dire</w:t>
      </w:r>
    </w:p>
    <w:p>
      <w:pPr>
        <w:pStyle w:val="ListBullet"/>
        <w:spacing w:after="60" w:line="259" w:lineRule="auto"/>
      </w:pPr>
      <w:r>
        <w:rPr>
          <w:rFonts w:ascii="Arial" w:hAnsi="Arial" w:cs="Arial"/>
          <w:color w:val="202737"/>
          <w:sz w:val="20"/>
        </w:rPr>
        <w:t>Ma partie concerne l'exploitation SOC : le MVP doit pouvoir être relancé, testé et présenté sans dépendre d'une seule personne.</w:t>
      </w:r>
    </w:p>
    <w:p>
      <w:pPr>
        <w:pStyle w:val="ListBullet"/>
        <w:spacing w:after="60" w:line="259" w:lineRule="auto"/>
      </w:pPr>
      <w:r>
        <w:rPr>
          <w:rFonts w:ascii="Arial" w:hAnsi="Arial" w:cs="Arial"/>
          <w:color w:val="202737"/>
          <w:sz w:val="20"/>
        </w:rPr>
        <w:t>Les runbooks décrivent les étapes de démarrage, les contrôles à faire et les preuves attendues. Cela rend l'environnement reproductible.</w:t>
      </w:r>
    </w:p>
    <w:p>
      <w:pPr>
        <w:pStyle w:val="ListBullet"/>
        <w:spacing w:after="60" w:line="259" w:lineRule="auto"/>
      </w:pPr>
      <w:r>
        <w:rPr>
          <w:rFonts w:ascii="Arial" w:hAnsi="Arial" w:cs="Arial"/>
          <w:color w:val="202737"/>
          <w:sz w:val="20"/>
        </w:rPr>
        <w:t>Les playbooks décrivent les actions à mener pour les scénarios prioritaires : force brute SSH, accès anormal à un dossier patient, élévation de privilèges et mouvement latéral bloqué.</w:t>
      </w:r>
    </w:p>
    <w:p>
      <w:pPr>
        <w:pStyle w:val="ListBullet"/>
        <w:spacing w:after="60" w:line="259" w:lineRule="auto"/>
      </w:pPr>
      <w:r>
        <w:rPr>
          <w:rFonts w:ascii="Arial" w:hAnsi="Arial" w:cs="Arial"/>
          <w:color w:val="202737"/>
          <w:sz w:val="20"/>
        </w:rPr>
        <w:t>Enfin, les retours d'expérience permettent d'améliorer les règles, réduire les faux positifs et préparer une trajectoire d'industrialisation.</w:t>
      </w:r>
    </w:p>
    <w:p>
      <w:pPr>
        <w:pStyle w:val="Heading3"/>
        <w:keepNext/>
      </w:pPr>
      <w:r>
        <w:t>À faire à l'écran</w:t>
      </w:r>
    </w:p>
    <w:p>
      <w:pPr>
        <w:pStyle w:val="ListBullet"/>
        <w:spacing w:after="60" w:line="259" w:lineRule="auto"/>
      </w:pPr>
      <w:r>
        <w:rPr>
          <w:rFonts w:ascii="Arial" w:hAnsi="Arial" w:cs="Arial"/>
          <w:color w:val="202737"/>
          <w:sz w:val="20"/>
        </w:rPr>
        <w:t>Afficher l'overlay Mahamadou.</w:t>
      </w:r>
    </w:p>
    <w:p>
      <w:pPr>
        <w:pStyle w:val="ListBullet"/>
        <w:spacing w:after="60" w:line="259" w:lineRule="auto"/>
      </w:pPr>
      <w:r>
        <w:rPr>
          <w:rFonts w:ascii="Arial" w:hAnsi="Arial" w:cs="Arial"/>
          <w:color w:val="202737"/>
          <w:sz w:val="20"/>
        </w:rPr>
        <w:t>Montrer un runbook, un playbook et un REX.</w:t>
      </w:r>
    </w:p>
    <w:p>
      <w:pPr>
        <w:pStyle w:val="ListBullet"/>
        <w:spacing w:after="60" w:line="259" w:lineRule="auto"/>
      </w:pPr>
      <w:r>
        <w:rPr>
          <w:rFonts w:ascii="Arial" w:hAnsi="Arial" w:cs="Arial"/>
          <w:color w:val="202737"/>
          <w:sz w:val="20"/>
        </w:rPr>
        <w:t>Transition : “On peut conclure sur la valeur du MVP pour Daylight.”</w:t>
      </w:r>
    </w:p>
    <w:p>
      <w:pPr>
        <w:pStyle w:val="Heading2"/>
        <w:keepNext/>
      </w:pPr>
      <w:r>
        <w:t>6. Conclusion client</w:t>
      </w:r>
    </w:p>
    <w:p>
      <w:pPr>
        <w:widowControl/>
        <w:spacing w:after="100" w:line="259" w:lineRule="auto"/>
      </w:pPr>
      <w:r>
        <w:rPr>
          <w:rFonts w:ascii="Arial" w:hAnsi="Arial" w:cs="Arial"/>
          <w:color w:val="5A6070"/>
          <w:sz w:val="19"/>
        </w:rPr>
        <w:t>Équipe Cyber Trust | 16:00 - 18:00 | Écran : Dashboard exécutif ou schéma global</w:t>
      </w:r>
    </w:p>
    <w:p>
      <w:pPr>
        <w:pStyle w:val="Heading3"/>
        <w:keepNext/>
      </w:pPr>
      <w:r>
        <w:t>À dire</w:t>
      </w:r>
    </w:p>
    <w:p>
      <w:pPr>
        <w:pStyle w:val="ListBullet"/>
        <w:spacing w:after="60" w:line="259" w:lineRule="auto"/>
      </w:pPr>
      <w:r>
        <w:rPr>
          <w:rFonts w:ascii="Arial" w:hAnsi="Arial" w:cs="Arial"/>
          <w:color w:val="202737"/>
          <w:sz w:val="20"/>
        </w:rPr>
        <w:t>Le MVP démontre que Cyber Trust peut superviser les événements de sécurité de Daylight avec une architecture segmentée, un SIEM centralisé, des règles de détection, des dashboards et des procédures de réponse.</w:t>
      </w:r>
    </w:p>
    <w:p>
      <w:pPr>
        <w:pStyle w:val="ListBullet"/>
        <w:spacing w:after="60" w:line="259" w:lineRule="auto"/>
      </w:pPr>
      <w:r>
        <w:rPr>
          <w:rFonts w:ascii="Arial" w:hAnsi="Arial" w:cs="Arial"/>
          <w:color w:val="202737"/>
          <w:sz w:val="20"/>
        </w:rPr>
        <w:t>La solution n'est pas présentée comme une production haute disponibilité complète, mais comme un socle prouvé et industrialisable.</w:t>
      </w:r>
    </w:p>
    <w:p>
      <w:pPr>
        <w:pStyle w:val="ListBullet"/>
        <w:spacing w:after="60" w:line="259" w:lineRule="auto"/>
      </w:pPr>
      <w:r>
        <w:rPr>
          <w:rFonts w:ascii="Arial" w:hAnsi="Arial" w:cs="Arial"/>
          <w:color w:val="202737"/>
          <w:sz w:val="20"/>
        </w:rPr>
        <w:t>Les prochaines étapes seraient d'étendre la collecte à davantage de centres, sécuriser les flux syslog, renforcer la haute disponibilité et connecter les alertes à un outil de ticketing ou de SOAR.</w:t>
      </w:r>
    </w:p>
    <w:p>
      <w:pPr>
        <w:pStyle w:val="Heading3"/>
        <w:keepNext/>
      </w:pPr>
      <w:r>
        <w:t>À faire à l'écran</w:t>
      </w:r>
    </w:p>
    <w:p>
      <w:pPr>
        <w:pStyle w:val="ListBullet"/>
        <w:spacing w:after="60" w:line="259" w:lineRule="auto"/>
      </w:pPr>
      <w:r>
        <w:rPr>
          <w:rFonts w:ascii="Arial" w:hAnsi="Arial" w:cs="Arial"/>
          <w:color w:val="202737"/>
          <w:sz w:val="20"/>
        </w:rPr>
        <w:t>Afficher l'overlay équipe.</w:t>
      </w:r>
    </w:p>
    <w:p>
      <w:pPr>
        <w:pStyle w:val="ListBullet"/>
        <w:spacing w:after="60" w:line="259" w:lineRule="auto"/>
      </w:pPr>
      <w:r>
        <w:rPr>
          <w:rFonts w:ascii="Arial" w:hAnsi="Arial" w:cs="Arial"/>
          <w:color w:val="202737"/>
          <w:sz w:val="20"/>
        </w:rPr>
        <w:t>Finir par une phrase nette : “Merci, nous sommes prêts à répondre aux questions.”</w:t>
      </w:r>
    </w:p>
    <w:p>
      <w:pPr>
        <w:pStyle w:val="Heading1"/>
        <w:keepNext/>
      </w:pPr>
      <w:r>
        <w:t>Livrable vidéo attendu</w:t>
      </w:r>
    </w:p>
    <w:p>
      <w:pPr>
        <w:widowControl/>
        <w:spacing w:after="100" w:line="259" w:lineRule="auto"/>
      </w:pPr>
      <w:r>
        <w:rPr>
          <w:rFonts w:ascii="Arial" w:hAnsi="Arial" w:cs="Arial"/>
          <w:color w:val="202737"/>
          <w:sz w:val="21"/>
        </w:rPr>
        <w:t>Deux options sont acceptées : un fichier MP4 dans un zip, ou un fichier TXT contenant un lien YouTube en mode Non répertoriée.</w:t>
      </w:r>
    </w:p>
    <w:p>
      <w:pPr>
        <w:pStyle w:val="ListBullet"/>
        <w:spacing w:after="60" w:line="259" w:lineRule="auto"/>
      </w:pPr>
      <w:r>
        <w:rPr>
          <w:rFonts w:ascii="Arial" w:hAnsi="Arial" w:cs="Arial"/>
          <w:color w:val="202737"/>
          <w:sz w:val="20"/>
        </w:rPr>
        <w:t>Nom conseillé du zip : `PE_2526_MSI526CSB_FocsaYvan_GuerniouYoussef_FelixKilyan_DiacoumbaMahamadou.zip`.</w:t>
      </w:r>
    </w:p>
    <w:p>
      <w:pPr>
        <w:pStyle w:val="ListBullet"/>
        <w:spacing w:after="60" w:line="259" w:lineRule="auto"/>
      </w:pPr>
      <w:r>
        <w:rPr>
          <w:rFonts w:ascii="Arial" w:hAnsi="Arial" w:cs="Arial"/>
          <w:color w:val="202737"/>
          <w:sz w:val="20"/>
        </w:rPr>
        <w:t>Nom conseillé de la vidéo : `PE-2526_MSI526CSB_FocsaYvan_GuerniouYoussef_FelixKilyan_DiacoumbaMahamadou.mp4`.</w:t>
      </w:r>
    </w:p>
    <w:p>
      <w:pPr>
        <w:pStyle w:val="ListBullet"/>
        <w:spacing w:after="60" w:line="259" w:lineRule="auto"/>
      </w:pPr>
      <w:r>
        <w:rPr>
          <w:rFonts w:ascii="Arial" w:hAnsi="Arial" w:cs="Arial"/>
          <w:color w:val="202737"/>
          <w:sz w:val="20"/>
        </w:rPr>
        <w:t>Si YouTube : créer un TXT avec le lien non répertorié, sans utiliser une autre plateforme.</w:t>
      </w:r>
    </w:p>
    <w:sectPr w:rsidR="00FC693F" w:rsidRPr="0006063C" w:rsidSect="00034616">
      <w:headerReference w:type="default" r:id="rId9"/>
      <w:footerReference w:type="default" r:id="rId10"/>
      <w:pgSz w:w="12240" w:h="15840"/>
      <w:pgMar w:top="1037" w:right="1123" w:bottom="893"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after="100" w:line="259" w:lineRule="auto"/>
      <w:jc w:val="center"/>
    </w:pPr>
    <w:r>
      <w:rPr>
        <w:rFonts w:ascii="Arial" w:hAnsi="Arial" w:cs="Arial"/>
        <w:color w:val="5A6070"/>
        <w:sz w:val="17"/>
      </w:rPr>
      <w:t>Projet d'étude 2025 - SUP DE VINCI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after="100" w:line="259" w:lineRule="auto"/>
      <w:jc w:val="right"/>
    </w:pPr>
    <w:r>
      <w:rPr>
        <w:rFonts w:ascii="Arial" w:hAnsi="Arial" w:cs="Arial"/>
        <w:color w:val="5A6070"/>
        <w:sz w:val="17"/>
      </w:rPr>
      <w:t>Cyber Trust x Daylight - Script vidéo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