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26" w:line="264" w:lineRule="auto"/>
        <w:ind w:left="1170" w:right="1141" w:firstLine="0"/>
        <w:jc w:val="center"/>
        <w:rPr>
          <w:b w:val="1"/>
          <w:color w:val="4a86e8"/>
          <w:sz w:val="52"/>
          <w:szCs w:val="52"/>
        </w:rPr>
      </w:pPr>
      <w:r w:rsidDel="00000000" w:rsidR="00000000" w:rsidRPr="00000000">
        <w:rPr>
          <w:b w:val="1"/>
          <w:color w:val="4a86e8"/>
          <w:sz w:val="52"/>
          <w:szCs w:val="52"/>
          <w:u w:val="single"/>
          <w:rtl w:val="0"/>
        </w:rPr>
        <w:t xml:space="preserve">TRABAJO PRÁCTICO N° 4:</w:t>
      </w:r>
      <w:r w:rsidDel="00000000" w:rsidR="00000000" w:rsidRPr="00000000">
        <w:rPr>
          <w:b w:val="1"/>
          <w:color w:val="4a86e8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426" w:line="264" w:lineRule="auto"/>
        <w:ind w:left="1170" w:right="1141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Herramientas de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13" w:line="360" w:lineRule="auto"/>
        <w:ind w:left="13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Cátedra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Ingeniería de Software. </w:t>
      </w:r>
    </w:p>
    <w:p w:rsidR="00000000" w:rsidDel="00000000" w:rsidP="00000000" w:rsidRDefault="00000000" w:rsidRPr="00000000" w14:paraId="00000005">
      <w:pPr>
        <w:widowControl w:val="0"/>
        <w:spacing w:before="43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Ciclo lectivo: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2022. </w:t>
      </w:r>
    </w:p>
    <w:p w:rsidR="00000000" w:rsidDel="00000000" w:rsidP="00000000" w:rsidRDefault="00000000" w:rsidRPr="00000000" w14:paraId="00000006">
      <w:pPr>
        <w:widowControl w:val="0"/>
        <w:spacing w:before="43" w:line="360" w:lineRule="auto"/>
        <w:ind w:left="1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43" w:line="360" w:lineRule="auto"/>
        <w:ind w:left="13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Fecha de entrega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19/04/2022.</w:t>
      </w:r>
    </w:p>
    <w:p w:rsidR="00000000" w:rsidDel="00000000" w:rsidP="00000000" w:rsidRDefault="00000000" w:rsidRPr="00000000" w14:paraId="00000008">
      <w:pPr>
        <w:widowControl w:val="0"/>
        <w:spacing w:before="43" w:line="360" w:lineRule="auto"/>
        <w:ind w:left="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Profesores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Covaro, Laura Ines (Titular)</w:t>
      </w:r>
    </w:p>
    <w:p w:rsidR="00000000" w:rsidDel="00000000" w:rsidP="00000000" w:rsidRDefault="00000000" w:rsidRPr="00000000" w14:paraId="00000009">
      <w:pPr>
        <w:widowControl w:val="0"/>
        <w:spacing w:before="43" w:line="360" w:lineRule="auto"/>
        <w:ind w:left="740" w:firstLine="6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Boiero Rovera, Gerardo Javier (JTP)</w:t>
      </w:r>
    </w:p>
    <w:p w:rsidR="00000000" w:rsidDel="00000000" w:rsidP="00000000" w:rsidRDefault="00000000" w:rsidRPr="00000000" w14:paraId="0000000A">
      <w:pPr>
        <w:widowControl w:val="0"/>
        <w:spacing w:before="43" w:line="360" w:lineRule="auto"/>
        <w:ind w:left="14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Crespo, María Mickaela (Ayudante 1ra)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66685 - Alfonzo Paola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360" w:lineRule="auto"/>
        <w:ind w:left="720" w:right="798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48701 - Basso Martín Federico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61539 - Cruz Karen Yanina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54910 - Gómez Iván Alejandro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360" w:lineRule="auto"/>
        <w:ind w:left="720" w:right="79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67404 - Monzon Esteban Nahuel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del Repositorio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ítems de Configuración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Línea Base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40"/>
          <w:szCs w:val="40"/>
        </w:rPr>
      </w:pPr>
      <w:bookmarkStart w:colFirst="0" w:colLast="0" w:name="_heading=h.30j0zl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b11513"/>
          <w:sz w:val="32"/>
          <w:szCs w:val="32"/>
        </w:rPr>
      </w:pPr>
      <w:r w:rsidDel="00000000" w:rsidR="00000000" w:rsidRPr="00000000">
        <w:rPr>
          <w:b w:val="1"/>
          <w:color w:val="c10000"/>
          <w:sz w:val="32"/>
          <w:szCs w:val="32"/>
          <w:rtl w:val="0"/>
        </w:rPr>
        <w:t xml:space="preserve">PRÁCTICO 4 - </w:t>
      </w:r>
      <w:r w:rsidDel="00000000" w:rsidR="00000000" w:rsidRPr="00000000">
        <w:rPr>
          <w:b w:val="1"/>
          <w:color w:val="b11513"/>
          <w:sz w:val="32"/>
          <w:szCs w:val="32"/>
          <w:rtl w:val="0"/>
        </w:rPr>
        <w:t xml:space="preserve">SCM – Herramientas de SCM (Evaluable)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b1151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7342"/>
        <w:tblGridChange w:id="0">
          <w:tblGrid>
            <w:gridCol w:w="1916"/>
            <w:gridCol w:w="7342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 Nro. 3: Gestión del Software como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Consigna: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Comprender los conceptos de administración de configuración de software (SCM) expuestos en la clase teórica para aplicarlos en un ejercicio propuesto por la cátedra.</w:t>
            </w:r>
          </w:p>
        </w:tc>
      </w:tr>
      <w:tr>
        <w:trPr>
          <w:cantSplit w:val="0"/>
          <w:trHeight w:val="131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Aplicar los conceptos de gestión de configuración estudiados en una herramienta de software específica</w:t>
            </w:r>
          </w:p>
        </w:tc>
      </w:tr>
      <w:tr>
        <w:trPr>
          <w:cantSplit w:val="0"/>
          <w:trHeight w:val="66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Conceptos teóricos sobre los temas desarrollados en clase. Bibliografía referenciada sobre el tema.</w:t>
            </w:r>
          </w:p>
        </w:tc>
      </w:tr>
      <w:tr>
        <w:trPr>
          <w:cantSplit w:val="0"/>
          <w:trHeight w:val="234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URL y Credenciales de acceso para el repositorio implementado Documento con el criterio para la creación de una línea base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 evaluará lo siguiente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69" w:right="0" w:hanging="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repositorio debe ser accesible de forma pública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la estructura de carpetas propuesta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archivos se deben encontrar en la ubicación correspondiente a su definición como ítem de Configuración.</w:t>
            </w:r>
          </w:p>
        </w:tc>
      </w:tr>
      <w:tr>
        <w:trPr>
          <w:cantSplit w:val="0"/>
          <w:trHeight w:val="360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69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el diseño del repositorio y reglas de nombrado de ítems de configuración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repositorio de acceso público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cuentas de usuario para cada uno de los integrantes del grupo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la estructura del repositorio propuesta resguardar el trabajo generado durante el cursado de la materia Ingeniería de Software.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Commit (colocar) de cada ítem de configuración disponible al momento.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9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al menos un momento que considere adecuado para marcar una línea base y luego marcar la línea base definida en el repositorio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repositorio implementado debe ser de acceso público utilizando Git o Subversion como motor de control de versiones.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48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Rule="auto"/>
        <w:rPr>
          <w:b w:val="1"/>
          <w:color w:val="3c78d8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https://github.com/ivangomez854/FRC-ISW-2022-GRUPO4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0" w:lineRule="auto"/>
        <w:rPr>
          <w:b w:val="1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Estructura del Repositorio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95575" cy="2981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before="0" w:lineRule="auto"/>
        <w:rPr>
          <w:b w:val="1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Listado de ítems de Configuración </w:t>
      </w:r>
    </w:p>
    <w:p w:rsidR="00000000" w:rsidDel="00000000" w:rsidP="00000000" w:rsidRDefault="00000000" w:rsidRPr="00000000" w14:paraId="0000005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3684"/>
        <w:gridCol w:w="2826"/>
        <w:tblGridChange w:id="0">
          <w:tblGrid>
            <w:gridCol w:w="2265"/>
            <w:gridCol w:w="3684"/>
            <w:gridCol w:w="2826"/>
          </w:tblGrid>
        </w:tblGridChange>
      </w:tblGrid>
      <w:tr>
        <w:trPr>
          <w:cantSplit w:val="0"/>
          <w:trHeight w:val="907" w:hRule="atLeast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ítem de configuración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 del repositorio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Trabajos prácticos evaluables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TPE-&lt;nroTPE&gt;-&lt;tema&gt;.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/Material Práctico/Prácticos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Entregados/Evaluables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TP No Evaluables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TPNE-&lt;nroTPNE&gt;-&lt;tema&gt;.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&lt;extensión&gt;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/Material Práctico/Prácticos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Entregados/No Evaluables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Guías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G-&lt;nombreG&gt;-&lt;YYYY&gt;-&lt;nr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oC&gt;C.pdf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/Material Práctico/Guías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bookmarkStart w:colFirst="0" w:colLast="0" w:name="_heading=h.gjdgxs" w:id="6"/>
            <w:bookmarkEnd w:id="6"/>
            <w:r w:rsidDel="00000000" w:rsidR="00000000" w:rsidRPr="00000000">
              <w:rPr>
                <w:rtl w:val="0"/>
              </w:rPr>
              <w:t xml:space="preserve">Filminas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F-&lt;nro&gt;-&lt;tema&gt;.pdf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/Material Teórico/Filminas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Resolución Trabajos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Conceptuales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TC-&lt;nro&gt;-&lt;nombreTC&gt;.&lt;extensión&gt;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/Material Teórico/Resolución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TP Conceptuales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B-&lt;nombreB&gt;-&lt;YYYY&gt;.pdf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/Reglamentación/Bibliografía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Modalidad Académica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MOD-ACAD-ISW-.pdf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/Reglamentación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Resúmenes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R-&lt;nro&gt;-&lt;YYYY&gt;.&lt;extensión&gt;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/Resúmenes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Líneas 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LB-&lt;nro&gt;-&lt;nombreLB&gt;.&lt;extensión&gt;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/Líneas Base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Documentos de Línea 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DOC-&lt;idLínea Base&gt;-&lt;nro&gt;-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&lt;ámbito&gt;.&lt;extensión&gt;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/Líneas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Base/LB-&lt;nro&gt;-&lt;nombreLB&gt;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0" w:before="0" w:lineRule="auto"/>
        <w:rPr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81"/>
        <w:tblGridChange w:id="0">
          <w:tblGrid>
            <w:gridCol w:w="1838"/>
            <w:gridCol w:w="7181"/>
          </w:tblGrid>
        </w:tblGridChange>
      </w:tblGrid>
      <w:tr>
        <w:trPr>
          <w:cantSplit w:val="0"/>
          <w:trHeight w:val="9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&lt;nro&gt;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Número cardinal empezando en 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&lt;nroTPE&gt;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Número cardinal que corresponde al trabajo práctico evaluable.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&lt;nroTPNE&gt;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cardinal que corresponde al trabajo práctico no evaluable.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&lt;nroC&gt;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Número cardinal que corresponde a un cuatrimestre.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&lt;tema&gt;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Breve descripción del tema central del que trata el ítem de configuración.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&lt;YYYY&gt;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Fecha del ítem de configuración en formato numérico (Año).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&lt;nombreB&gt;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que identifica a la Bibliografía.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&lt;nombreTC&gt;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que identifica al Trabajo Conceptual.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&lt;nombreG&gt;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que identifica a la Guía de Trabajos Prácticos.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&lt;nombreLB&gt;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que identifica a la Línea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&lt;YYYYMMDD&gt;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Fecha del ítem de configuración en formato numérico (AñoMesDía)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&lt;extensión&gt;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 la extensión de un archivo identificado como ítem de configuración.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&lt;idLíneaBase&gt;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Sigla que indica con qué línea base se corresponde cada documento de línea base.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&lt;ambito&gt;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Ámbito del documento de línea base que indica de qué tipo de documento se trata.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0" w:before="0" w:lineRule="auto"/>
        <w:rPr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Línea Base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 generará una nueva LÍNEA BASE del repositorio el días posterior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a cada examen parcial y el día posterior a la finalización del cursado de la materia.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Consideramos que en esos momentos los Ítems de Configuración están en estado estable, habrán sido revisados y aprobados por cada uno de los integrantes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Las líneas base se identificarán con la siguiente etiqueta: &lt;LB&gt;, donde n es un número cardinal, iniciando en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0.0" w:type="dxa"/>
      <w:tblLayout w:type="fixed"/>
      <w:tblLook w:val="0400"/>
    </w:tblPr>
    <w:tblGrid>
      <w:gridCol w:w="999"/>
      <w:gridCol w:w="8639"/>
      <w:tblGridChange w:id="0">
        <w:tblGrid>
          <w:gridCol w:w="999"/>
          <w:gridCol w:w="8639"/>
        </w:tblGrid>
      </w:tblGridChange>
    </w:tblGrid>
    <w:tr>
      <w:trPr>
        <w:cantSplit w:val="0"/>
        <w:tblHeader w:val="0"/>
      </w:trPr>
      <w:tc>
        <w:tcPr>
          <w:tcBorders>
            <w:top w:color="808080" w:space="0" w:sz="18" w:val="single"/>
            <w:right w:color="808080" w:space="0" w:sz="18" w:val="single"/>
          </w:tcBorders>
        </w:tcPr>
        <w:p w:rsidR="00000000" w:rsidDel="00000000" w:rsidP="00000000" w:rsidRDefault="00000000" w:rsidRPr="00000000" w14:paraId="000000B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jc w:val="right"/>
            <w:rPr>
              <w:rFonts w:ascii="Calibri" w:cs="Calibri" w:eastAsia="Calibri" w:hAnsi="Calibri"/>
              <w:b w:val="1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18" w:val="single"/>
            <w:left w:color="808080" w:space="0" w:sz="18" w:val="single"/>
          </w:tcBorders>
        </w:tcPr>
        <w:p w:rsidR="00000000" w:rsidDel="00000000" w:rsidP="00000000" w:rsidRDefault="00000000" w:rsidRPr="00000000" w14:paraId="000000B1">
          <w:pPr>
            <w:widowControl w:val="0"/>
            <w:jc w:val="center"/>
            <w:rPr>
              <w:rFonts w:ascii="Times" w:cs="Times" w:eastAsia="Times" w:hAnsi="Times"/>
              <w:sz w:val="20"/>
              <w:szCs w:val="20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rtl w:val="0"/>
            </w:rPr>
            <w:t xml:space="preserve">Año del 2022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line="240" w:lineRule="auto"/>
      <w:jc w:val="center"/>
      <w:rPr/>
    </w:pPr>
    <w:r w:rsidDel="00000000" w:rsidR="00000000" w:rsidRPr="00000000">
      <w:rPr/>
      <w:drawing>
        <wp:inline distB="19050" distT="19050" distL="19050" distR="19050">
          <wp:extent cx="1447800" cy="1628775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800" cy="1628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spacing w:line="240" w:lineRule="auto"/>
      <w:ind w:left="708" w:firstLine="0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   Universidad Tecnológica Nacional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3619500</wp:posOffset>
              </wp:positionH>
              <wp:positionV relativeFrom="paragraph">
                <wp:posOffset>-165099</wp:posOffset>
              </wp:positionV>
              <wp:extent cx="1957705" cy="3257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76673" y="3626648"/>
                        <a:ext cx="193865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Ingeniería de Software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3619500</wp:posOffset>
              </wp:positionH>
              <wp:positionV relativeFrom="paragraph">
                <wp:posOffset>-165099</wp:posOffset>
              </wp:positionV>
              <wp:extent cx="1957705" cy="325755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7705" cy="3257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21592</wp:posOffset>
          </wp:positionH>
          <wp:positionV relativeFrom="paragraph">
            <wp:posOffset>-3173</wp:posOffset>
          </wp:positionV>
          <wp:extent cx="449580" cy="56324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580" cy="5632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spacing w:line="240" w:lineRule="auto"/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   Facultad Regional Córdoba</w:t>
    </w:r>
  </w:p>
  <w:p w:rsidR="00000000" w:rsidDel="00000000" w:rsidP="00000000" w:rsidRDefault="00000000" w:rsidRPr="00000000" w14:paraId="000000AD">
    <w:pPr>
      <w:rPr>
        <w:rFonts w:ascii="Times" w:cs="Times" w:eastAsia="Times" w:hAnsi="Times"/>
      </w:rPr>
    </w:pPr>
    <w:r w:rsidDel="00000000" w:rsidR="00000000" w:rsidRPr="00000000">
      <w:rPr>
        <w:rFonts w:ascii="Times" w:cs="Times" w:eastAsia="Times" w:hAnsi="Times"/>
        <w:rtl w:val="0"/>
      </w:rPr>
      <w:t xml:space="preserve">   Dpto. Ing. en Sistemas de Información</w:t>
    </w:r>
  </w:p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0C76C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C76CD"/>
  </w:style>
  <w:style w:type="paragraph" w:styleId="Piedepgina">
    <w:name w:val="footer"/>
    <w:basedOn w:val="Normal"/>
    <w:link w:val="PiedepginaCar"/>
    <w:uiPriority w:val="99"/>
    <w:unhideWhenUsed w:val="1"/>
    <w:rsid w:val="000C76C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C76CD"/>
  </w:style>
  <w:style w:type="table" w:styleId="Tablaconcuadrcula">
    <w:name w:val="Table Grid"/>
    <w:basedOn w:val="Tablanormal"/>
    <w:uiPriority w:val="39"/>
    <w:rsid w:val="000C76C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C76CD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0A02AE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0A02AE"/>
    <w:pPr>
      <w:spacing w:after="100" w:line="259" w:lineRule="auto"/>
      <w:ind w:left="220"/>
    </w:pPr>
    <w:rPr>
      <w:rFonts w:cs="Times New Roman" w:asciiTheme="minorHAnsi" w:eastAsiaTheme="minorEastAsia" w:hAnsiTheme="minorHAnsi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A02AE"/>
    <w:pPr>
      <w:spacing w:after="100" w:line="259" w:lineRule="auto"/>
    </w:pPr>
    <w:rPr>
      <w:rFonts w:cs="Times New Roman" w:asciiTheme="minorHAnsi" w:eastAsiaTheme="minorEastAsia" w:hAnsiTheme="minorHAnsi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0A02AE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0A02A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vangomez854/FRC-ISW-2022-GRUPO4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SDPIU/RW2pjZ7HH2/1u64mMhQ==">AMUW2mVm4eCQGsAawzFFUTkPgxah4AZ0PZ0+Y1WYgLa17l6wx0oB4UVcTuo1D/J5PyW3SgsfHXpw56yjOPhT7u9HAXR+gSiDq5poGscH2hcWYca735KAafzCPr2JUrmIrIP+khT2XRw/oWlnmlwnUsIP8H/i71sG3kPwby7/BRIIJqrEtXvkPcnRxwpuPGFVHlLcfNMm+A22B0I/8vFa4fG8h+/Na0c52AEx79PmzRu0188Zkm56we8=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2022-04-18T11:42:00Z</dcterms:created>
  <dc:creator>Pirata</dc:creator>
</cp:coreProperties>
</file>