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34"/>
          <w:szCs w:val="34"/>
        </w:rPr>
      </w:pPr>
      <w:bookmarkStart w:colFirst="0" w:colLast="0" w:name="_lwykr2n5y0ye" w:id="0"/>
      <w:bookmarkEnd w:id="0"/>
      <w:r w:rsidDel="00000000" w:rsidR="00000000" w:rsidRPr="00000000">
        <w:rPr>
          <w:sz w:val="34"/>
          <w:szCs w:val="34"/>
          <w:rtl w:val="0"/>
        </w:rPr>
        <w:t xml:space="preserve">Mini Project 1: Find the frog’s source of regenerative power</w:t>
      </w:r>
    </w:p>
    <w:p w:rsidR="00000000" w:rsidDel="00000000" w:rsidP="00000000" w:rsidRDefault="00000000" w:rsidRPr="00000000" w14:paraId="00000002">
      <w:pPr>
        <w:pStyle w:val="Title"/>
        <w:jc w:val="both"/>
        <w:rPr>
          <w:sz w:val="30"/>
          <w:szCs w:val="30"/>
        </w:rPr>
      </w:pPr>
      <w:bookmarkStart w:colFirst="0" w:colLast="0" w:name="_yrwfv1rbb4j5" w:id="1"/>
      <w:bookmarkEnd w:id="1"/>
      <w:r w:rsidDel="00000000" w:rsidR="00000000" w:rsidRPr="00000000">
        <w:rPr>
          <w:sz w:val="30"/>
          <w:szCs w:val="30"/>
          <w:rtl w:val="0"/>
        </w:rPr>
        <w:t xml:space="preserve">(Due October 2nd)</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Project link</w:t>
      </w:r>
      <w:r w:rsidDel="00000000" w:rsidR="00000000" w:rsidRPr="00000000">
        <w:rPr>
          <w:rtl w:val="0"/>
        </w:rPr>
        <w:t xml:space="preserve">: </w:t>
      </w:r>
      <w:hyperlink r:id="rId6">
        <w:r w:rsidDel="00000000" w:rsidR="00000000" w:rsidRPr="00000000">
          <w:rPr>
            <w:color w:val="1155cc"/>
            <w:u w:val="single"/>
            <w:rtl w:val="0"/>
          </w:rPr>
          <w:t xml:space="preserve">https://drive.google.com/drive/folders/1fXvEc8HQ-JUPMNK_7fzwdE36OYB5KIg6</w:t>
        </w:r>
      </w:hyperlink>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Prompt</w:t>
      </w:r>
      <w:r w:rsidDel="00000000" w:rsidR="00000000" w:rsidRPr="00000000">
        <w:rPr>
          <w:rtl w:val="0"/>
        </w:rPr>
        <w:t xml:space="preserve">: Find the Regenerative Organizing Cell in the Frog tail (Figure 1, Panel B (Skin). Describe the data processing protocol that has allowed you to identify it. Find the genes that make this cell different from all other cells and compare this set of genes with the ones from Supplementary Table 3.</w:t>
      </w:r>
    </w:p>
    <w:p w:rsidR="00000000" w:rsidDel="00000000" w:rsidP="00000000" w:rsidRDefault="00000000" w:rsidRPr="00000000" w14:paraId="0000000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400675" cy="30727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22264" l="0" r="0" t="0"/>
                    <a:stretch>
                      <a:fillRect/>
                    </a:stretch>
                  </pic:blipFill>
                  <pic:spPr>
                    <a:xfrm>
                      <a:off x="0" y="0"/>
                      <a:ext cx="5400675" cy="3072794"/>
                    </a:xfrm>
                    <a:prstGeom prst="rect"/>
                    <a:ln/>
                  </pic:spPr>
                </pic:pic>
              </a:graphicData>
            </a:graphic>
          </wp:anchor>
        </w:drawing>
      </w:r>
    </w:p>
    <w:p w:rsidR="00000000" w:rsidDel="00000000" w:rsidP="00000000" w:rsidRDefault="00000000" w:rsidRPr="00000000" w14:paraId="00000008">
      <w:pPr>
        <w:jc w:val="center"/>
        <w:rPr/>
      </w:pPr>
      <w:r w:rsidDel="00000000" w:rsidR="00000000" w:rsidRPr="00000000">
        <w:rPr>
          <w:rtl w:val="0"/>
        </w:rPr>
        <w:t xml:space="preserve">(Figure adapted from [1])</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Reference Materials: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b w:val="1"/>
          <w:rtl w:val="0"/>
        </w:rPr>
        <w:t xml:space="preserve">Main Paper</w:t>
      </w:r>
      <w:r w:rsidDel="00000000" w:rsidR="00000000" w:rsidRPr="00000000">
        <w:rPr>
          <w:rtl w:val="0"/>
        </w:rPr>
        <w:t xml:space="preserve">: [1]  </w:t>
      </w:r>
      <w:hyperlink r:id="rId8">
        <w:r w:rsidDel="00000000" w:rsidR="00000000" w:rsidRPr="00000000">
          <w:rPr>
            <w:color w:val="1155cc"/>
            <w:u w:val="single"/>
            <w:rtl w:val="0"/>
          </w:rPr>
          <w:t xml:space="preserve">Identification of a regeneration-organizing cell in the Xenopus tail</w:t>
        </w:r>
      </w:hyperlink>
      <w:r w:rsidDel="00000000" w:rsidR="00000000" w:rsidRPr="00000000">
        <w:rPr>
          <w:rtl w:val="0"/>
        </w:rPr>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b w:val="1"/>
          <w:rtl w:val="0"/>
        </w:rPr>
        <w:t xml:space="preserve">Supplementary material: </w:t>
      </w:r>
      <w:hyperlink r:id="rId9">
        <w:r w:rsidDel="00000000" w:rsidR="00000000" w:rsidRPr="00000000">
          <w:rPr>
            <w:color w:val="1155cc"/>
            <w:u w:val="single"/>
            <w:rtl w:val="0"/>
          </w:rPr>
          <w:t xml:space="preserve">Supplementary Material</w:t>
        </w:r>
      </w:hyperlink>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b w:val="1"/>
          <w:rtl w:val="0"/>
        </w:rPr>
        <w:t xml:space="preserve">Data:</w:t>
      </w:r>
      <w:r w:rsidDel="00000000" w:rsidR="00000000" w:rsidRPr="00000000">
        <w:rPr>
          <w:rtl w:val="0"/>
        </w:rPr>
        <w:t xml:space="preserve"> Available to download from the journal website, but we have added </w:t>
      </w:r>
      <w:hyperlink r:id="rId10">
        <w:r w:rsidDel="00000000" w:rsidR="00000000" w:rsidRPr="00000000">
          <w:rPr>
            <w:color w:val="1155cc"/>
            <w:u w:val="single"/>
            <w:rtl w:val="0"/>
          </w:rPr>
          <w:t xml:space="preserve">here</w:t>
        </w:r>
      </w:hyperlink>
      <w:r w:rsidDel="00000000" w:rsidR="00000000" w:rsidRPr="00000000">
        <w:rPr>
          <w:rtl w:val="0"/>
        </w:rPr>
        <w:t xml:space="preserve"> too</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b w:val="1"/>
          <w:rtl w:val="0"/>
        </w:rPr>
        <w:t xml:space="preserve">Starter kit</w:t>
      </w:r>
      <w:r w:rsidDel="00000000" w:rsidR="00000000" w:rsidRPr="00000000">
        <w:rPr>
          <w:rtl w:val="0"/>
        </w:rPr>
        <w:t xml:space="preserve">: </w:t>
      </w:r>
      <w:hyperlink r:id="rId11">
        <w:r w:rsidDel="00000000" w:rsidR="00000000" w:rsidRPr="00000000">
          <w:rPr>
            <w:color w:val="0000ee"/>
            <w:u w:val="single"/>
            <w:shd w:fill="auto" w:val="clear"/>
            <w:rtl w:val="0"/>
          </w:rPr>
          <w:t xml:space="preserve">Frog and tail.ipynb</w:t>
        </w:r>
      </w:hyperlink>
      <w:r w:rsidDel="00000000" w:rsidR="00000000" w:rsidRPr="00000000">
        <w:rPr>
          <w:rtl w:val="0"/>
        </w:rPr>
        <w:t xml:space="preserve"> (includes code for reading and processing the data)</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b w:val="1"/>
          <w:rtl w:val="0"/>
        </w:rPr>
        <w:t xml:space="preserve">Additional reading</w:t>
      </w:r>
      <w:r w:rsidDel="00000000" w:rsidR="00000000" w:rsidRPr="00000000">
        <w:rPr>
          <w:rtl w:val="0"/>
        </w:rPr>
        <w:t xml:space="preserve">: </w:t>
      </w:r>
      <w:hyperlink r:id="rId12">
        <w:r w:rsidDel="00000000" w:rsidR="00000000" w:rsidRPr="00000000">
          <w:rPr>
            <w:color w:val="1155cc"/>
            <w:u w:val="single"/>
            <w:rtl w:val="0"/>
          </w:rPr>
          <w:t xml:space="preserve">Frog and tail.ipynb</w:t>
        </w:r>
      </w:hyperlink>
      <w:hyperlink r:id="rId13">
        <w:r w:rsidDel="00000000" w:rsidR="00000000" w:rsidRPr="00000000">
          <w:rPr>
            <w:color w:val="1155cc"/>
            <w:u w:val="single"/>
            <w:rtl w:val="0"/>
          </w:rPr>
          <w:t xml:space="preserve">Tutorials Scanpy</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ind w:left="720" w:hanging="360"/>
        <w:jc w:val="both"/>
        <w:rPr>
          <w:u w:val="none"/>
        </w:rPr>
      </w:pPr>
      <w:r w:rsidDel="00000000" w:rsidR="00000000" w:rsidRPr="00000000">
        <w:rPr>
          <w:b w:val="1"/>
          <w:rtl w:val="0"/>
        </w:rPr>
        <w:t xml:space="preserve">Help in choosing colors for clustering:</w:t>
      </w:r>
      <w:r w:rsidDel="00000000" w:rsidR="00000000" w:rsidRPr="00000000">
        <w:rPr>
          <w:rtl w:val="0"/>
        </w:rPr>
        <w:t xml:space="preserve"> </w:t>
      </w:r>
      <w:hyperlink r:id="rId14">
        <w:r w:rsidDel="00000000" w:rsidR="00000000" w:rsidRPr="00000000">
          <w:rPr>
            <w:color w:val="1155cc"/>
            <w:u w:val="single"/>
            <w:rtl w:val="0"/>
          </w:rPr>
          <w:t xml:space="preserve">https://color.adobe.com/create/color-wheel</w:t>
        </w:r>
      </w:hyperlink>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jc w:val="both"/>
      </w:pPr>
      <w:r w:rsidDel="00000000" w:rsidR="00000000" w:rsidRPr="00000000">
        <w:rPr>
          <w:b w:val="1"/>
          <w:rtl w:val="0"/>
        </w:rPr>
        <w:t xml:space="preserve">Good figures</w:t>
      </w:r>
      <w:r w:rsidDel="00000000" w:rsidR="00000000" w:rsidRPr="00000000">
        <w:rPr>
          <w:rtl w:val="0"/>
        </w:rPr>
        <w:t xml:space="preserve">: </w:t>
      </w:r>
      <w:hyperlink r:id="rId15">
        <w:r w:rsidDel="00000000" w:rsidR="00000000" w:rsidRPr="00000000">
          <w:rPr>
            <w:color w:val="1155cc"/>
            <w:u w:val="single"/>
            <w:rtl w:val="0"/>
          </w:rPr>
          <w:t xml:space="preserve">Ten Simple Rules for Better Figures | PLOS Computational Biology</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jc w:val="both"/>
      </w:pPr>
      <w:r w:rsidDel="00000000" w:rsidR="00000000" w:rsidRPr="00000000">
        <w:rPr>
          <w:b w:val="1"/>
          <w:rtl w:val="0"/>
        </w:rPr>
        <w:t xml:space="preserve">More information on format:</w:t>
      </w:r>
      <w:r w:rsidDel="00000000" w:rsidR="00000000" w:rsidRPr="00000000">
        <w:rPr>
          <w:rtl w:val="0"/>
        </w:rPr>
        <w:t xml:space="preserve"> </w:t>
      </w:r>
      <w:hyperlink r:id="rId16">
        <w:r w:rsidDel="00000000" w:rsidR="00000000" w:rsidRPr="00000000">
          <w:rPr>
            <w:color w:val="1155cc"/>
            <w:u w:val="single"/>
            <w:rtl w:val="0"/>
          </w:rPr>
          <w:t xml:space="preserve">https://www.nature.com/ncomms/submit/article</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jc w:val="both"/>
      </w:pPr>
      <w:r w:rsidDel="00000000" w:rsidR="00000000" w:rsidRPr="00000000">
        <w:rPr>
          <w:b w:val="1"/>
          <w:rtl w:val="0"/>
        </w:rPr>
        <w:t xml:space="preserve">Putting together your report:</w:t>
      </w:r>
      <w:r w:rsidDel="00000000" w:rsidR="00000000" w:rsidRPr="00000000">
        <w:rPr>
          <w:rtl w:val="0"/>
        </w:rPr>
        <w:t xml:space="preserve"> </w:t>
      </w:r>
      <w:hyperlink r:id="rId17">
        <w:r w:rsidDel="00000000" w:rsidR="00000000" w:rsidRPr="00000000">
          <w:rPr>
            <w:color w:val="1155cc"/>
            <w:u w:val="single"/>
            <w:rtl w:val="0"/>
          </w:rPr>
          <w:t xml:space="preserve">https://www.overleaf.com/</w:t>
        </w:r>
      </w:hyperlink>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b w:val="1"/>
          <w:rtl w:val="0"/>
        </w:rPr>
        <w:t xml:space="preserve">Github help:</w:t>
      </w:r>
      <w:r w:rsidDel="00000000" w:rsidR="00000000" w:rsidRPr="00000000">
        <w:rPr>
          <w:rtl w:val="0"/>
        </w:rPr>
        <w:t xml:space="preserve"> </w:t>
      </w:r>
      <w:hyperlink r:id="rId18">
        <w:r w:rsidDel="00000000" w:rsidR="00000000" w:rsidRPr="00000000">
          <w:rPr>
            <w:color w:val="1155cc"/>
            <w:u w:val="single"/>
            <w:rtl w:val="0"/>
          </w:rPr>
          <w:t xml:space="preserve">Getting started with your GitHub account - GitHub Docs</w:t>
        </w:r>
      </w:hyperlink>
      <w:hyperlink r:id="rId19">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bn99r9vrxe1s" w:id="2"/>
      <w:bookmarkEnd w:id="2"/>
      <w:r w:rsidDel="00000000" w:rsidR="00000000" w:rsidRPr="00000000">
        <w:rPr>
          <w:b w:val="1"/>
          <w:color w:val="000000"/>
          <w:sz w:val="26"/>
          <w:szCs w:val="26"/>
          <w:rtl w:val="0"/>
        </w:rPr>
        <w:t xml:space="preserve">Expectations and Suggested Steps:</w:t>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Writeup Requirements:</w:t>
      </w:r>
    </w:p>
    <w:p w:rsidR="00000000" w:rsidDel="00000000" w:rsidP="00000000" w:rsidRDefault="00000000" w:rsidRPr="00000000" w14:paraId="00000018">
      <w:pPr>
        <w:numPr>
          <w:ilvl w:val="0"/>
          <w:numId w:val="1"/>
        </w:numPr>
        <w:spacing w:after="0" w:afterAutospacing="0" w:before="240" w:lineRule="auto"/>
        <w:ind w:left="720" w:hanging="360"/>
        <w:jc w:val="both"/>
        <w:rPr>
          <w:u w:val="none"/>
        </w:rPr>
      </w:pPr>
      <w:r w:rsidDel="00000000" w:rsidR="00000000" w:rsidRPr="00000000">
        <w:rPr>
          <w:b w:val="1"/>
          <w:rtl w:val="0"/>
        </w:rPr>
        <w:t xml:space="preserve">Abstract:</w:t>
      </w:r>
      <w:r w:rsidDel="00000000" w:rsidR="00000000" w:rsidRPr="00000000">
        <w:rPr>
          <w:rtl w:val="0"/>
        </w:rPr>
        <w:t xml:space="preserve"> A concise summary of your findings.</w:t>
      </w:r>
    </w:p>
    <w:p w:rsidR="00000000" w:rsidDel="00000000" w:rsidP="00000000" w:rsidRDefault="00000000" w:rsidRPr="00000000" w14:paraId="00000019">
      <w:pPr>
        <w:numPr>
          <w:ilvl w:val="0"/>
          <w:numId w:val="3"/>
        </w:numPr>
        <w:spacing w:after="0" w:afterAutospacing="0" w:before="0" w:beforeAutospacing="0" w:lineRule="auto"/>
        <w:ind w:left="720" w:hanging="360"/>
        <w:jc w:val="both"/>
      </w:pPr>
      <w:r w:rsidDel="00000000" w:rsidR="00000000" w:rsidRPr="00000000">
        <w:rPr>
          <w:b w:val="1"/>
          <w:rtl w:val="0"/>
        </w:rPr>
        <w:t xml:space="preserve">Introduction:</w:t>
      </w:r>
      <w:r w:rsidDel="00000000" w:rsidR="00000000" w:rsidRPr="00000000">
        <w:rPr>
          <w:rtl w:val="0"/>
        </w:rPr>
        <w:t xml:space="preserve"> Brief background information on the problem </w:t>
      </w:r>
    </w:p>
    <w:p w:rsidR="00000000" w:rsidDel="00000000" w:rsidP="00000000" w:rsidRDefault="00000000" w:rsidRPr="00000000" w14:paraId="0000001A">
      <w:pPr>
        <w:numPr>
          <w:ilvl w:val="0"/>
          <w:numId w:val="3"/>
        </w:numPr>
        <w:spacing w:after="0" w:afterAutospacing="0" w:before="0" w:beforeAutospacing="0" w:lineRule="auto"/>
        <w:ind w:left="720" w:hanging="360"/>
        <w:jc w:val="both"/>
      </w:pPr>
      <w:r w:rsidDel="00000000" w:rsidR="00000000" w:rsidRPr="00000000">
        <w:rPr>
          <w:b w:val="1"/>
          <w:rtl w:val="0"/>
        </w:rPr>
        <w:t xml:space="preserve">Methods:</w:t>
      </w:r>
      <w:r w:rsidDel="00000000" w:rsidR="00000000" w:rsidRPr="00000000">
        <w:rPr>
          <w:rtl w:val="0"/>
        </w:rPr>
        <w:t xml:space="preserve"> Detailed description of the data processing and analysis steps. Methods should have a section named </w:t>
      </w:r>
      <w:r w:rsidDel="00000000" w:rsidR="00000000" w:rsidRPr="00000000">
        <w:rPr>
          <w:i w:val="1"/>
          <w:rtl w:val="0"/>
        </w:rPr>
        <w:t xml:space="preserve">Code Availability</w:t>
      </w:r>
      <w:r w:rsidDel="00000000" w:rsidR="00000000" w:rsidRPr="00000000">
        <w:rPr>
          <w:rtl w:val="0"/>
        </w:rPr>
        <w:t xml:space="preserve">, containing a link to the public github account where the code is available.</w:t>
      </w:r>
    </w:p>
    <w:p w:rsidR="00000000" w:rsidDel="00000000" w:rsidP="00000000" w:rsidRDefault="00000000" w:rsidRPr="00000000" w14:paraId="0000001B">
      <w:pPr>
        <w:numPr>
          <w:ilvl w:val="0"/>
          <w:numId w:val="3"/>
        </w:numPr>
        <w:spacing w:after="0" w:afterAutospacing="0" w:before="0" w:beforeAutospacing="0" w:lineRule="auto"/>
        <w:ind w:left="720" w:hanging="360"/>
        <w:jc w:val="both"/>
      </w:pPr>
      <w:r w:rsidDel="00000000" w:rsidR="00000000" w:rsidRPr="00000000">
        <w:rPr>
          <w:b w:val="1"/>
          <w:rtl w:val="0"/>
        </w:rPr>
        <w:t xml:space="preserve">Results:</w:t>
      </w:r>
      <w:r w:rsidDel="00000000" w:rsidR="00000000" w:rsidRPr="00000000">
        <w:rPr>
          <w:rtl w:val="0"/>
        </w:rPr>
        <w:t xml:space="preserve"> Presentation of the clustering and gene analysis analysis. What did you find? It should include references to two figures, one summarizing the clustering results, the other one representing the gene expression analysis results (more information below)</w:t>
      </w:r>
    </w:p>
    <w:p w:rsidR="00000000" w:rsidDel="00000000" w:rsidP="00000000" w:rsidRDefault="00000000" w:rsidRPr="00000000" w14:paraId="0000001C">
      <w:pPr>
        <w:numPr>
          <w:ilvl w:val="0"/>
          <w:numId w:val="3"/>
        </w:numPr>
        <w:spacing w:after="24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Summary of your findings</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Figures and Analysis:</w:t>
      </w:r>
    </w:p>
    <w:p w:rsidR="00000000" w:rsidDel="00000000" w:rsidP="00000000" w:rsidRDefault="00000000" w:rsidRPr="00000000" w14:paraId="0000001E">
      <w:pPr>
        <w:numPr>
          <w:ilvl w:val="0"/>
          <w:numId w:val="6"/>
        </w:numPr>
        <w:spacing w:after="0" w:afterAutospacing="0" w:before="240" w:lineRule="auto"/>
        <w:ind w:left="720" w:hanging="360"/>
        <w:jc w:val="both"/>
      </w:pPr>
      <w:r w:rsidDel="00000000" w:rsidR="00000000" w:rsidRPr="00000000">
        <w:rPr>
          <w:b w:val="1"/>
          <w:rtl w:val="0"/>
        </w:rPr>
        <w:t xml:space="preserve">Clustering Analysis:</w:t>
      </w:r>
    </w:p>
    <w:p w:rsidR="00000000" w:rsidDel="00000000" w:rsidP="00000000" w:rsidRDefault="00000000" w:rsidRPr="00000000" w14:paraId="0000001F">
      <w:pPr>
        <w:numPr>
          <w:ilvl w:val="1"/>
          <w:numId w:val="6"/>
        </w:numPr>
        <w:spacing w:after="0" w:afterAutospacing="0" w:before="0" w:beforeAutospacing="0" w:lineRule="auto"/>
        <w:ind w:left="1440" w:hanging="360"/>
        <w:jc w:val="both"/>
      </w:pPr>
      <w:r w:rsidDel="00000000" w:rsidR="00000000" w:rsidRPr="00000000">
        <w:rPr>
          <w:rtl w:val="0"/>
        </w:rPr>
        <w:t xml:space="preserve">Use at least two clustering algorithms (e.g., PCA + Louvain, PCA + Leiden, kNN).</w:t>
      </w:r>
    </w:p>
    <w:p w:rsidR="00000000" w:rsidDel="00000000" w:rsidP="00000000" w:rsidRDefault="00000000" w:rsidRPr="00000000" w14:paraId="00000020">
      <w:pPr>
        <w:numPr>
          <w:ilvl w:val="1"/>
          <w:numId w:val="6"/>
        </w:numPr>
        <w:spacing w:after="0" w:afterAutospacing="0" w:before="0" w:beforeAutospacing="0" w:lineRule="auto"/>
        <w:ind w:left="1440" w:hanging="360"/>
        <w:jc w:val="both"/>
      </w:pPr>
      <w:r w:rsidDel="00000000" w:rsidR="00000000" w:rsidRPr="00000000">
        <w:rPr>
          <w:rtl w:val="0"/>
        </w:rPr>
        <w:t xml:space="preserve">Generate figures to visualize the clusters.</w:t>
      </w:r>
    </w:p>
    <w:p w:rsidR="00000000" w:rsidDel="00000000" w:rsidP="00000000" w:rsidRDefault="00000000" w:rsidRPr="00000000" w14:paraId="00000021">
      <w:pPr>
        <w:numPr>
          <w:ilvl w:val="1"/>
          <w:numId w:val="6"/>
        </w:numPr>
        <w:spacing w:after="0" w:afterAutospacing="0" w:before="0" w:beforeAutospacing="0" w:lineRule="auto"/>
        <w:ind w:left="1440" w:hanging="360"/>
        <w:jc w:val="both"/>
      </w:pPr>
      <w:r w:rsidDel="00000000" w:rsidR="00000000" w:rsidRPr="00000000">
        <w:rPr>
          <w:rtl w:val="0"/>
        </w:rPr>
        <w:t xml:space="preserve">Compute clustering metrics (e.g., RAND-index, silhouette score, ARI).</w:t>
      </w:r>
    </w:p>
    <w:p w:rsidR="00000000" w:rsidDel="00000000" w:rsidP="00000000" w:rsidRDefault="00000000" w:rsidRPr="00000000" w14:paraId="00000022">
      <w:pPr>
        <w:numPr>
          <w:ilvl w:val="1"/>
          <w:numId w:val="6"/>
        </w:numPr>
        <w:spacing w:after="0" w:afterAutospacing="0" w:before="0" w:beforeAutospacing="0" w:lineRule="auto"/>
        <w:ind w:left="1440" w:hanging="360"/>
        <w:jc w:val="both"/>
      </w:pPr>
      <w:r w:rsidDel="00000000" w:rsidR="00000000" w:rsidRPr="00000000">
        <w:rPr>
          <w:rtl w:val="0"/>
        </w:rPr>
        <w:t xml:space="preserve">Optionally, explore a metric not discussed in class for bonus points.</w:t>
      </w:r>
    </w:p>
    <w:p w:rsidR="00000000" w:rsidDel="00000000" w:rsidP="00000000" w:rsidRDefault="00000000" w:rsidRPr="00000000" w14:paraId="00000023">
      <w:pPr>
        <w:numPr>
          <w:ilvl w:val="0"/>
          <w:numId w:val="6"/>
        </w:numPr>
        <w:spacing w:after="0" w:afterAutospacing="0" w:before="0" w:beforeAutospacing="0" w:lineRule="auto"/>
        <w:ind w:left="720" w:hanging="360"/>
        <w:jc w:val="both"/>
      </w:pPr>
      <w:r w:rsidDel="00000000" w:rsidR="00000000" w:rsidRPr="00000000">
        <w:rPr>
          <w:b w:val="1"/>
          <w:rtl w:val="0"/>
        </w:rPr>
        <w:t xml:space="preserve">Marker Selection and Gene Analysis:</w:t>
      </w:r>
    </w:p>
    <w:p w:rsidR="00000000" w:rsidDel="00000000" w:rsidP="00000000" w:rsidRDefault="00000000" w:rsidRPr="00000000" w14:paraId="00000024">
      <w:pPr>
        <w:numPr>
          <w:ilvl w:val="1"/>
          <w:numId w:val="6"/>
        </w:numPr>
        <w:spacing w:after="0" w:afterAutospacing="0" w:before="0" w:beforeAutospacing="0" w:lineRule="auto"/>
        <w:ind w:left="1440" w:hanging="360"/>
        <w:jc w:val="both"/>
      </w:pPr>
      <w:r w:rsidDel="00000000" w:rsidR="00000000" w:rsidRPr="00000000">
        <w:rPr>
          <w:rtl w:val="0"/>
        </w:rPr>
        <w:t xml:space="preserve">Use at least two marker selection methods to identify genes that define the ROC.</w:t>
      </w:r>
    </w:p>
    <w:p w:rsidR="00000000" w:rsidDel="00000000" w:rsidP="00000000" w:rsidRDefault="00000000" w:rsidRPr="00000000" w14:paraId="00000025">
      <w:pPr>
        <w:numPr>
          <w:ilvl w:val="1"/>
          <w:numId w:val="6"/>
        </w:numPr>
        <w:spacing w:after="0" w:afterAutospacing="0" w:before="0" w:beforeAutospacing="0" w:lineRule="auto"/>
        <w:ind w:left="1440" w:hanging="360"/>
        <w:jc w:val="both"/>
      </w:pPr>
      <w:r w:rsidDel="00000000" w:rsidR="00000000" w:rsidRPr="00000000">
        <w:rPr>
          <w:rtl w:val="0"/>
        </w:rPr>
        <w:t xml:space="preserve">Compare the identified markers across different methods.</w:t>
      </w:r>
    </w:p>
    <w:p w:rsidR="00000000" w:rsidDel="00000000" w:rsidP="00000000" w:rsidRDefault="00000000" w:rsidRPr="00000000" w14:paraId="00000026">
      <w:pPr>
        <w:numPr>
          <w:ilvl w:val="1"/>
          <w:numId w:val="6"/>
        </w:numPr>
        <w:spacing w:after="0" w:afterAutospacing="0" w:before="0" w:beforeAutospacing="0" w:lineRule="auto"/>
        <w:ind w:left="1440" w:hanging="360"/>
        <w:jc w:val="both"/>
      </w:pPr>
      <w:r w:rsidDel="00000000" w:rsidR="00000000" w:rsidRPr="00000000">
        <w:rPr>
          <w:rtl w:val="0"/>
        </w:rPr>
        <w:t xml:space="preserve">Compare your gene set with the genes listed in Supplementary Table 3.</w:t>
      </w:r>
    </w:p>
    <w:p w:rsidR="00000000" w:rsidDel="00000000" w:rsidP="00000000" w:rsidRDefault="00000000" w:rsidRPr="00000000" w14:paraId="00000027">
      <w:pPr>
        <w:numPr>
          <w:ilvl w:val="1"/>
          <w:numId w:val="6"/>
        </w:numPr>
        <w:spacing w:after="240" w:before="0" w:beforeAutospacing="0" w:lineRule="auto"/>
        <w:ind w:left="1440" w:hanging="360"/>
        <w:jc w:val="both"/>
      </w:pPr>
      <w:r w:rsidDel="00000000" w:rsidR="00000000" w:rsidRPr="00000000">
        <w:rPr>
          <w:rtl w:val="0"/>
        </w:rPr>
        <w:t xml:space="preserve">Optionally, perform Gene Ontology (GO) analysis to explore the biological roles of these genes in other contexts.</w:t>
      </w:r>
    </w:p>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Suggested Steps for Analysis:</w:t>
      </w:r>
    </w:p>
    <w:p w:rsidR="00000000" w:rsidDel="00000000" w:rsidP="00000000" w:rsidRDefault="00000000" w:rsidRPr="00000000" w14:paraId="00000029">
      <w:pPr>
        <w:numPr>
          <w:ilvl w:val="0"/>
          <w:numId w:val="7"/>
        </w:numPr>
        <w:spacing w:after="0" w:afterAutospacing="0" w:before="240" w:lineRule="auto"/>
        <w:ind w:left="720" w:hanging="360"/>
        <w:jc w:val="both"/>
      </w:pPr>
      <w:r w:rsidDel="00000000" w:rsidR="00000000" w:rsidRPr="00000000">
        <w:rPr>
          <w:b w:val="1"/>
          <w:rtl w:val="0"/>
        </w:rPr>
        <w:t xml:space="preserve">Data Visualization:</w:t>
      </w:r>
    </w:p>
    <w:p w:rsidR="00000000" w:rsidDel="00000000" w:rsidP="00000000" w:rsidRDefault="00000000" w:rsidRPr="00000000" w14:paraId="0000002A">
      <w:pPr>
        <w:numPr>
          <w:ilvl w:val="1"/>
          <w:numId w:val="7"/>
        </w:numPr>
        <w:spacing w:after="0" w:afterAutospacing="0" w:before="0" w:beforeAutospacing="0" w:lineRule="auto"/>
        <w:ind w:left="1440" w:hanging="360"/>
        <w:jc w:val="both"/>
      </w:pPr>
      <w:r w:rsidDel="00000000" w:rsidR="00000000" w:rsidRPr="00000000">
        <w:rPr>
          <w:rtl w:val="0"/>
        </w:rPr>
        <w:t xml:space="preserve">Use UMAP or t-SNE to visualize the data and adjust parameters to replicate the visuals of Figure 1B from the main paper.</w:t>
      </w:r>
    </w:p>
    <w:p w:rsidR="00000000" w:rsidDel="00000000" w:rsidP="00000000" w:rsidRDefault="00000000" w:rsidRPr="00000000" w14:paraId="0000002B">
      <w:pPr>
        <w:numPr>
          <w:ilvl w:val="0"/>
          <w:numId w:val="7"/>
        </w:numPr>
        <w:spacing w:after="0" w:afterAutospacing="0" w:before="0" w:beforeAutospacing="0" w:lineRule="auto"/>
        <w:ind w:left="720" w:hanging="360"/>
        <w:jc w:val="both"/>
      </w:pPr>
      <w:r w:rsidDel="00000000" w:rsidR="00000000" w:rsidRPr="00000000">
        <w:rPr>
          <w:b w:val="1"/>
          <w:rtl w:val="0"/>
        </w:rPr>
        <w:t xml:space="preserve">Clustering:</w:t>
      </w:r>
    </w:p>
    <w:p w:rsidR="00000000" w:rsidDel="00000000" w:rsidP="00000000" w:rsidRDefault="00000000" w:rsidRPr="00000000" w14:paraId="0000002C">
      <w:pPr>
        <w:numPr>
          <w:ilvl w:val="1"/>
          <w:numId w:val="7"/>
        </w:numPr>
        <w:spacing w:after="0" w:afterAutospacing="0" w:before="0" w:beforeAutospacing="0" w:lineRule="auto"/>
        <w:ind w:left="1440" w:hanging="360"/>
        <w:jc w:val="both"/>
      </w:pPr>
      <w:r w:rsidDel="00000000" w:rsidR="00000000" w:rsidRPr="00000000">
        <w:rPr>
          <w:rtl w:val="0"/>
        </w:rPr>
        <w:t xml:space="preserve">Perform clustering using different methods learned in class.</w:t>
      </w:r>
    </w:p>
    <w:p w:rsidR="00000000" w:rsidDel="00000000" w:rsidP="00000000" w:rsidRDefault="00000000" w:rsidRPr="00000000" w14:paraId="0000002D">
      <w:pPr>
        <w:numPr>
          <w:ilvl w:val="1"/>
          <w:numId w:val="7"/>
        </w:numPr>
        <w:spacing w:after="0" w:afterAutospacing="0" w:before="0" w:beforeAutospacing="0" w:lineRule="auto"/>
        <w:ind w:left="1440" w:hanging="360"/>
        <w:jc w:val="both"/>
      </w:pPr>
      <w:r w:rsidDel="00000000" w:rsidR="00000000" w:rsidRPr="00000000">
        <w:rPr>
          <w:rtl w:val="0"/>
        </w:rPr>
        <w:t xml:space="preserve">Compare the clustering results using the metrics discussed.</w:t>
      </w:r>
    </w:p>
    <w:p w:rsidR="00000000" w:rsidDel="00000000" w:rsidP="00000000" w:rsidRDefault="00000000" w:rsidRPr="00000000" w14:paraId="0000002E">
      <w:pPr>
        <w:numPr>
          <w:ilvl w:val="0"/>
          <w:numId w:val="7"/>
        </w:numPr>
        <w:spacing w:after="0" w:afterAutospacing="0" w:before="0" w:beforeAutospacing="0" w:lineRule="auto"/>
        <w:ind w:left="720" w:hanging="360"/>
        <w:jc w:val="both"/>
      </w:pPr>
      <w:r w:rsidDel="00000000" w:rsidR="00000000" w:rsidRPr="00000000">
        <w:rPr>
          <w:b w:val="1"/>
          <w:rtl w:val="0"/>
        </w:rPr>
        <w:t xml:space="preserve">Marker Identification:</w:t>
      </w:r>
    </w:p>
    <w:p w:rsidR="00000000" w:rsidDel="00000000" w:rsidP="00000000" w:rsidRDefault="00000000" w:rsidRPr="00000000" w14:paraId="0000002F">
      <w:pPr>
        <w:numPr>
          <w:ilvl w:val="1"/>
          <w:numId w:val="7"/>
        </w:numPr>
        <w:spacing w:after="0" w:afterAutospacing="0" w:before="0" w:beforeAutospacing="0" w:lineRule="auto"/>
        <w:ind w:left="1440" w:hanging="360"/>
        <w:jc w:val="both"/>
      </w:pPr>
      <w:r w:rsidDel="00000000" w:rsidR="00000000" w:rsidRPr="00000000">
        <w:rPr>
          <w:rtl w:val="0"/>
        </w:rPr>
        <w:t xml:space="preserve">Use logistic regression or other methods to identify marker genes.</w:t>
      </w:r>
    </w:p>
    <w:p w:rsidR="00000000" w:rsidDel="00000000" w:rsidP="00000000" w:rsidRDefault="00000000" w:rsidRPr="00000000" w14:paraId="00000030">
      <w:pPr>
        <w:numPr>
          <w:ilvl w:val="1"/>
          <w:numId w:val="7"/>
        </w:numPr>
        <w:spacing w:after="240" w:before="0" w:beforeAutospacing="0" w:lineRule="auto"/>
        <w:ind w:left="1440" w:hanging="360"/>
        <w:jc w:val="both"/>
      </w:pPr>
      <w:r w:rsidDel="00000000" w:rsidR="00000000" w:rsidRPr="00000000">
        <w:rPr>
          <w:rtl w:val="0"/>
        </w:rPr>
        <w:t xml:space="preserve">Annotate the clusters using the markers identified.</w:t>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Output:</w:t>
      </w:r>
    </w:p>
    <w:p w:rsidR="00000000" w:rsidDel="00000000" w:rsidP="00000000" w:rsidRDefault="00000000" w:rsidRPr="00000000" w14:paraId="00000032">
      <w:pPr>
        <w:numPr>
          <w:ilvl w:val="0"/>
          <w:numId w:val="5"/>
        </w:numPr>
        <w:spacing w:after="0" w:afterAutospacing="0" w:before="240" w:lineRule="auto"/>
        <w:ind w:left="720" w:hanging="360"/>
        <w:jc w:val="both"/>
      </w:pPr>
      <w:r w:rsidDel="00000000" w:rsidR="00000000" w:rsidRPr="00000000">
        <w:rPr>
          <w:b w:val="1"/>
          <w:rtl w:val="0"/>
        </w:rPr>
        <w:t xml:space="preserve">Project Write-up: </w:t>
      </w:r>
      <w:r w:rsidDel="00000000" w:rsidR="00000000" w:rsidRPr="00000000">
        <w:rPr>
          <w:rtl w:val="0"/>
        </w:rPr>
        <w:t xml:space="preserve">less than 4 pages, see above for additional directions</w:t>
      </w:r>
    </w:p>
    <w:p w:rsidR="00000000" w:rsidDel="00000000" w:rsidP="00000000" w:rsidRDefault="00000000" w:rsidRPr="00000000" w14:paraId="00000033">
      <w:pPr>
        <w:numPr>
          <w:ilvl w:val="0"/>
          <w:numId w:val="5"/>
        </w:numPr>
        <w:spacing w:after="240" w:before="0" w:beforeAutospacing="0" w:lineRule="auto"/>
        <w:ind w:left="720" w:hanging="360"/>
        <w:jc w:val="both"/>
        <w:rPr>
          <w:b w:val="1"/>
        </w:rPr>
      </w:pPr>
      <w:r w:rsidDel="00000000" w:rsidR="00000000" w:rsidRPr="00000000">
        <w:rPr>
          <w:b w:val="1"/>
          <w:rtl w:val="0"/>
        </w:rPr>
        <w:t xml:space="preserve">Colab notebook: </w:t>
      </w:r>
      <w:r w:rsidDel="00000000" w:rsidR="00000000" w:rsidRPr="00000000">
        <w:rPr>
          <w:rtl w:val="0"/>
        </w:rPr>
        <w:t xml:space="preserve">it should be able to run in a Google Colab environment (available through Columbia University. A link should be provided in the Write-up. </w:t>
      </w: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f__Fcj14ZUi9oXbvNZqFqC3mBUAf-CNh?usp=sharing" TargetMode="External"/><Relationship Id="rId10" Type="http://schemas.openxmlformats.org/officeDocument/2006/relationships/hyperlink" Target="https://drive.google.com/file/d/1boRVP8VCptxxvfEEjlg8OW4xUFQbgn--/view?usp=drive_link" TargetMode="External"/><Relationship Id="rId13" Type="http://schemas.openxmlformats.org/officeDocument/2006/relationships/hyperlink" Target="https://scanpy.readthedocs.io/en/stable/tutorials/index.html" TargetMode="External"/><Relationship Id="rId12" Type="http://schemas.openxmlformats.org/officeDocument/2006/relationships/hyperlink" Target="https://colab.research.google.com/drive/1f__Fcj14ZUi9oXbvNZqFqC3mBUAf-CNh?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org/doi/suppl/10.1126/science.aav9996/suppl_file/aav9996_aztekin_sm.pdf" TargetMode="External"/><Relationship Id="rId15" Type="http://schemas.openxmlformats.org/officeDocument/2006/relationships/hyperlink" Target="https://journals.plos.org/ploscompbiol/article?id=10.1371/journal.pcbi.1003833" TargetMode="External"/><Relationship Id="rId14" Type="http://schemas.openxmlformats.org/officeDocument/2006/relationships/hyperlink" Target="https://color.adobe.com/create/color-wheel" TargetMode="External"/><Relationship Id="rId17" Type="http://schemas.openxmlformats.org/officeDocument/2006/relationships/hyperlink" Target="https://www.overleaf.com/" TargetMode="External"/><Relationship Id="rId16" Type="http://schemas.openxmlformats.org/officeDocument/2006/relationships/hyperlink" Target="https://www.nature.com/ncomms/submit/article" TargetMode="External"/><Relationship Id="rId5" Type="http://schemas.openxmlformats.org/officeDocument/2006/relationships/styles" Target="styles.xml"/><Relationship Id="rId19" Type="http://schemas.openxmlformats.org/officeDocument/2006/relationships/hyperlink" Target="https://color.adobe.com/create/color-wheel" TargetMode="External"/><Relationship Id="rId6" Type="http://schemas.openxmlformats.org/officeDocument/2006/relationships/hyperlink" Target="https://drive.google.com/drive/folders/1fXvEc8HQ-JUPMNK_7fzwdE36OYB5KIg6" TargetMode="External"/><Relationship Id="rId18" Type="http://schemas.openxmlformats.org/officeDocument/2006/relationships/hyperlink" Target="https://docs.github.com/en/get-started/onboarding/getting-started-with-your-github-account" TargetMode="External"/><Relationship Id="rId7" Type="http://schemas.openxmlformats.org/officeDocument/2006/relationships/image" Target="media/image1.png"/><Relationship Id="rId8" Type="http://schemas.openxmlformats.org/officeDocument/2006/relationships/hyperlink" Target="https://www.science.org/doi/full/10.1126/science.aav9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