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behindDoc="0" distT="0" distB="0" distL="0" distR="0" simplePos="0" locked="0" layoutInCell="0" allowOverlap="1" relativeHeight="4" wp14:anchorId="32D36FEA">
                <wp:simplePos x="0" y="0"/>
                <wp:positionH relativeFrom="page">
                  <wp:posOffset>10795</wp:posOffset>
                </wp:positionH>
                <wp:positionV relativeFrom="page">
                  <wp:posOffset>61595</wp:posOffset>
                </wp:positionV>
                <wp:extent cx="571500" cy="10631805"/>
                <wp:effectExtent l="0" t="0" r="0" b="0"/>
                <wp:wrapNone/>
                <wp:docPr id="1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80" cy="10631880"/>
                          <a:chOff x="0" y="0"/>
                          <a:chExt cx="571680" cy="10631880"/>
                        </a:xfrm>
                      </wpg:grpSpPr>
                      <wps:wsp>
                        <wps:cNvPr id="2" name="Rectangle 7"/>
                        <wps:cNvSpPr/>
                        <wps:spPr>
                          <a:xfrm>
                            <a:off x="0" y="0"/>
                            <a:ext cx="457200" cy="10631880"/>
                          </a:xfrm>
                          <a:prstGeom prst="rect">
                            <a:avLst/>
                          </a:prstGeom>
                          <a:solidFill>
                            <a:srgbClr val="ffcc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Rectangle 6"/>
                        <wps:cNvSpPr/>
                        <wps:spPr>
                          <a:xfrm>
                            <a:off x="462240" y="0"/>
                            <a:ext cx="109080" cy="10631880"/>
                          </a:xfrm>
                          <a:prstGeom prst="rect">
                            <a:avLst/>
                          </a:prstGeom>
                          <a:solidFill>
                            <a:srgbClr val="e1000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0.85pt;margin-top:4.85pt;width:45pt;height:837.15pt" coordorigin="17,97" coordsize="900,16743">
                <v:rect id="shape_0" ID="Rectangle 7" path="m0,0l-2147483645,0l-2147483645,-2147483646l0,-2147483646xe" fillcolor="#ffcc00" stroked="f" o:allowincell="f" style="position:absolute;left:17;top:97;width:719;height:16742;mso-wrap-style:none;v-text-anchor:middle;mso-position-horizontal-relative:page;mso-position-vertical-relative:page">
                  <v:fill o:detectmouseclick="t" type="solid" color2="#0033ff"/>
                  <v:stroke color="#3465a4" joinstyle="round" endcap="flat"/>
                  <w10:wrap type="none"/>
                </v:rect>
                <v:rect id="shape_0" ID="Rectangle 6" path="m0,0l-2147483645,0l-2147483645,-2147483646l0,-2147483646xe" fillcolor="#e1000a" stroked="f" o:allowincell="f" style="position:absolute;left:745;top:97;width:171;height:16742;mso-wrap-style:none;v-text-anchor:middle;mso-position-horizontal-relative:page;mso-position-vertical-relative:page">
                  <v:fill o:detectmouseclick="t" type="solid" color2="#1efff5"/>
                  <v:stroke color="#3465a4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ind w:start="6993" w:end="391"/>
        <w:rPr>
          <w:sz w:val="12"/>
          <w:szCs w:val="12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 wp14:anchorId="6807995E">
                <wp:simplePos x="0" y="0"/>
                <wp:positionH relativeFrom="page">
                  <wp:posOffset>5034915</wp:posOffset>
                </wp:positionH>
                <wp:positionV relativeFrom="paragraph">
                  <wp:posOffset>71120</wp:posOffset>
                </wp:positionV>
                <wp:extent cx="45085" cy="915035"/>
                <wp:effectExtent l="0" t="0" r="0" b="0"/>
                <wp:wrapNone/>
                <wp:docPr id="4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915120"/>
                        </a:xfrm>
                        <a:prstGeom prst="rect">
                          <a:avLst/>
                        </a:prstGeom>
                        <a:solidFill>
                          <a:srgbClr val="e1000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" path="m0,0l-2147483645,0l-2147483645,-2147483646l0,-2147483646xe" fillcolor="#e1000a" stroked="f" o:allowincell="f" style="position:absolute;margin-left:396.45pt;margin-top:5.6pt;width:3.5pt;height:72pt;mso-wrap-style:none;v-text-anchor:middle;mso-position-horizontal-relative:page" wp14:anchorId="6807995E">
                <v:fill o:detectmouseclick="t" type="solid" color2="#1efff5"/>
                <v:stroke color="#3465a4" joinstyle="round" endcap="flat"/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3">
            <wp:simplePos x="0" y="0"/>
            <wp:positionH relativeFrom="page">
              <wp:posOffset>838200</wp:posOffset>
            </wp:positionH>
            <wp:positionV relativeFrom="paragraph">
              <wp:posOffset>-92075</wp:posOffset>
            </wp:positionV>
            <wp:extent cx="1988185" cy="1068705"/>
            <wp:effectExtent l="0" t="0" r="0" b="0"/>
            <wp:wrapNone/>
            <wp:docPr id="5" name="image1.jpe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eg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sz w:val="12"/>
          <w:szCs w:val="12"/>
        </w:rPr>
        <w:t>PONTIFÍCIA UNIVERSIDADE CATÓLICA DE</w:t>
      </w:r>
      <w:r>
        <w:rPr>
          <w:rFonts w:ascii="Cambria" w:hAnsi="Cambria"/>
          <w:b/>
          <w:spacing w:val="-33"/>
          <w:sz w:val="12"/>
          <w:szCs w:val="12"/>
        </w:rPr>
        <w:t xml:space="preserve"> </w:t>
      </w:r>
      <w:r>
        <w:rPr>
          <w:rFonts w:ascii="Cambria" w:hAnsi="Cambria"/>
          <w:b/>
          <w:sz w:val="12"/>
          <w:szCs w:val="12"/>
        </w:rPr>
        <w:t>GOIÁS</w:t>
      </w:r>
    </w:p>
    <w:p>
      <w:pPr>
        <w:pStyle w:val="Normal"/>
        <w:spacing w:lineRule="exact" w:line="186"/>
        <w:ind w:start="6993"/>
        <w:rPr>
          <w:sz w:val="12"/>
          <w:szCs w:val="12"/>
        </w:rPr>
      </w:pPr>
      <w:r>
        <w:rPr>
          <w:rFonts w:ascii="Cambria" w:hAnsi="Cambria"/>
          <w:b/>
          <w:sz w:val="12"/>
          <w:szCs w:val="12"/>
        </w:rPr>
        <w:t>PRÓ-REITORIA</w:t>
      </w:r>
      <w:r>
        <w:rPr>
          <w:rFonts w:ascii="Cambria" w:hAnsi="Cambria"/>
          <w:b/>
          <w:spacing w:val="-2"/>
          <w:sz w:val="12"/>
          <w:szCs w:val="12"/>
        </w:rPr>
        <w:t xml:space="preserve"> </w:t>
      </w:r>
      <w:r>
        <w:rPr>
          <w:rFonts w:ascii="Cambria" w:hAnsi="Cambria"/>
          <w:b/>
          <w:sz w:val="12"/>
          <w:szCs w:val="12"/>
        </w:rPr>
        <w:t>DE</w:t>
      </w:r>
      <w:r>
        <w:rPr>
          <w:rFonts w:ascii="Cambria" w:hAnsi="Cambria"/>
          <w:b/>
          <w:spacing w:val="1"/>
          <w:sz w:val="12"/>
          <w:szCs w:val="12"/>
        </w:rPr>
        <w:t xml:space="preserve"> </w:t>
      </w:r>
      <w:r>
        <w:rPr>
          <w:rFonts w:ascii="Cambria" w:hAnsi="Cambria"/>
          <w:b/>
          <w:sz w:val="12"/>
          <w:szCs w:val="12"/>
        </w:rPr>
        <w:t>GRADUAÇÃO</w:t>
      </w:r>
    </w:p>
    <w:p>
      <w:pPr>
        <w:pStyle w:val="Normal"/>
        <w:ind w:start="6993" w:end="391"/>
        <w:rPr>
          <w:sz w:val="12"/>
          <w:szCs w:val="12"/>
        </w:rPr>
      </w:pPr>
      <w:r>
        <w:rPr>
          <w:rFonts w:ascii="Cambria" w:hAnsi="Cambria"/>
          <w:spacing w:val="-1"/>
          <w:sz w:val="12"/>
          <w:szCs w:val="12"/>
        </w:rPr>
        <w:t xml:space="preserve">Av. Universitária, </w:t>
      </w:r>
      <w:r>
        <w:rPr>
          <w:rFonts w:ascii="Cambria" w:hAnsi="Cambria"/>
          <w:sz w:val="12"/>
          <w:szCs w:val="12"/>
        </w:rPr>
        <w:t xml:space="preserve">1069 </w:t>
      </w:r>
      <w:r>
        <w:rPr>
          <w:rFonts w:ascii="Microsoft Sans Serif" w:hAnsi="Microsoft Sans Serif"/>
          <w:color w:val="585858"/>
          <w:sz w:val="12"/>
          <w:szCs w:val="12"/>
        </w:rPr>
        <w:t xml:space="preserve">● </w:t>
      </w:r>
      <w:r>
        <w:rPr>
          <w:rFonts w:ascii="Cambria" w:hAnsi="Cambria"/>
          <w:sz w:val="12"/>
          <w:szCs w:val="12"/>
        </w:rPr>
        <w:t>Setor Universitário</w:t>
      </w:r>
      <w:r>
        <w:rPr>
          <w:rFonts w:ascii="Cambria" w:hAnsi="Cambria"/>
          <w:spacing w:val="-33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>Caixa</w:t>
      </w:r>
      <w:r>
        <w:rPr>
          <w:rFonts w:ascii="Cambria" w:hAnsi="Cambria"/>
          <w:spacing w:val="1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>Postal</w:t>
      </w:r>
      <w:r>
        <w:rPr>
          <w:rFonts w:ascii="Cambria" w:hAnsi="Cambria"/>
          <w:spacing w:val="-4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>86</w:t>
      </w:r>
      <w:r>
        <w:rPr>
          <w:rFonts w:ascii="Cambria" w:hAnsi="Cambria"/>
          <w:spacing w:val="3"/>
          <w:sz w:val="12"/>
          <w:szCs w:val="12"/>
        </w:rPr>
        <w:t xml:space="preserve"> </w:t>
      </w:r>
      <w:r>
        <w:rPr>
          <w:rFonts w:ascii="Microsoft Sans Serif" w:hAnsi="Microsoft Sans Serif"/>
          <w:color w:val="585858"/>
          <w:sz w:val="12"/>
          <w:szCs w:val="12"/>
        </w:rPr>
        <w:t>●</w:t>
      </w:r>
      <w:r>
        <w:rPr>
          <w:rFonts w:ascii="Microsoft Sans Serif" w:hAnsi="Microsoft Sans Serif"/>
          <w:color w:val="585858"/>
          <w:spacing w:val="-10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>CEP</w:t>
      </w:r>
      <w:r>
        <w:rPr>
          <w:rFonts w:ascii="Cambria" w:hAnsi="Cambria"/>
          <w:spacing w:val="-1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>74605-010</w:t>
      </w:r>
    </w:p>
    <w:p>
      <w:pPr>
        <w:pStyle w:val="Normal"/>
        <w:spacing w:lineRule="auto" w:line="235"/>
        <w:ind w:start="6993" w:end="1836"/>
        <w:rPr>
          <w:sz w:val="12"/>
          <w:szCs w:val="12"/>
        </w:rPr>
      </w:pPr>
      <w:r>
        <w:rPr>
          <w:rFonts w:ascii="Cambria" w:hAnsi="Cambria"/>
          <w:sz w:val="12"/>
          <w:szCs w:val="12"/>
        </w:rPr>
        <w:t>Goiânia</w:t>
      </w:r>
      <w:r>
        <w:rPr>
          <w:rFonts w:ascii="Cambria" w:hAnsi="Cambria"/>
          <w:spacing w:val="1"/>
          <w:sz w:val="12"/>
          <w:szCs w:val="12"/>
        </w:rPr>
        <w:t xml:space="preserve"> </w:t>
      </w:r>
      <w:r>
        <w:rPr>
          <w:rFonts w:ascii="Microsoft Sans Serif" w:hAnsi="Microsoft Sans Serif"/>
          <w:color w:val="585858"/>
          <w:sz w:val="12"/>
          <w:szCs w:val="12"/>
        </w:rPr>
        <w:t>●</w:t>
      </w:r>
      <w:r>
        <w:rPr>
          <w:rFonts w:ascii="Microsoft Sans Serif" w:hAnsi="Microsoft Sans Serif"/>
          <w:color w:val="585858"/>
          <w:spacing w:val="-9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 xml:space="preserve">Goiás </w:t>
      </w:r>
      <w:r>
        <w:rPr>
          <w:rFonts w:ascii="Microsoft Sans Serif" w:hAnsi="Microsoft Sans Serif"/>
          <w:color w:val="585858"/>
          <w:sz w:val="12"/>
          <w:szCs w:val="12"/>
        </w:rPr>
        <w:t>●</w:t>
      </w:r>
      <w:r>
        <w:rPr>
          <w:rFonts w:ascii="Microsoft Sans Serif" w:hAnsi="Microsoft Sans Serif"/>
          <w:color w:val="585858"/>
          <w:spacing w:val="-10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>Brasil</w:t>
      </w:r>
      <w:r>
        <w:rPr>
          <w:rFonts w:ascii="Cambria" w:hAnsi="Cambria"/>
          <w:spacing w:val="-33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>Fone:</w:t>
      </w:r>
      <w:r>
        <w:rPr>
          <w:rFonts w:ascii="Cambria" w:hAnsi="Cambria"/>
          <w:spacing w:val="-3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>(62)</w:t>
      </w:r>
      <w:r>
        <w:rPr>
          <w:rFonts w:ascii="Cambria" w:hAnsi="Cambria"/>
          <w:spacing w:val="-2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>3946.1020</w:t>
      </w:r>
    </w:p>
    <w:p>
      <w:pPr>
        <w:pStyle w:val="Normal"/>
        <w:spacing w:before="29" w:after="0"/>
        <w:ind w:start="6993"/>
        <w:rPr/>
      </w:pPr>
      <w:hyperlink r:id="rId3">
        <w:r>
          <w:rPr>
            <w:rStyle w:val="ListLabel2"/>
            <w:rFonts w:ascii="Cambria" w:hAnsi="Cambria"/>
            <w:sz w:val="12"/>
            <w:szCs w:val="12"/>
          </w:rPr>
          <w:t>www.pucgoias.edu.br</w:t>
        </w:r>
        <w:r>
          <w:rPr>
            <w:rStyle w:val="ListLabel2"/>
            <w:rFonts w:ascii="Cambria" w:hAnsi="Cambria"/>
            <w:spacing w:val="-7"/>
            <w:sz w:val="12"/>
            <w:szCs w:val="12"/>
          </w:rPr>
          <w:t xml:space="preserve"> </w:t>
        </w:r>
      </w:hyperlink>
      <w:r>
        <w:rPr>
          <w:rFonts w:ascii="Cambria" w:hAnsi="Cambria"/>
          <w:sz w:val="12"/>
          <w:szCs w:val="12"/>
        </w:rPr>
        <w:t>l</w:t>
      </w:r>
      <w:r>
        <w:rPr>
          <w:rFonts w:ascii="Cambria" w:hAnsi="Cambria"/>
          <w:spacing w:val="-3"/>
          <w:sz w:val="12"/>
          <w:szCs w:val="12"/>
        </w:rPr>
        <w:t xml:space="preserve"> </w:t>
      </w:r>
      <w:hyperlink r:id="rId4">
        <w:r>
          <w:rPr>
            <w:rStyle w:val="ListLabel1"/>
            <w:rFonts w:ascii="Cambria" w:hAnsi="Cambria"/>
            <w:sz w:val="12"/>
            <w:szCs w:val="12"/>
          </w:rPr>
          <w:t>prograd@pucgoias.edu.br</w:t>
        </w:r>
      </w:hyperlink>
    </w:p>
    <w:p>
      <w:pPr>
        <w:pStyle w:val="BodyText"/>
        <w:rPr>
          <w:rFonts w:ascii="Cambria" w:hAnsi="Cambria"/>
          <w:sz w:val="20"/>
        </w:rPr>
      </w:pPr>
      <w:r>
        <w:rPr>
          <w:rFonts w:ascii="Cambria" w:hAnsi="Cambria"/>
          <w:sz w:val="20"/>
        </w:rPr>
      </w:r>
    </w:p>
    <w:p>
      <w:pPr>
        <w:pStyle w:val="BodyText"/>
        <w:spacing w:before="185" w:after="0"/>
        <w:ind w:start="2251"/>
        <w:rPr>
          <w:b/>
          <w:bCs/>
        </w:rPr>
      </w:pPr>
      <w:r>
        <w:rPr>
          <w:b/>
          <w:bCs/>
        </w:rPr>
      </w:r>
    </w:p>
    <w:p>
      <w:pPr>
        <w:pStyle w:val="BodyText"/>
        <w:spacing w:before="185" w:after="0"/>
        <w:ind w:start="2251"/>
        <w:rPr>
          <w:b/>
          <w:bCs/>
        </w:rPr>
      </w:pPr>
      <w:r>
        <w:rPr>
          <w:b/>
          <w:bCs/>
        </w:rPr>
        <w:t>FORMALIZAÇÃO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DE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ATIVIDADE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DISCIPLINAR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DE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EXTENSÃO</w:t>
      </w:r>
    </w:p>
    <w:p>
      <w:pPr>
        <w:pStyle w:val="BodyText"/>
        <w:rPr/>
      </w:pPr>
      <w:r>
        <w:rPr/>
      </w:r>
    </w:p>
    <w:p>
      <w:pPr>
        <w:pStyle w:val="BodyText"/>
        <w:rPr>
          <w:sz w:val="17"/>
        </w:rPr>
      </w:pPr>
      <w:r>
        <w:rPr>
          <w:sz w:val="17"/>
        </w:rPr>
      </w:r>
    </w:p>
    <w:p>
      <w:pPr>
        <w:pStyle w:val="BodyText"/>
        <w:tabs>
          <w:tab w:val="clear" w:pos="720"/>
          <w:tab w:val="left" w:pos="9567" w:leader="none"/>
        </w:tabs>
        <w:spacing w:lineRule="auto" w:line="276"/>
        <w:ind w:start="115" w:end="84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Pelo presente TERMO, a SOCIEDADE GOIANA DE CULTURA, associação civil de direito privado, sem fins lucrativos, de natureza católica, filantrópica e comunitária, inscrita no CNPJ (MF) sob o n.º 01.587.609/0001-71, com sede nesta cidade, na Primeira Avenida, 656, Setor Universitário, Goiânia – Goiás, mantenedora da PONTIFÍCIA UNIVERSIDADE CATÓLICA DE GOIÁS (PUC GOIÁS), que fomenta pelo presente instrumento     particular,     de     um     lado </w:t>
      </w:r>
      <w:r>
        <w:rPr>
          <w:b/>
          <w:bCs/>
          <w:sz w:val="18"/>
          <w:szCs w:val="18"/>
        </w:rPr>
        <w:t>IVÂNIO JOSÉ DA ROCHA JÚNIOR, CPF 762.961.211-72, MATRÍCULA 20251079200121</w:t>
      </w:r>
      <w:r>
        <w:rPr>
          <w:sz w:val="18"/>
          <w:szCs w:val="18"/>
        </w:rPr>
        <w:t xml:space="preserve">, doravante denominado "estudante", e de outro lado a responsável por este termo, </w:t>
      </w:r>
      <w:r>
        <w:rPr>
          <w:b/>
          <w:bCs/>
          <w:sz w:val="18"/>
          <w:szCs w:val="18"/>
        </w:rPr>
        <w:t>SECRETÁRIA DE ESTADO DA SAÚDE DE GOIÁS, CNPJ 02.529.964/0001-57</w:t>
      </w:r>
      <w:r>
        <w:rPr>
          <w:sz w:val="18"/>
          <w:szCs w:val="18"/>
        </w:rPr>
        <w:t>, doravante denominada "concedente", têm entre si justo e acordado o seguinte:</w:t>
      </w:r>
    </w:p>
    <w:p>
      <w:pPr>
        <w:pStyle w:val="BodyText"/>
        <w:spacing w:before="3" w:after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lineRule="auto" w:line="276"/>
        <w:ind w:start="115" w:end="847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Ficam cientes que as ações extensionistas se referem às atividades de estudantes, vinculadas às disciplinas curriculares que, dedicam parte do seu tempo a diversas formas de ações, em diferentes setores sociais. </w:t>
      </w:r>
      <w:r>
        <w:rPr>
          <w:b/>
          <w:bCs/>
          <w:sz w:val="18"/>
          <w:szCs w:val="18"/>
          <w:u w:val="single"/>
        </w:rPr>
        <w:t>Essas ações não geram vínculo empregatício, nem obrigação de natureza trabalhista-previdenciária ou afim. As atividades disciplinares de extensão têm como base legal a Resolução CNE/CES nº 7, de 18 de dezembro de 2018.</w:t>
      </w:r>
    </w:p>
    <w:p>
      <w:pPr>
        <w:pStyle w:val="BodyText"/>
        <w:spacing w:before="6" w:after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lineRule="auto" w:line="276"/>
        <w:ind w:start="115" w:end="855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Objeto: </w:t>
      </w:r>
      <w:r>
        <w:rPr>
          <w:sz w:val="18"/>
          <w:szCs w:val="18"/>
        </w:rPr>
        <w:t xml:space="preserve">O presente termo tem por objeto formalizar a participação do estudante em </w:t>
      </w:r>
      <w:r>
        <w:rPr>
          <w:b/>
          <w:bCs/>
          <w:sz w:val="18"/>
          <w:szCs w:val="18"/>
          <w:u w:val="single"/>
        </w:rPr>
        <w:t>atividades disciplinares de extensão realizadas junto à concedente, que consistem em</w:t>
      </w:r>
      <w:r>
        <w:rPr>
          <w:sz w:val="18"/>
          <w:szCs w:val="18"/>
        </w:rPr>
        <w:t xml:space="preserve"> </w:t>
      </w:r>
      <w:r>
        <w:rPr>
          <w:b/>
          <w:bCs/>
          <w:sz w:val="18"/>
          <w:szCs w:val="18"/>
          <w:u w:val="single"/>
        </w:rPr>
        <w:t>intervenções extensionistas da disciplina de Projeto Integrador III-B do Curso de Big Data e Inteligência Artificial, da Turma de Projeto Integrador IV-A (11304921013_20261_02), com o levantamento de um problema real e proposta de solução utilizando Big Data e Processamento Paralelo e Distribuido</w:t>
      </w:r>
      <w:r>
        <w:rPr>
          <w:sz w:val="18"/>
          <w:szCs w:val="18"/>
        </w:rPr>
        <w:t>. A carga horária a ser cumprida pelo estudante junto à concedente poderá variar, a depender da atividade a ser desenvolvida.</w:t>
      </w:r>
    </w:p>
    <w:p>
      <w:pPr>
        <w:pStyle w:val="BodyText"/>
        <w:spacing w:lineRule="auto" w:line="276" w:before="197" w:after="0"/>
        <w:ind w:start="115" w:end="849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Obrigações: </w:t>
      </w:r>
      <w:r>
        <w:rPr>
          <w:sz w:val="18"/>
          <w:szCs w:val="18"/>
        </w:rPr>
        <w:t>A concedente se obriga a conceder ao estudante a possibilidade de realizar as atividades previstas na disciplina, de acordo com as orientações fornecidas, sendo que a participação do estudante é isenta de qualquer responsabilidade ou obrigação financeira em relação à concedente.</w:t>
      </w:r>
    </w:p>
    <w:p>
      <w:pPr>
        <w:pStyle w:val="BodyText"/>
        <w:spacing w:before="5" w:after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lineRule="auto" w:line="276"/>
        <w:ind w:start="115" w:end="845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Vigência: </w:t>
      </w:r>
      <w:r>
        <w:rPr>
          <w:b w:val="false"/>
          <w:bCs w:val="false"/>
          <w:sz w:val="18"/>
          <w:szCs w:val="18"/>
        </w:rPr>
        <w:t xml:space="preserve">O presente termo terá vigência pelo período de </w:t>
      </w:r>
      <w:r>
        <w:rPr>
          <w:b w:val="false"/>
          <w:bCs w:val="false"/>
          <w:sz w:val="18"/>
          <w:szCs w:val="18"/>
        </w:rPr>
        <w:t>12</w:t>
      </w:r>
      <w:r>
        <w:rPr>
          <w:b w:val="false"/>
          <w:bCs w:val="false"/>
          <w:sz w:val="18"/>
          <w:szCs w:val="18"/>
        </w:rPr>
        <w:t>/</w:t>
      </w:r>
      <w:r>
        <w:rPr>
          <w:b w:val="false"/>
          <w:bCs w:val="false"/>
          <w:sz w:val="18"/>
          <w:szCs w:val="18"/>
        </w:rPr>
        <w:t>03</w:t>
      </w:r>
      <w:r>
        <w:rPr>
          <w:b w:val="false"/>
          <w:bCs w:val="false"/>
          <w:sz w:val="18"/>
          <w:szCs w:val="18"/>
        </w:rPr>
        <w:t>/202</w:t>
      </w:r>
      <w:r>
        <w:rPr>
          <w:b w:val="false"/>
          <w:bCs w:val="false"/>
          <w:sz w:val="18"/>
          <w:szCs w:val="18"/>
        </w:rPr>
        <w:t>6</w:t>
      </w:r>
      <w:r>
        <w:rPr>
          <w:b w:val="false"/>
          <w:bCs w:val="false"/>
          <w:sz w:val="18"/>
          <w:szCs w:val="18"/>
        </w:rPr>
        <w:t xml:space="preserve"> a 3</w:t>
      </w:r>
      <w:r>
        <w:rPr>
          <w:b w:val="false"/>
          <w:bCs w:val="false"/>
          <w:sz w:val="18"/>
          <w:szCs w:val="18"/>
        </w:rPr>
        <w:t>0</w:t>
      </w:r>
      <w:r>
        <w:rPr>
          <w:b w:val="false"/>
          <w:bCs w:val="false"/>
          <w:sz w:val="18"/>
          <w:szCs w:val="18"/>
        </w:rPr>
        <w:t>/</w:t>
      </w:r>
      <w:r>
        <w:rPr>
          <w:b w:val="false"/>
          <w:bCs w:val="false"/>
          <w:sz w:val="18"/>
          <w:szCs w:val="18"/>
        </w:rPr>
        <w:t>04</w:t>
      </w:r>
      <w:r>
        <w:rPr>
          <w:b w:val="false"/>
          <w:bCs w:val="false"/>
          <w:sz w:val="18"/>
          <w:szCs w:val="18"/>
        </w:rPr>
        <w:t>/202</w:t>
      </w:r>
      <w:r>
        <w:rPr>
          <w:b w:val="false"/>
          <w:bCs w:val="false"/>
          <w:sz w:val="18"/>
          <w:szCs w:val="18"/>
        </w:rPr>
        <w:t>6</w:t>
      </w:r>
      <w:r>
        <w:rPr>
          <w:b w:val="false"/>
          <w:bCs w:val="false"/>
          <w:sz w:val="18"/>
          <w:szCs w:val="18"/>
        </w:rPr>
        <w:t>, a partir da assinatura</w:t>
      </w:r>
      <w:r>
        <w:rPr>
          <w:b w:val="false"/>
          <w:bCs w:val="false"/>
          <w:spacing w:val="-47"/>
          <w:sz w:val="18"/>
          <w:szCs w:val="18"/>
        </w:rPr>
        <w:t xml:space="preserve"> </w:t>
      </w:r>
      <w:r>
        <w:rPr>
          <w:b w:val="false"/>
          <w:bCs w:val="false"/>
          <w:sz w:val="18"/>
          <w:szCs w:val="18"/>
        </w:rPr>
        <w:t>pelas</w:t>
      </w:r>
      <w:r>
        <w:rPr>
          <w:b w:val="false"/>
          <w:bCs w:val="false"/>
          <w:spacing w:val="-3"/>
          <w:sz w:val="18"/>
          <w:szCs w:val="18"/>
        </w:rPr>
        <w:t xml:space="preserve"> </w:t>
      </w:r>
      <w:r>
        <w:rPr>
          <w:b w:val="false"/>
          <w:bCs w:val="false"/>
          <w:sz w:val="18"/>
          <w:szCs w:val="18"/>
        </w:rPr>
        <w:t>partes.</w:t>
      </w:r>
    </w:p>
    <w:p>
      <w:pPr>
        <w:pStyle w:val="BodyText"/>
        <w:spacing w:before="197" w:after="0"/>
        <w:ind w:start="115" w:end="2511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>Disposições Gerais:</w:t>
      </w:r>
      <w:r>
        <w:rPr>
          <w:sz w:val="18"/>
          <w:szCs w:val="18"/>
        </w:rPr>
        <w:t xml:space="preserve"> As partes declaram estar cientes das disposições deste Instrumento. </w:t>
      </w:r>
    </w:p>
    <w:p>
      <w:pPr>
        <w:pStyle w:val="BodyText"/>
        <w:spacing w:before="197" w:after="0"/>
        <w:ind w:start="115" w:end="2511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lineRule="auto" w:line="456" w:before="197" w:after="0"/>
        <w:ind w:start="115" w:end="2511"/>
        <w:rPr>
          <w:sz w:val="20"/>
          <w:szCs w:val="20"/>
        </w:rPr>
      </w:pPr>
      <w:r>
        <w:rPr>
          <w:sz w:val="20"/>
          <w:szCs w:val="20"/>
        </w:rPr>
        <w:t>Goiânia,</w:t>
      </w:r>
      <w:r>
        <w:rPr>
          <w:spacing w:val="-1"/>
          <w:sz w:val="20"/>
          <w:szCs w:val="20"/>
        </w:rPr>
        <w:t xml:space="preserve"> 12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pacing w:val="-1"/>
          <w:sz w:val="20"/>
          <w:szCs w:val="20"/>
        </w:rPr>
        <w:t xml:space="preserve"> Março </w:t>
      </w:r>
      <w:r>
        <w:rPr>
          <w:sz w:val="20"/>
          <w:szCs w:val="20"/>
        </w:rPr>
        <w:t>de 2026.</w:t>
      </w:r>
    </w:p>
    <w:p>
      <w:pPr>
        <w:pStyle w:val="BodyText"/>
        <w:spacing w:lineRule="auto" w:line="456" w:before="197" w:after="0"/>
        <w:ind w:start="115" w:end="2511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456" w:before="197" w:after="0"/>
        <w:ind w:start="115" w:end="25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0300" w:type="dxa"/>
        <w:jc w:val="start"/>
        <w:tblInd w:w="19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3915"/>
        <w:gridCol w:w="612"/>
        <w:gridCol w:w="5773"/>
      </w:tblGrid>
      <w:tr>
        <w:trPr/>
        <w:tc>
          <w:tcPr>
            <w:tcW w:w="3915" w:type="dxa"/>
            <w:tcBorders/>
          </w:tcPr>
          <w:p>
            <w:pPr>
              <w:pStyle w:val="BodyText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IVÂNIO JOSÉ DA ROCHA JÚNIOR</w:t>
            </w:r>
          </w:p>
          <w:p>
            <w:pPr>
              <w:pStyle w:val="BodyText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CPF: 762.961.211-72</w:t>
            </w:r>
          </w:p>
          <w:p>
            <w:pPr>
              <w:pStyle w:val="BodyText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Matricula:  20251079200121 </w:t>
            </w:r>
          </w:p>
          <w:p>
            <w:pPr>
              <w:pStyle w:val="BodyText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Fone: (62) 98401-1091</w:t>
            </w:r>
          </w:p>
        </w:tc>
        <w:tc>
          <w:tcPr>
            <w:tcW w:w="612" w:type="dxa"/>
            <w:tcBorders/>
          </w:tcPr>
          <w:p>
            <w:pPr>
              <w:pStyle w:val="Normal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773" w:type="dxa"/>
            <w:tcBorders/>
          </w:tcPr>
          <w:p>
            <w:pPr>
              <w:pStyle w:val="Normal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IGOR DE OLIVEIRA JARDIM</w:t>
            </w:r>
          </w:p>
          <w:p>
            <w:pPr>
              <w:pStyle w:val="BodyText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CPF: 895.685.401-72</w:t>
            </w:r>
          </w:p>
          <w:p>
            <w:pPr>
              <w:pStyle w:val="BodyText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Coordenação de Desenvolvimento de Software</w:t>
            </w:r>
          </w:p>
          <w:p>
            <w:pPr>
              <w:pStyle w:val="BodyText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>
                <w:b/>
                <w:bCs/>
              </w:rPr>
            </w:pPr>
            <w:r>
              <w:rPr>
                <w:rFonts w:ascii="Calibri;Arial;Helvetica;sans-se" w:hAnsi="Calibri;Arial;Helvetica;sans-se"/>
                <w:b/>
                <w:bCs/>
                <w:sz w:val="20"/>
                <w:shd w:fill="FFFFFF" w:val="clear"/>
              </w:rPr>
              <w:t>Gerencia de Tecnlogia (GT)</w:t>
            </w:r>
          </w:p>
          <w:p>
            <w:pPr>
              <w:pStyle w:val="BodyText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/>
            </w:pPr>
            <w:r>
              <w:rPr>
                <w:rFonts w:ascii="Verdana;sans-serif" w:hAnsi="Verdana;sans-serif"/>
                <w:b/>
                <w:bCs/>
                <w:sz w:val="18"/>
                <w:szCs w:val="18"/>
                <w:shd w:fill="FFFFFF" w:val="clear"/>
              </w:rPr>
              <w:t xml:space="preserve">  </w:t>
            </w:r>
            <w:r>
              <w:rPr>
                <w:rFonts w:ascii="Verdana;sans-serif" w:hAnsi="Verdana;sans-serif"/>
                <w:b/>
                <w:bCs/>
                <w:sz w:val="18"/>
                <w:szCs w:val="18"/>
                <w:shd w:fill="FFFFFF" w:val="clear"/>
              </w:rPr>
              <w:t xml:space="preserve">Superintendência de Tecnologia, Inovação e  </w:t>
            </w:r>
            <w:r>
              <w:rPr>
                <w:rFonts w:ascii="Verdana;sans-serif" w:hAnsi="Verdana;sans-serif"/>
                <w:b/>
                <w:bCs/>
                <w:sz w:val="18"/>
                <w:szCs w:val="18"/>
                <w:shd w:fill="FFFFFF" w:val="clear"/>
              </w:rPr>
              <w:t>Saúde Digital</w:t>
            </w:r>
          </w:p>
          <w:p>
            <w:pPr>
              <w:pStyle w:val="Normal"/>
              <w:jc w:val="center"/>
              <w:rPr>
                <w:rFonts w:ascii="Calibri;Arial;Helvetica;sans-se" w:hAnsi="Calibri;Arial;Helvetica;sans-se"/>
                <w:shd w:fill="FFFFFF" w:val="clear"/>
              </w:rPr>
            </w:pPr>
            <w:r>
              <w:rPr>
                <w:rFonts w:ascii="Verdana;Geneva;sans-serif" w:hAnsi="Verdana;Geneva;sans-serif"/>
                <w:b/>
                <w:bCs/>
                <w:sz w:val="20"/>
                <w:szCs w:val="18"/>
                <w:shd w:fill="FFFFFF" w:val="clear"/>
              </w:rPr>
              <w:t>Secretaria de Estado da Saúde de Goiás</w:t>
            </w:r>
          </w:p>
          <w:p>
            <w:pPr>
              <w:pStyle w:val="Normal"/>
              <w:jc w:val="center"/>
              <w:rPr>
                <w:rFonts w:ascii="Calibri;Arial;Helvetica;sans-se" w:hAnsi="Calibri;Arial;Helvetica;sans-se"/>
                <w:shd w:fill="FFFFFF" w:val="clear"/>
              </w:rPr>
            </w:pPr>
            <w:r>
              <w:rPr>
                <w:rFonts w:ascii="Verdana;Geneva;sans-serif" w:hAnsi="Verdana;Geneva;sans-serif"/>
                <w:b/>
                <w:bCs/>
                <w:sz w:val="20"/>
                <w:szCs w:val="18"/>
                <w:shd w:fill="FFFFFF" w:val="clear"/>
              </w:rPr>
              <w:t>Fone: (62) 3201-37</w:t>
            </w:r>
            <w:r>
              <w:rPr>
                <w:rFonts w:ascii="Calibri;Arial;Helvetica;sans-se" w:hAnsi="Calibri;Arial;Helvetica;sans-se"/>
                <w:b/>
                <w:bCs/>
                <w:sz w:val="20"/>
                <w:szCs w:val="18"/>
                <w:shd w:fill="FFFFFF" w:val="clear"/>
              </w:rPr>
              <w:t>07</w:t>
            </w:r>
          </w:p>
          <w:p>
            <w:pPr>
              <w:pStyle w:val="Normal"/>
              <w:jc w:val="center"/>
              <w:rPr>
                <w:rFonts w:ascii="Calibri;Arial;Helvetica;sans-se" w:hAnsi="Calibri;Arial;Helvetica;sans-se"/>
                <w:shd w:fill="FFFFFF" w:val="clear"/>
              </w:rPr>
            </w:pPr>
            <w:r>
              <w:rPr>
                <w:rFonts w:ascii="Verdana;Geneva;sans-serif" w:hAnsi="Verdana;Geneva;sans-serif"/>
                <w:b/>
                <w:bCs/>
                <w:sz w:val="20"/>
                <w:szCs w:val="18"/>
                <w:shd w:fill="FFFFFF" w:val="clear"/>
              </w:rPr>
              <w:t>(CONCEDENTE)</w:t>
            </w:r>
          </w:p>
        </w:tc>
      </w:tr>
    </w:tbl>
    <w:p>
      <w:pPr>
        <w:pStyle w:val="BodyText"/>
        <w:spacing w:lineRule="auto" w:line="456" w:before="197" w:after="0"/>
        <w:ind w:end="2511"/>
        <w:rPr>
          <w:rFonts w:ascii="Verdana;Geneva;sans-serif" w:hAnsi="Verdana;Geneva;sans-serif"/>
          <w:sz w:val="20"/>
        </w:rPr>
      </w:pPr>
      <w:r>
        <w:rPr>
          <w:rFonts w:ascii="Verdana;Geneva;sans-serif" w:hAnsi="Verdana;Geneva;sans-serif"/>
          <w:sz w:val="20"/>
        </w:rPr>
      </w:r>
    </w:p>
    <w:sectPr>
      <w:type w:val="nextPage"/>
      <w:pgSz w:w="11906" w:h="16838"/>
      <w:pgMar w:left="1160" w:right="280" w:gutter="0" w:header="0" w:top="100" w:footer="0" w:bottom="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Microsoft Sans Serif">
    <w:charset w:val="01" w:characterSet="utf-8"/>
    <w:family w:val="roman"/>
    <w:pitch w:val="variable"/>
  </w:font>
  <w:font w:name="Calibri">
    <w:altName w:val="Arial"/>
    <w:charset w:val="01" w:characterSet="utf-8"/>
    <w:family w:val="roman"/>
    <w:pitch w:val="variable"/>
  </w:font>
  <w:font w:name="Verdana">
    <w:altName w:val="sans-serif"/>
    <w:charset w:val="01" w:characterSet="utf-8"/>
    <w:family w:val="roman"/>
    <w:pitch w:val="variable"/>
  </w:font>
  <w:font w:name="Verdana">
    <w:altName w:val="Geneva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PT" w:eastAsia="en-US" w:bidi="ar-SA"/>
    </w:rPr>
  </w:style>
  <w:style w:type="paragraph" w:styleId="Heading2">
    <w:name w:val="Heading 2"/>
    <w:basedOn w:val="Title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360" w:start="1546" w:end="856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Contedodatabela" w:customStyle="1">
    <w:name w:val="Conteúdo da tabela"/>
    <w:basedOn w:val="Normal"/>
    <w:qFormat/>
    <w:pPr>
      <w:suppressLineNumbers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pucgoias.edu.br/" TargetMode="External"/><Relationship Id="rId4" Type="http://schemas.openxmlformats.org/officeDocument/2006/relationships/hyperlink" Target="mailto:prograd@pucgoias.edu.br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Application>LibreOffice/24.2.7.2$Linux_X86_64 LibreOffice_project/420$Build-2</Application>
  <AppVersion>15.0000</AppVersion>
  <Pages>1</Pages>
  <Words>410</Words>
  <Characters>2494</Characters>
  <CharactersWithSpaces>2902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2024-04-16T00:19:00Z</dcterms:created>
  <dc:creator>User</dc:creator>
  <dc:description/>
  <dc:language>pt-BR</dc:language>
  <cp:lastModifiedBy/>
  <dcterms:modified xsi:type="dcterms:W3CDTF">2026-03-12T10:42:45Z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2024-04-15T00:00:00Z</vt:filetime>
  </property>
</Properties>
</file>