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Raquel Castilla Torres, </w:t>
      </w:r>
      <w:r>
        <w:t xml:space="preserve">mayor de edad, estado civil </w:t>
      </w:r>
      <w:r>
        <w:t xml:space="preserve">casada, </w:t>
      </w:r>
      <w:r>
        <w:t xml:space="preserve">con DNI/NIE </w:t>
      </w:r>
      <w:r>
        <w:t xml:space="preserve">342324324S,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el Olivo 45, número de Referencia Catastral: 324324324234, con una superficie aproximada de 234 y está inscrita en el Registro de la Propiedad de Inscripción registro Inscripción registro Inscripción registro Inscripción registro Inscripción registro . Código Registral Único: 2321313213213</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CIENTO VEINTITRÉS MIL EUROS (123000 €)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CERO EUROS (0.00 €)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CERO EUROS (0 €)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CIENTO VEINTITRÉS MIL EUROS (123000 €)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CERO EUROS (0 €)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CERO EUROS (0 €)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rPr>
                <w:b/>
              </w:rP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Raquel Castilla Torres</w:t>
                  </w:r>
                </w:p>
              </w:tc>
            </w:tr>
            <w:tr>
              <w:tc>
                <w:tcPr>
                  <w:tcW w:type="dxa" w:w="4320"/>
                </w:tcPr>
                <w:p>
                  <w:r>
                    <w:t>DNI: 342324324S</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