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66D2EC" w14:textId="77777777" w:rsidR="002770A9" w:rsidRPr="002770A9" w:rsidRDefault="002770A9" w:rsidP="009E5171">
      <w:pPr>
        <w:tabs>
          <w:tab w:val="clear" w:pos="720"/>
          <w:tab w:val="clear" w:pos="1296"/>
          <w:tab w:val="clear" w:pos="1872"/>
          <w:tab w:val="clear" w:pos="2448"/>
          <w:tab w:val="center" w:pos="4320"/>
          <w:tab w:val="right" w:pos="8640"/>
        </w:tabs>
        <w:spacing w:after="60" w:line="240" w:lineRule="auto"/>
        <w:rPr>
          <w:rFonts w:ascii="Arial" w:hAnsi="Arial" w:cs="Arial"/>
          <w:b/>
          <w:kern w:val="0"/>
          <w:sz w:val="16"/>
          <w:szCs w:val="16"/>
          <w:lang w:val="en-US"/>
        </w:rPr>
      </w:pPr>
      <w:r w:rsidRPr="002770A9">
        <w:rPr>
          <w:rFonts w:ascii="Arial" w:hAnsi="Arial" w:cs="Arial"/>
          <w:b/>
          <w:kern w:val="0"/>
          <w:sz w:val="16"/>
          <w:szCs w:val="16"/>
          <w:lang w:val="en-US"/>
        </w:rPr>
        <w:t>F-APP-GW-GAP-061-1, Ред. 3</w:t>
      </w:r>
    </w:p>
    <w:tbl>
      <w:tblPr>
        <w:tblW w:w="11187" w:type="dxa"/>
        <w:tblLayout w:type="fixed"/>
        <w:tblCellMar>
          <w:left w:w="29" w:type="dxa"/>
          <w:right w:w="29" w:type="dxa"/>
        </w:tblCellMar>
        <w:tblLook w:val="0000" w:firstRow="0" w:lastRow="0" w:firstColumn="0" w:lastColumn="0" w:noHBand="0" w:noVBand="0"/>
      </w:tblPr>
      <w:tblGrid>
        <w:gridCol w:w="285"/>
        <w:gridCol w:w="1148"/>
        <w:gridCol w:w="1798"/>
        <w:gridCol w:w="61"/>
        <w:gridCol w:w="931"/>
        <w:gridCol w:w="355"/>
        <w:gridCol w:w="787"/>
        <w:gridCol w:w="1025"/>
        <w:gridCol w:w="840"/>
        <w:gridCol w:w="164"/>
        <w:gridCol w:w="172"/>
        <w:gridCol w:w="3256"/>
        <w:gridCol w:w="239"/>
        <w:gridCol w:w="126"/>
      </w:tblGrid>
      <w:tr w:rsidR="002770A9" w:rsidRPr="002770A9" w14:paraId="647734E6" w14:textId="77777777" w:rsidTr="00376E61">
        <w:trPr>
          <w:gridAfter w:val="1"/>
          <w:wAfter w:w="126" w:type="dxa"/>
        </w:trPr>
        <w:tc>
          <w:tcPr>
            <w:tcW w:w="5365" w:type="dxa"/>
            <w:gridSpan w:val="7"/>
          </w:tcPr>
          <w:p w14:paraId="2FB66494" w14:textId="77777777" w:rsidR="002770A9" w:rsidRPr="002770A9" w:rsidRDefault="002770A9" w:rsidP="002770A9">
            <w:pPr>
              <w:widowControl w:val="0"/>
              <w:tabs>
                <w:tab w:val="clear" w:pos="720"/>
                <w:tab w:val="clear" w:pos="1296"/>
                <w:tab w:val="clear" w:pos="1872"/>
                <w:tab w:val="clear" w:pos="2448"/>
              </w:tabs>
              <w:spacing w:after="0" w:line="240" w:lineRule="auto"/>
              <w:rPr>
                <w:rFonts w:ascii="Arial" w:hAnsi="Arial" w:cs="Times New Roman"/>
                <w:b/>
                <w:kern w:val="0"/>
                <w:sz w:val="24"/>
                <w:szCs w:val="16"/>
                <w:lang w:val="en-US"/>
              </w:rPr>
            </w:pPr>
            <w:r w:rsidRPr="002770A9">
              <w:rPr>
                <w:rFonts w:ascii="Arial" w:hAnsi="Arial" w:cs="Times New Roman"/>
                <w:b/>
                <w:sz w:val="24"/>
                <w:szCs w:val="20"/>
                <w:lang w:val="en-US"/>
              </w:rPr>
              <w:t>ЗАГЛАВНА СТРАНИЦА НА ДОКУМЕНТА</w:t>
            </w:r>
          </w:p>
        </w:tc>
        <w:tc>
          <w:tcPr>
            <w:tcW w:w="5696" w:type="dxa"/>
            <w:gridSpan w:val="6"/>
          </w:tcPr>
          <w:p w14:paraId="033D5F21" w14:textId="77777777" w:rsidR="002770A9" w:rsidRPr="002770A9" w:rsidRDefault="002770A9" w:rsidP="002770A9">
            <w:pPr>
              <w:tabs>
                <w:tab w:val="clear" w:pos="720"/>
                <w:tab w:val="clear" w:pos="1296"/>
                <w:tab w:val="clear" w:pos="1872"/>
                <w:tab w:val="clear" w:pos="2448"/>
                <w:tab w:val="left" w:pos="-720"/>
              </w:tabs>
              <w:suppressAutoHyphens/>
              <w:spacing w:before="60" w:after="0" w:line="240" w:lineRule="auto"/>
              <w:rPr>
                <w:rFonts w:ascii="Arial" w:hAnsi="Arial" w:cs="Arial"/>
                <w:kern w:val="0"/>
                <w:sz w:val="18"/>
                <w:szCs w:val="20"/>
                <w:lang w:val="en-US"/>
              </w:rPr>
            </w:pPr>
          </w:p>
        </w:tc>
      </w:tr>
      <w:tr w:rsidR="002770A9" w:rsidRPr="002770A9" w14:paraId="00195FE5" w14:textId="77777777" w:rsidTr="00376E61">
        <w:tblPrEx>
          <w:tblCellMar>
            <w:left w:w="28" w:type="dxa"/>
            <w:right w:w="28" w:type="dxa"/>
          </w:tblCellMar>
        </w:tblPrEx>
        <w:trPr>
          <w:gridAfter w:val="1"/>
          <w:wAfter w:w="126" w:type="dxa"/>
        </w:trPr>
        <w:tc>
          <w:tcPr>
            <w:tcW w:w="3231" w:type="dxa"/>
            <w:gridSpan w:val="3"/>
            <w:tcBorders>
              <w:top w:val="single" w:sz="6" w:space="0" w:color="auto"/>
            </w:tcBorders>
          </w:tcPr>
          <w:p w14:paraId="4C355970" w14:textId="77777777" w:rsidR="002770A9" w:rsidRPr="002770A9" w:rsidRDefault="002770A9" w:rsidP="002770A9">
            <w:pPr>
              <w:tabs>
                <w:tab w:val="clear" w:pos="720"/>
                <w:tab w:val="clear" w:pos="1296"/>
                <w:tab w:val="clear" w:pos="1872"/>
                <w:tab w:val="clear" w:pos="2448"/>
                <w:tab w:val="left" w:pos="-720"/>
              </w:tabs>
              <w:suppressAutoHyphens/>
              <w:spacing w:before="20" w:after="0" w:line="240" w:lineRule="auto"/>
              <w:rPr>
                <w:rFonts w:ascii="Arial" w:hAnsi="Arial" w:cs="Arial"/>
                <w:kern w:val="0"/>
                <w:sz w:val="16"/>
                <w:szCs w:val="20"/>
                <w:lang w:val="en-US"/>
              </w:rPr>
            </w:pPr>
            <w:r w:rsidRPr="002770A9">
              <w:rPr>
                <w:rFonts w:ascii="Arial" w:hAnsi="Arial" w:cs="Times New Roman"/>
                <w:sz w:val="16"/>
                <w:szCs w:val="20"/>
                <w:lang w:val="en-US"/>
              </w:rPr>
              <w:t>НОМЕР НА ДОКУМЕНТА</w:t>
            </w:r>
          </w:p>
        </w:tc>
        <w:tc>
          <w:tcPr>
            <w:tcW w:w="1347" w:type="dxa"/>
            <w:gridSpan w:val="3"/>
            <w:tcBorders>
              <w:top w:val="single" w:sz="6" w:space="0" w:color="auto"/>
              <w:left w:val="single" w:sz="6" w:space="0" w:color="auto"/>
            </w:tcBorders>
          </w:tcPr>
          <w:p w14:paraId="35B4EE29" w14:textId="77777777" w:rsidR="002770A9" w:rsidRPr="002770A9" w:rsidRDefault="002770A9" w:rsidP="002770A9">
            <w:pPr>
              <w:tabs>
                <w:tab w:val="clear" w:pos="720"/>
                <w:tab w:val="clear" w:pos="1296"/>
                <w:tab w:val="clear" w:pos="1872"/>
                <w:tab w:val="clear" w:pos="2448"/>
                <w:tab w:val="left" w:pos="-720"/>
              </w:tabs>
              <w:suppressAutoHyphens/>
              <w:spacing w:before="20" w:after="0" w:line="240" w:lineRule="auto"/>
              <w:jc w:val="center"/>
              <w:rPr>
                <w:rFonts w:ascii="Arial" w:hAnsi="Arial" w:cs="Arial"/>
                <w:kern w:val="0"/>
                <w:sz w:val="16"/>
                <w:szCs w:val="20"/>
                <w:lang w:val="en-US"/>
              </w:rPr>
            </w:pPr>
            <w:r w:rsidRPr="002770A9">
              <w:rPr>
                <w:rFonts w:ascii="Arial" w:hAnsi="Arial" w:cs="Times New Roman"/>
                <w:sz w:val="16"/>
                <w:szCs w:val="20"/>
                <w:lang w:val="en-US"/>
              </w:rPr>
              <w:t>РЕДАКЦИЯ</w:t>
            </w:r>
          </w:p>
        </w:tc>
        <w:tc>
          <w:tcPr>
            <w:tcW w:w="2652" w:type="dxa"/>
            <w:gridSpan w:val="3"/>
            <w:tcBorders>
              <w:top w:val="single" w:sz="6" w:space="0" w:color="auto"/>
              <w:left w:val="single" w:sz="6" w:space="0" w:color="auto"/>
            </w:tcBorders>
          </w:tcPr>
          <w:p w14:paraId="792177E1" w14:textId="77777777" w:rsidR="002770A9" w:rsidRPr="002770A9" w:rsidRDefault="002770A9" w:rsidP="002770A9">
            <w:pPr>
              <w:tabs>
                <w:tab w:val="clear" w:pos="720"/>
                <w:tab w:val="clear" w:pos="1296"/>
                <w:tab w:val="clear" w:pos="1872"/>
                <w:tab w:val="clear" w:pos="2448"/>
                <w:tab w:val="left" w:pos="-720"/>
              </w:tabs>
              <w:suppressAutoHyphens/>
              <w:spacing w:before="20" w:after="0" w:line="240" w:lineRule="auto"/>
              <w:rPr>
                <w:rFonts w:ascii="Arial" w:hAnsi="Arial" w:cs="Arial"/>
                <w:kern w:val="0"/>
                <w:sz w:val="16"/>
                <w:szCs w:val="20"/>
                <w:lang w:val="en-US"/>
              </w:rPr>
            </w:pPr>
            <w:r w:rsidRPr="002770A9">
              <w:rPr>
                <w:rFonts w:ascii="Arial" w:hAnsi="Arial" w:cs="Times New Roman"/>
                <w:sz w:val="16"/>
                <w:szCs w:val="20"/>
                <w:lang w:val="en-US"/>
              </w:rPr>
              <w:t xml:space="preserve"> СТРАНИЦА</w:t>
            </w:r>
          </w:p>
        </w:tc>
        <w:tc>
          <w:tcPr>
            <w:tcW w:w="3831" w:type="dxa"/>
            <w:gridSpan w:val="4"/>
            <w:tcBorders>
              <w:top w:val="single" w:sz="6" w:space="0" w:color="auto"/>
              <w:left w:val="single" w:sz="6" w:space="0" w:color="auto"/>
            </w:tcBorders>
          </w:tcPr>
          <w:p w14:paraId="1400DC8A" w14:textId="77777777" w:rsidR="002770A9" w:rsidRPr="002770A9" w:rsidRDefault="002770A9" w:rsidP="002770A9">
            <w:pPr>
              <w:tabs>
                <w:tab w:val="clear" w:pos="720"/>
                <w:tab w:val="clear" w:pos="1296"/>
                <w:tab w:val="clear" w:pos="1872"/>
                <w:tab w:val="clear" w:pos="2448"/>
                <w:tab w:val="left" w:pos="-720"/>
              </w:tabs>
              <w:suppressAutoHyphens/>
              <w:spacing w:before="20" w:after="0" w:line="240" w:lineRule="auto"/>
              <w:jc w:val="center"/>
              <w:rPr>
                <w:rFonts w:ascii="Arial" w:hAnsi="Arial" w:cs="Arial"/>
                <w:kern w:val="0"/>
                <w:sz w:val="16"/>
                <w:szCs w:val="20"/>
                <w:lang w:val="en-US"/>
              </w:rPr>
            </w:pPr>
            <w:r w:rsidRPr="002770A9">
              <w:rPr>
                <w:rFonts w:ascii="Arial" w:hAnsi="Arial" w:cs="Times New Roman"/>
                <w:sz w:val="16"/>
                <w:szCs w:val="20"/>
                <w:lang w:val="en-US"/>
              </w:rPr>
              <w:t>ОТВОРЕНИ ПОЗИЦИИ</w:t>
            </w:r>
          </w:p>
        </w:tc>
      </w:tr>
      <w:tr w:rsidR="002770A9" w:rsidRPr="002770A9" w14:paraId="4D566BB3" w14:textId="77777777" w:rsidTr="00376E61">
        <w:tblPrEx>
          <w:tblCellMar>
            <w:left w:w="28" w:type="dxa"/>
            <w:right w:w="28" w:type="dxa"/>
          </w:tblCellMar>
        </w:tblPrEx>
        <w:trPr>
          <w:gridAfter w:val="1"/>
          <w:wAfter w:w="126" w:type="dxa"/>
        </w:trPr>
        <w:tc>
          <w:tcPr>
            <w:tcW w:w="3231" w:type="dxa"/>
            <w:gridSpan w:val="3"/>
            <w:tcBorders>
              <w:bottom w:val="single" w:sz="6" w:space="0" w:color="auto"/>
            </w:tcBorders>
            <w:vAlign w:val="bottom"/>
          </w:tcPr>
          <w:p w14:paraId="68808BC9" w14:textId="77777777" w:rsidR="002770A9" w:rsidRPr="002770A9" w:rsidRDefault="002770A9" w:rsidP="002770A9">
            <w:pPr>
              <w:tabs>
                <w:tab w:val="clear" w:pos="720"/>
                <w:tab w:val="clear" w:pos="1296"/>
                <w:tab w:val="clear" w:pos="1872"/>
                <w:tab w:val="clear" w:pos="2448"/>
                <w:tab w:val="left" w:pos="-720"/>
              </w:tabs>
              <w:suppressAutoHyphens/>
              <w:spacing w:before="20" w:after="20" w:line="240" w:lineRule="auto"/>
              <w:rPr>
                <w:rFonts w:ascii="Arial" w:hAnsi="Arial" w:cs="Arial"/>
                <w:kern w:val="0"/>
                <w:sz w:val="20"/>
                <w:szCs w:val="20"/>
                <w:lang w:val="en-US"/>
              </w:rPr>
            </w:pPr>
            <w:r w:rsidRPr="002770A9">
              <w:rPr>
                <w:rFonts w:ascii="Arial" w:hAnsi="Arial" w:cs="Times New Roman"/>
                <w:kern w:val="0"/>
                <w:sz w:val="20"/>
                <w:szCs w:val="20"/>
                <w:lang w:val="en-US"/>
              </w:rPr>
              <w:t>APP-GW-G0R-004</w:t>
            </w:r>
          </w:p>
        </w:tc>
        <w:tc>
          <w:tcPr>
            <w:tcW w:w="1347" w:type="dxa"/>
            <w:gridSpan w:val="3"/>
            <w:tcBorders>
              <w:left w:val="single" w:sz="6" w:space="0" w:color="auto"/>
              <w:bottom w:val="single" w:sz="6" w:space="0" w:color="auto"/>
            </w:tcBorders>
            <w:vAlign w:val="bottom"/>
          </w:tcPr>
          <w:p w14:paraId="267F95AF" w14:textId="77777777" w:rsidR="002770A9" w:rsidRPr="002770A9" w:rsidRDefault="002770A9" w:rsidP="002770A9">
            <w:pPr>
              <w:tabs>
                <w:tab w:val="clear" w:pos="720"/>
                <w:tab w:val="clear" w:pos="1296"/>
                <w:tab w:val="clear" w:pos="1872"/>
                <w:tab w:val="clear" w:pos="2448"/>
                <w:tab w:val="left" w:pos="-720"/>
              </w:tabs>
              <w:suppressAutoHyphens/>
              <w:spacing w:before="20" w:after="20" w:line="240" w:lineRule="auto"/>
              <w:jc w:val="center"/>
              <w:rPr>
                <w:rFonts w:ascii="Arial" w:hAnsi="Arial" w:cs="Arial"/>
                <w:kern w:val="0"/>
                <w:sz w:val="20"/>
                <w:szCs w:val="20"/>
              </w:rPr>
            </w:pPr>
            <w:r w:rsidRPr="002770A9">
              <w:rPr>
                <w:rFonts w:ascii="Arial" w:hAnsi="Arial" w:cs="Times New Roman"/>
                <w:sz w:val="20"/>
                <w:szCs w:val="20"/>
              </w:rPr>
              <w:t>А</w:t>
            </w:r>
          </w:p>
        </w:tc>
        <w:tc>
          <w:tcPr>
            <w:tcW w:w="2652" w:type="dxa"/>
            <w:gridSpan w:val="3"/>
            <w:tcBorders>
              <w:left w:val="single" w:sz="6" w:space="0" w:color="auto"/>
              <w:bottom w:val="single" w:sz="6" w:space="0" w:color="auto"/>
            </w:tcBorders>
            <w:vAlign w:val="bottom"/>
          </w:tcPr>
          <w:p w14:paraId="079E1EC3" w14:textId="2F208A67" w:rsidR="002770A9" w:rsidRPr="002770A9" w:rsidRDefault="002770A9" w:rsidP="002770A9">
            <w:pPr>
              <w:tabs>
                <w:tab w:val="clear" w:pos="720"/>
                <w:tab w:val="clear" w:pos="1296"/>
                <w:tab w:val="clear" w:pos="1872"/>
                <w:tab w:val="clear" w:pos="2448"/>
                <w:tab w:val="left" w:pos="-720"/>
              </w:tabs>
              <w:suppressAutoHyphens/>
              <w:spacing w:before="20" w:after="20" w:line="240" w:lineRule="auto"/>
              <w:jc w:val="center"/>
              <w:rPr>
                <w:rFonts w:ascii="Arial" w:hAnsi="Arial" w:cs="Arial"/>
                <w:kern w:val="0"/>
                <w:sz w:val="20"/>
                <w:szCs w:val="20"/>
                <w:lang w:val="en-US"/>
              </w:rPr>
            </w:pPr>
            <w:r w:rsidRPr="002770A9">
              <w:rPr>
                <w:rFonts w:ascii="Arial" w:hAnsi="Arial" w:cs="Times New Roman"/>
                <w:sz w:val="20"/>
                <w:szCs w:val="20"/>
                <w:lang w:val="en-US"/>
              </w:rPr>
              <w:t xml:space="preserve">Страница </w:t>
            </w:r>
            <w:r w:rsidRPr="002770A9">
              <w:rPr>
                <w:rFonts w:ascii="Arial" w:hAnsi="Arial" w:cs="Arial"/>
                <w:b/>
                <w:sz w:val="20"/>
                <w:szCs w:val="20"/>
                <w:lang w:val="en-US"/>
              </w:rPr>
              <w:fldChar w:fldCharType="begin"/>
            </w:r>
            <w:r w:rsidRPr="002770A9">
              <w:rPr>
                <w:rFonts w:ascii="Arial" w:hAnsi="Arial" w:cs="Arial"/>
                <w:b/>
                <w:sz w:val="20"/>
                <w:szCs w:val="20"/>
                <w:lang w:val="en-US"/>
              </w:rPr>
              <w:instrText xml:space="preserve"> PAGE  \* Arabic  \* MERGEFORMAT </w:instrText>
            </w:r>
            <w:r w:rsidRPr="002770A9">
              <w:rPr>
                <w:rFonts w:ascii="Arial" w:hAnsi="Arial" w:cs="Arial"/>
                <w:b/>
                <w:sz w:val="20"/>
                <w:szCs w:val="20"/>
                <w:lang w:val="en-US"/>
              </w:rPr>
              <w:fldChar w:fldCharType="separate"/>
            </w:r>
            <w:r w:rsidRPr="002770A9">
              <w:rPr>
                <w:rFonts w:ascii="Arial" w:hAnsi="Arial" w:cs="Arial"/>
                <w:b/>
                <w:sz w:val="20"/>
                <w:szCs w:val="20"/>
                <w:lang w:val="en-US"/>
              </w:rPr>
              <w:t>1</w:t>
            </w:r>
            <w:r w:rsidRPr="002770A9">
              <w:rPr>
                <w:rFonts w:ascii="Arial" w:hAnsi="Arial" w:cs="Arial"/>
                <w:b/>
                <w:sz w:val="20"/>
                <w:szCs w:val="20"/>
                <w:lang w:val="en-US"/>
              </w:rPr>
              <w:fldChar w:fldCharType="end"/>
            </w:r>
            <w:r w:rsidRPr="002770A9">
              <w:rPr>
                <w:rFonts w:ascii="Arial" w:hAnsi="Arial" w:cs="Times New Roman"/>
                <w:sz w:val="20"/>
                <w:szCs w:val="20"/>
                <w:lang w:val="en-US"/>
              </w:rPr>
              <w:t xml:space="preserve"> от </w:t>
            </w:r>
            <w:r w:rsidRPr="002770A9">
              <w:rPr>
                <w:rFonts w:ascii="Arial" w:hAnsi="Arial" w:cs="Arial"/>
                <w:b/>
                <w:sz w:val="20"/>
                <w:szCs w:val="20"/>
                <w:lang w:val="en-US"/>
              </w:rPr>
              <w:fldChar w:fldCharType="begin"/>
            </w:r>
            <w:r w:rsidRPr="002770A9">
              <w:rPr>
                <w:rFonts w:ascii="Arial" w:hAnsi="Arial" w:cs="Arial"/>
                <w:b/>
                <w:sz w:val="20"/>
                <w:szCs w:val="20"/>
                <w:lang w:val="en-US"/>
              </w:rPr>
              <w:instrText xml:space="preserve"> NUMPAGES  \* Arabic  \* MERGEFORMAT </w:instrText>
            </w:r>
            <w:r w:rsidRPr="002770A9">
              <w:rPr>
                <w:rFonts w:ascii="Arial" w:hAnsi="Arial" w:cs="Arial"/>
                <w:b/>
                <w:sz w:val="20"/>
                <w:szCs w:val="20"/>
                <w:lang w:val="en-US"/>
              </w:rPr>
              <w:fldChar w:fldCharType="separate"/>
            </w:r>
            <w:r w:rsidR="00C8793C">
              <w:rPr>
                <w:rFonts w:ascii="Arial" w:hAnsi="Arial" w:cs="Arial"/>
                <w:b/>
                <w:noProof/>
                <w:sz w:val="20"/>
                <w:szCs w:val="20"/>
                <w:lang w:val="en-US"/>
              </w:rPr>
              <w:t>213</w:t>
            </w:r>
            <w:r w:rsidRPr="002770A9">
              <w:rPr>
                <w:rFonts w:ascii="Arial" w:hAnsi="Arial" w:cs="Arial"/>
                <w:b/>
                <w:sz w:val="20"/>
                <w:szCs w:val="20"/>
                <w:lang w:val="en-US"/>
              </w:rPr>
              <w:fldChar w:fldCharType="end"/>
            </w:r>
          </w:p>
        </w:tc>
        <w:tc>
          <w:tcPr>
            <w:tcW w:w="3831" w:type="dxa"/>
            <w:gridSpan w:val="4"/>
            <w:tcBorders>
              <w:left w:val="single" w:sz="6" w:space="0" w:color="auto"/>
              <w:bottom w:val="single" w:sz="6" w:space="0" w:color="auto"/>
            </w:tcBorders>
            <w:vAlign w:val="bottom"/>
          </w:tcPr>
          <w:p w14:paraId="580EDD8E" w14:textId="77777777" w:rsidR="002770A9" w:rsidRPr="002770A9" w:rsidRDefault="002770A9" w:rsidP="002770A9">
            <w:pPr>
              <w:tabs>
                <w:tab w:val="clear" w:pos="720"/>
                <w:tab w:val="clear" w:pos="1296"/>
                <w:tab w:val="clear" w:pos="1872"/>
                <w:tab w:val="clear" w:pos="2448"/>
                <w:tab w:val="left" w:pos="-720"/>
              </w:tabs>
              <w:suppressAutoHyphens/>
              <w:spacing w:before="20" w:after="20" w:line="240" w:lineRule="auto"/>
              <w:jc w:val="center"/>
              <w:rPr>
                <w:rFonts w:ascii="Arial" w:hAnsi="Arial" w:cs="Arial"/>
                <w:b/>
                <w:kern w:val="0"/>
                <w:sz w:val="20"/>
                <w:szCs w:val="20"/>
                <w:lang w:val="en-US"/>
              </w:rPr>
            </w:pPr>
            <w:r w:rsidRPr="002770A9">
              <w:rPr>
                <w:rFonts w:ascii="Arial" w:hAnsi="Arial" w:cs="Arial"/>
                <w:b/>
                <w:sz w:val="20"/>
                <w:szCs w:val="20"/>
                <w:lang w:val="en-US"/>
              </w:rPr>
              <w:fldChar w:fldCharType="begin">
                <w:ffData>
                  <w:name w:val=""/>
                  <w:enabled/>
                  <w:calcOnExit w:val="0"/>
                  <w:ddList>
                    <w:listEntry w:val="N"/>
                    <w:listEntry w:val="(Изберете едно)"/>
                    <w:listEntry w:val="Y"/>
                  </w:ddList>
                </w:ffData>
              </w:fldChar>
            </w:r>
            <w:r w:rsidRPr="002770A9">
              <w:rPr>
                <w:rFonts w:ascii="Arial" w:hAnsi="Arial" w:cs="Arial"/>
                <w:b/>
                <w:sz w:val="20"/>
                <w:szCs w:val="20"/>
                <w:lang w:val="en-US"/>
              </w:rPr>
              <w:instrText xml:space="preserve"> FORMDROPDOWN </w:instrText>
            </w:r>
            <w:r w:rsidR="00C469CC">
              <w:rPr>
                <w:rFonts w:ascii="Arial" w:hAnsi="Arial" w:cs="Arial"/>
                <w:b/>
                <w:sz w:val="20"/>
                <w:szCs w:val="20"/>
                <w:lang w:val="en-US"/>
              </w:rPr>
            </w:r>
            <w:r w:rsidR="00C469CC">
              <w:rPr>
                <w:rFonts w:ascii="Arial" w:hAnsi="Arial" w:cs="Arial"/>
                <w:b/>
                <w:sz w:val="20"/>
                <w:szCs w:val="20"/>
                <w:lang w:val="en-US"/>
              </w:rPr>
              <w:fldChar w:fldCharType="separate"/>
            </w:r>
            <w:r w:rsidRPr="002770A9">
              <w:rPr>
                <w:rFonts w:ascii="Arial" w:hAnsi="Arial" w:cs="Arial"/>
                <w:b/>
                <w:sz w:val="20"/>
                <w:szCs w:val="20"/>
                <w:lang w:val="en-US"/>
              </w:rPr>
              <w:fldChar w:fldCharType="end"/>
            </w:r>
          </w:p>
        </w:tc>
      </w:tr>
      <w:tr w:rsidR="002770A9" w:rsidRPr="002770A9" w14:paraId="358159F6" w14:textId="77777777" w:rsidTr="00376E61">
        <w:tblPrEx>
          <w:tblCellMar>
            <w:left w:w="28" w:type="dxa"/>
            <w:right w:w="28" w:type="dxa"/>
          </w:tblCellMar>
        </w:tblPrEx>
        <w:trPr>
          <w:gridAfter w:val="1"/>
          <w:wAfter w:w="126" w:type="dxa"/>
        </w:trPr>
        <w:tc>
          <w:tcPr>
            <w:tcW w:w="3231" w:type="dxa"/>
            <w:gridSpan w:val="3"/>
            <w:tcBorders>
              <w:bottom w:val="single" w:sz="6" w:space="0" w:color="auto"/>
              <w:right w:val="single" w:sz="6" w:space="0" w:color="auto"/>
            </w:tcBorders>
          </w:tcPr>
          <w:p w14:paraId="076E8713" w14:textId="77777777" w:rsidR="002770A9" w:rsidRPr="002770A9" w:rsidRDefault="002770A9" w:rsidP="002770A9">
            <w:pPr>
              <w:tabs>
                <w:tab w:val="clear" w:pos="720"/>
                <w:tab w:val="clear" w:pos="1296"/>
                <w:tab w:val="clear" w:pos="1872"/>
                <w:tab w:val="clear" w:pos="2448"/>
                <w:tab w:val="left" w:pos="-720"/>
              </w:tabs>
              <w:suppressAutoHyphens/>
              <w:spacing w:before="40" w:after="0" w:line="240" w:lineRule="auto"/>
              <w:rPr>
                <w:rFonts w:ascii="Arial" w:hAnsi="Arial" w:cs="Arial"/>
                <w:kern w:val="0"/>
                <w:sz w:val="18"/>
                <w:szCs w:val="20"/>
                <w:lang w:val="en-US"/>
              </w:rPr>
            </w:pPr>
            <w:r w:rsidRPr="002770A9">
              <w:rPr>
                <w:rFonts w:ascii="Arial" w:hAnsi="Arial" w:cs="Times New Roman"/>
                <w:sz w:val="18"/>
                <w:szCs w:val="20"/>
                <w:lang w:val="en-US"/>
              </w:rPr>
              <w:t xml:space="preserve">СЪСТОЯНИЕ НА ДОКУМЕНТА:  </w:t>
            </w:r>
            <w:r w:rsidRPr="002770A9">
              <w:rPr>
                <w:rFonts w:ascii="Arial" w:hAnsi="Arial" w:cs="Times New Roman"/>
                <w:b/>
                <w:sz w:val="18"/>
                <w:szCs w:val="20"/>
                <w:lang w:val="en-US"/>
              </w:rPr>
              <w:fldChar w:fldCharType="begin">
                <w:ffData>
                  <w:name w:val=""/>
                  <w:enabled/>
                  <w:calcOnExit w:val="0"/>
                  <w:ddList>
                    <w:result w:val="1"/>
                    <w:listEntry w:val="(Select one)"/>
                    <w:listEntry w:val="PRE"/>
                    <w:listEntry w:val="CFC"/>
                    <w:listEntry w:val="CAE"/>
                    <w:listEntry w:val="DES"/>
                  </w:ddList>
                </w:ffData>
              </w:fldChar>
            </w:r>
            <w:r w:rsidRPr="002770A9">
              <w:rPr>
                <w:rFonts w:ascii="Arial" w:hAnsi="Arial" w:cs="Times New Roman"/>
                <w:b/>
                <w:sz w:val="18"/>
                <w:szCs w:val="20"/>
                <w:lang w:val="en-US"/>
              </w:rPr>
              <w:instrText xml:space="preserve"> FORMDROPDOWN </w:instrText>
            </w:r>
            <w:r w:rsidR="00C469CC">
              <w:rPr>
                <w:rFonts w:ascii="Arial" w:hAnsi="Arial" w:cs="Times New Roman"/>
                <w:b/>
                <w:sz w:val="18"/>
                <w:szCs w:val="20"/>
                <w:lang w:val="en-US"/>
              </w:rPr>
            </w:r>
            <w:r w:rsidR="00C469CC">
              <w:rPr>
                <w:rFonts w:ascii="Arial" w:hAnsi="Arial" w:cs="Times New Roman"/>
                <w:b/>
                <w:sz w:val="18"/>
                <w:szCs w:val="20"/>
                <w:lang w:val="en-US"/>
              </w:rPr>
              <w:fldChar w:fldCharType="separate"/>
            </w:r>
            <w:r w:rsidRPr="002770A9">
              <w:rPr>
                <w:rFonts w:ascii="Arial" w:hAnsi="Arial" w:cs="Times New Roman"/>
                <w:sz w:val="18"/>
                <w:szCs w:val="20"/>
                <w:lang w:val="en-US"/>
              </w:rPr>
              <w:fldChar w:fldCharType="end"/>
            </w:r>
          </w:p>
        </w:tc>
        <w:tc>
          <w:tcPr>
            <w:tcW w:w="3999" w:type="dxa"/>
            <w:gridSpan w:val="6"/>
            <w:tcBorders>
              <w:bottom w:val="single" w:sz="6" w:space="0" w:color="auto"/>
              <w:right w:val="single" w:sz="6" w:space="0" w:color="auto"/>
            </w:tcBorders>
          </w:tcPr>
          <w:p w14:paraId="36409D99" w14:textId="77777777" w:rsidR="002770A9" w:rsidRPr="002770A9" w:rsidRDefault="002770A9" w:rsidP="002770A9">
            <w:pPr>
              <w:tabs>
                <w:tab w:val="clear" w:pos="720"/>
                <w:tab w:val="clear" w:pos="1296"/>
                <w:tab w:val="clear" w:pos="1872"/>
                <w:tab w:val="clear" w:pos="2448"/>
                <w:tab w:val="left" w:pos="-720"/>
              </w:tabs>
              <w:suppressAutoHyphens/>
              <w:spacing w:before="40" w:after="0" w:line="240" w:lineRule="auto"/>
              <w:rPr>
                <w:rFonts w:ascii="Arial" w:hAnsi="Arial" w:cs="Arial"/>
                <w:kern w:val="0"/>
                <w:sz w:val="18"/>
                <w:szCs w:val="20"/>
                <w:lang w:val="en-US"/>
              </w:rPr>
            </w:pPr>
            <w:r w:rsidRPr="002770A9">
              <w:rPr>
                <w:rFonts w:ascii="Arial" w:hAnsi="Arial" w:cs="Times New Roman"/>
                <w:sz w:val="18"/>
                <w:szCs w:val="20"/>
                <w:lang w:val="en-US"/>
              </w:rPr>
              <w:t xml:space="preserve"> ЦЕНТРАЛА </w:t>
            </w:r>
            <w:r w:rsidRPr="002770A9">
              <w:rPr>
                <w:rFonts w:ascii="Arial" w:hAnsi="Arial" w:cs="Times New Roman"/>
                <w:b/>
                <w:bCs/>
                <w:sz w:val="18"/>
                <w:szCs w:val="20"/>
                <w:lang w:val="en-US"/>
              </w:rPr>
              <w:t>AP1000 -</w:t>
            </w:r>
            <w:r w:rsidRPr="002770A9">
              <w:rPr>
                <w:rFonts w:ascii="Arial" w:hAnsi="Arial" w:cs="Times New Roman"/>
                <w:sz w:val="18"/>
                <w:szCs w:val="20"/>
                <w:lang w:val="en-US"/>
              </w:rPr>
              <w:t xml:space="preserve"> КЛАС НА БЕЗОПАСНОСТ:  </w:t>
            </w:r>
            <w:r w:rsidRPr="002770A9">
              <w:rPr>
                <w:rFonts w:ascii="Arial" w:hAnsi="Arial" w:cs="Times New Roman"/>
                <w:b/>
                <w:sz w:val="18"/>
                <w:szCs w:val="20"/>
                <w:lang w:val="en-US"/>
              </w:rPr>
              <w:t>Неприложимо</w:t>
            </w:r>
          </w:p>
        </w:tc>
        <w:tc>
          <w:tcPr>
            <w:tcW w:w="3831" w:type="dxa"/>
            <w:gridSpan w:val="4"/>
            <w:tcBorders>
              <w:left w:val="single" w:sz="6" w:space="0" w:color="auto"/>
            </w:tcBorders>
          </w:tcPr>
          <w:p w14:paraId="67EACB2D" w14:textId="77777777" w:rsidR="002770A9" w:rsidRPr="002770A9" w:rsidRDefault="002770A9" w:rsidP="002770A9">
            <w:pPr>
              <w:tabs>
                <w:tab w:val="clear" w:pos="720"/>
                <w:tab w:val="clear" w:pos="1296"/>
                <w:tab w:val="clear" w:pos="1872"/>
                <w:tab w:val="clear" w:pos="2448"/>
                <w:tab w:val="left" w:pos="-720"/>
              </w:tabs>
              <w:suppressAutoHyphens/>
              <w:spacing w:before="40" w:after="20" w:line="240" w:lineRule="auto"/>
              <w:jc w:val="center"/>
              <w:rPr>
                <w:rFonts w:ascii="Arial" w:hAnsi="Arial" w:cs="Arial"/>
                <w:kern w:val="0"/>
                <w:sz w:val="18"/>
                <w:szCs w:val="20"/>
                <w:lang w:val="en-US"/>
              </w:rPr>
            </w:pPr>
          </w:p>
        </w:tc>
      </w:tr>
      <w:tr w:rsidR="002770A9" w:rsidRPr="002770A9" w14:paraId="4C3FED8A" w14:textId="77777777" w:rsidTr="00376E61">
        <w:tblPrEx>
          <w:tblCellMar>
            <w:left w:w="28" w:type="dxa"/>
            <w:right w:w="28" w:type="dxa"/>
          </w:tblCellMar>
        </w:tblPrEx>
        <w:trPr>
          <w:trHeight w:val="270"/>
        </w:trPr>
        <w:tc>
          <w:tcPr>
            <w:tcW w:w="7230" w:type="dxa"/>
            <w:gridSpan w:val="9"/>
            <w:tcBorders>
              <w:bottom w:val="single" w:sz="6" w:space="0" w:color="auto"/>
              <w:right w:val="single" w:sz="6" w:space="0" w:color="auto"/>
            </w:tcBorders>
          </w:tcPr>
          <w:p w14:paraId="3E64F953" w14:textId="77777777" w:rsidR="002770A9" w:rsidRPr="002770A9" w:rsidRDefault="002770A9" w:rsidP="002770A9">
            <w:pPr>
              <w:tabs>
                <w:tab w:val="clear" w:pos="720"/>
                <w:tab w:val="clear" w:pos="1296"/>
                <w:tab w:val="clear" w:pos="1872"/>
                <w:tab w:val="clear" w:pos="2448"/>
                <w:tab w:val="left" w:pos="-720"/>
                <w:tab w:val="left" w:pos="5030"/>
              </w:tabs>
              <w:suppressAutoHyphens/>
              <w:spacing w:before="20" w:after="0" w:line="240" w:lineRule="auto"/>
              <w:rPr>
                <w:rFonts w:ascii="Arial" w:hAnsi="Arial" w:cs="Arial"/>
                <w:kern w:val="0"/>
                <w:sz w:val="18"/>
                <w:szCs w:val="20"/>
                <w:lang w:val="en-US"/>
              </w:rPr>
            </w:pPr>
            <w:r w:rsidRPr="002770A9">
              <w:rPr>
                <w:rFonts w:ascii="Arial" w:hAnsi="Arial" w:cs="Times New Roman"/>
                <w:sz w:val="18"/>
                <w:szCs w:val="20"/>
                <w:lang w:val="en-US"/>
              </w:rPr>
              <w:t xml:space="preserve">СТАТУТ НА ПРЕГЛЕДА НА ЛИЦЕНЗИРАНЕ:  </w:t>
            </w:r>
            <w:r w:rsidRPr="002770A9">
              <w:rPr>
                <w:rFonts w:ascii="Arial" w:hAnsi="Arial" w:cs="Arial"/>
                <w:b/>
                <w:sz w:val="18"/>
                <w:szCs w:val="20"/>
                <w:lang w:val="en-US"/>
              </w:rPr>
              <w:fldChar w:fldCharType="begin">
                <w:ffData>
                  <w:name w:val=""/>
                  <w:enabled/>
                  <w:calcOnExit w:val="0"/>
                  <w:helpText w:type="text" w:val="Вж. APP-GW-GAP-147, Приложение B."/>
                  <w:statusText w:type="text" w:val="Вж. APP-GW-GAP-147, Приложение B."/>
                  <w:ddList>
                    <w:listEntry w:val="Не се изисква"/>
                    <w:listEntry w:val="(Изберете едно)"/>
                    <w:listEntry w:val="Попълнено и приложено"/>
                    <w:listEntry w:val="Попълнено с референция"/>
                  </w:ddList>
                </w:ffData>
              </w:fldChar>
            </w:r>
            <w:r w:rsidRPr="002770A9">
              <w:rPr>
                <w:rFonts w:ascii="Arial" w:hAnsi="Arial" w:cs="Arial"/>
                <w:b/>
                <w:sz w:val="18"/>
                <w:szCs w:val="20"/>
                <w:lang w:val="en-US"/>
              </w:rPr>
              <w:instrText xml:space="preserve"> FORMDROPDOWN </w:instrText>
            </w:r>
            <w:r w:rsidR="00C469CC">
              <w:rPr>
                <w:rFonts w:ascii="Arial" w:hAnsi="Arial" w:cs="Arial"/>
                <w:b/>
                <w:sz w:val="18"/>
                <w:szCs w:val="20"/>
                <w:lang w:val="en-US"/>
              </w:rPr>
            </w:r>
            <w:r w:rsidR="00C469CC">
              <w:rPr>
                <w:rFonts w:ascii="Arial" w:hAnsi="Arial" w:cs="Arial"/>
                <w:b/>
                <w:sz w:val="18"/>
                <w:szCs w:val="20"/>
                <w:lang w:val="en-US"/>
              </w:rPr>
              <w:fldChar w:fldCharType="separate"/>
            </w:r>
            <w:r w:rsidRPr="002770A9">
              <w:rPr>
                <w:rFonts w:ascii="Arial" w:hAnsi="Arial" w:cs="Arial"/>
                <w:b/>
                <w:sz w:val="18"/>
                <w:szCs w:val="20"/>
                <w:lang w:val="en-US"/>
              </w:rPr>
              <w:fldChar w:fldCharType="end"/>
            </w:r>
            <w:r w:rsidRPr="002770A9">
              <w:rPr>
                <w:rFonts w:ascii="Arial" w:hAnsi="Arial" w:cs="Times New Roman"/>
                <w:b/>
                <w:sz w:val="18"/>
                <w:szCs w:val="20"/>
                <w:lang w:val="en-US"/>
              </w:rPr>
              <w:t xml:space="preserve"> </w:t>
            </w:r>
          </w:p>
        </w:tc>
        <w:tc>
          <w:tcPr>
            <w:tcW w:w="336" w:type="dxa"/>
            <w:gridSpan w:val="2"/>
            <w:tcBorders>
              <w:left w:val="single" w:sz="6" w:space="0" w:color="auto"/>
            </w:tcBorders>
          </w:tcPr>
          <w:p w14:paraId="42BDBF84" w14:textId="77777777" w:rsidR="002770A9" w:rsidRPr="002770A9" w:rsidRDefault="002770A9" w:rsidP="002770A9">
            <w:pPr>
              <w:tabs>
                <w:tab w:val="clear" w:pos="720"/>
                <w:tab w:val="clear" w:pos="1296"/>
                <w:tab w:val="clear" w:pos="1872"/>
                <w:tab w:val="clear" w:pos="2448"/>
                <w:tab w:val="left" w:pos="-720"/>
              </w:tabs>
              <w:suppressAutoHyphens/>
              <w:spacing w:after="20" w:line="240" w:lineRule="auto"/>
              <w:jc w:val="center"/>
              <w:rPr>
                <w:rFonts w:ascii="Arial" w:hAnsi="Arial" w:cs="Arial"/>
                <w:kern w:val="0"/>
                <w:sz w:val="18"/>
                <w:szCs w:val="20"/>
                <w:lang w:val="en-US"/>
              </w:rPr>
            </w:pPr>
          </w:p>
        </w:tc>
        <w:tc>
          <w:tcPr>
            <w:tcW w:w="3621" w:type="dxa"/>
            <w:gridSpan w:val="3"/>
          </w:tcPr>
          <w:p w14:paraId="0469070B" w14:textId="77777777" w:rsidR="002770A9" w:rsidRPr="002770A9" w:rsidRDefault="002770A9" w:rsidP="002770A9">
            <w:pPr>
              <w:tabs>
                <w:tab w:val="clear" w:pos="720"/>
                <w:tab w:val="clear" w:pos="1296"/>
                <w:tab w:val="clear" w:pos="1872"/>
                <w:tab w:val="clear" w:pos="2448"/>
                <w:tab w:val="left" w:pos="-720"/>
              </w:tabs>
              <w:suppressAutoHyphens/>
              <w:spacing w:before="20" w:after="0" w:line="240" w:lineRule="auto"/>
              <w:ind w:left="-29" w:right="-29"/>
              <w:jc w:val="center"/>
              <w:rPr>
                <w:rFonts w:ascii="Arial" w:hAnsi="Arial" w:cs="Arial"/>
                <w:kern w:val="0"/>
                <w:sz w:val="18"/>
                <w:szCs w:val="20"/>
                <w:lang w:val="en-US"/>
              </w:rPr>
            </w:pPr>
          </w:p>
        </w:tc>
      </w:tr>
      <w:tr w:rsidR="002770A9" w:rsidRPr="002770A9" w14:paraId="5B105021" w14:textId="77777777" w:rsidTr="00376E61">
        <w:tblPrEx>
          <w:tblCellMar>
            <w:left w:w="28" w:type="dxa"/>
            <w:right w:w="28" w:type="dxa"/>
          </w:tblCellMar>
        </w:tblPrEx>
        <w:trPr>
          <w:trHeight w:val="270"/>
        </w:trPr>
        <w:tc>
          <w:tcPr>
            <w:tcW w:w="7230" w:type="dxa"/>
            <w:gridSpan w:val="9"/>
            <w:tcBorders>
              <w:top w:val="single" w:sz="6" w:space="0" w:color="auto"/>
              <w:bottom w:val="single" w:sz="4" w:space="0" w:color="auto"/>
              <w:right w:val="single" w:sz="6" w:space="0" w:color="auto"/>
            </w:tcBorders>
          </w:tcPr>
          <w:p w14:paraId="4B8897FB" w14:textId="77777777" w:rsidR="002770A9" w:rsidRPr="002770A9" w:rsidRDefault="002770A9" w:rsidP="002770A9">
            <w:pPr>
              <w:tabs>
                <w:tab w:val="clear" w:pos="720"/>
                <w:tab w:val="clear" w:pos="1296"/>
                <w:tab w:val="clear" w:pos="1872"/>
                <w:tab w:val="clear" w:pos="2448"/>
                <w:tab w:val="left" w:pos="-720"/>
              </w:tabs>
              <w:suppressAutoHyphens/>
              <w:spacing w:before="40" w:after="0" w:line="240" w:lineRule="auto"/>
              <w:rPr>
                <w:rFonts w:ascii="Arial" w:hAnsi="Arial" w:cs="Arial"/>
                <w:kern w:val="0"/>
                <w:sz w:val="18"/>
                <w:szCs w:val="20"/>
                <w:lang w:val="en-US"/>
              </w:rPr>
            </w:pPr>
            <w:r w:rsidRPr="002770A9">
              <w:rPr>
                <w:rFonts w:ascii="Arial" w:hAnsi="Arial" w:cs="Times New Roman"/>
                <w:sz w:val="18"/>
                <w:szCs w:val="20"/>
                <w:lang w:val="en-US"/>
              </w:rPr>
              <w:t>КАТЕГОРИЯ ПО СЕИЗМОУСТОЙЧИВОСТ: Неприложимо</w:t>
            </w:r>
          </w:p>
        </w:tc>
        <w:tc>
          <w:tcPr>
            <w:tcW w:w="336" w:type="dxa"/>
            <w:gridSpan w:val="2"/>
            <w:tcBorders>
              <w:left w:val="single" w:sz="6" w:space="0" w:color="auto"/>
            </w:tcBorders>
          </w:tcPr>
          <w:p w14:paraId="523B51A6" w14:textId="77777777" w:rsidR="002770A9" w:rsidRPr="002770A9" w:rsidRDefault="002770A9" w:rsidP="002770A9">
            <w:pPr>
              <w:tabs>
                <w:tab w:val="clear" w:pos="720"/>
                <w:tab w:val="clear" w:pos="1296"/>
                <w:tab w:val="clear" w:pos="1872"/>
                <w:tab w:val="clear" w:pos="2448"/>
                <w:tab w:val="left" w:pos="-720"/>
              </w:tabs>
              <w:suppressAutoHyphens/>
              <w:spacing w:after="20" w:line="240" w:lineRule="auto"/>
              <w:jc w:val="center"/>
              <w:rPr>
                <w:rFonts w:ascii="Arial" w:hAnsi="Arial" w:cs="Arial"/>
                <w:kern w:val="0"/>
                <w:sz w:val="18"/>
                <w:szCs w:val="20"/>
                <w:lang w:val="en-US"/>
              </w:rPr>
            </w:pPr>
          </w:p>
        </w:tc>
        <w:tc>
          <w:tcPr>
            <w:tcW w:w="3621" w:type="dxa"/>
            <w:gridSpan w:val="3"/>
            <w:vAlign w:val="bottom"/>
          </w:tcPr>
          <w:p w14:paraId="48B8227F" w14:textId="77777777" w:rsidR="002770A9" w:rsidRPr="002770A9" w:rsidRDefault="002770A9" w:rsidP="002770A9">
            <w:pPr>
              <w:tabs>
                <w:tab w:val="clear" w:pos="720"/>
                <w:tab w:val="clear" w:pos="1296"/>
                <w:tab w:val="clear" w:pos="1872"/>
                <w:tab w:val="clear" w:pos="2448"/>
                <w:tab w:val="left" w:pos="-720"/>
              </w:tabs>
              <w:suppressAutoHyphens/>
              <w:spacing w:before="40" w:after="0" w:line="240" w:lineRule="auto"/>
              <w:jc w:val="center"/>
              <w:rPr>
                <w:rFonts w:ascii="Arial" w:hAnsi="Arial" w:cs="Arial"/>
                <w:kern w:val="0"/>
                <w:sz w:val="18"/>
                <w:szCs w:val="20"/>
                <w:lang w:val="en-US"/>
              </w:rPr>
            </w:pPr>
            <w:r w:rsidRPr="002770A9">
              <w:rPr>
                <w:rFonts w:ascii="Arial" w:hAnsi="Arial" w:cs="Arial"/>
                <w:kern w:val="0"/>
                <w:sz w:val="18"/>
                <w:szCs w:val="20"/>
                <w:lang w:val="en-US"/>
              </w:rPr>
              <w:t>PE Stamp (if required)</w:t>
            </w:r>
          </w:p>
        </w:tc>
      </w:tr>
      <w:tr w:rsidR="002770A9" w:rsidRPr="002770A9" w14:paraId="63F92A0F" w14:textId="77777777" w:rsidTr="00376E61">
        <w:tblPrEx>
          <w:tblCellMar>
            <w:left w:w="28" w:type="dxa"/>
            <w:right w:w="28" w:type="dxa"/>
          </w:tblCellMar>
        </w:tblPrEx>
        <w:trPr>
          <w:trHeight w:val="270"/>
        </w:trPr>
        <w:tc>
          <w:tcPr>
            <w:tcW w:w="7230" w:type="dxa"/>
            <w:gridSpan w:val="9"/>
            <w:tcBorders>
              <w:top w:val="single" w:sz="4" w:space="0" w:color="auto"/>
              <w:bottom w:val="dashed" w:sz="4" w:space="0" w:color="auto"/>
              <w:right w:val="single" w:sz="4" w:space="0" w:color="auto"/>
            </w:tcBorders>
          </w:tcPr>
          <w:p w14:paraId="1BDEF4B5" w14:textId="77777777" w:rsidR="002770A9" w:rsidRPr="002770A9" w:rsidRDefault="002770A9" w:rsidP="002770A9">
            <w:pPr>
              <w:tabs>
                <w:tab w:val="clear" w:pos="720"/>
                <w:tab w:val="clear" w:pos="1296"/>
                <w:tab w:val="clear" w:pos="1872"/>
                <w:tab w:val="clear" w:pos="2448"/>
                <w:tab w:val="left" w:pos="-720"/>
              </w:tabs>
              <w:suppressAutoHyphens/>
              <w:spacing w:before="40" w:after="0" w:line="240" w:lineRule="auto"/>
              <w:rPr>
                <w:rFonts w:ascii="Arial" w:hAnsi="Arial" w:cs="Arial"/>
                <w:kern w:val="0"/>
                <w:sz w:val="18"/>
                <w:szCs w:val="20"/>
                <w:lang w:val="en-US"/>
              </w:rPr>
            </w:pPr>
            <w:r w:rsidRPr="002770A9">
              <w:rPr>
                <w:rFonts w:ascii="Arial" w:hAnsi="Arial" w:cs="Times New Roman"/>
                <w:sz w:val="18"/>
                <w:szCs w:val="20"/>
                <w:lang w:val="en-US"/>
              </w:rPr>
              <w:t xml:space="preserve">ОЦЕНКА НА ПРИЛОЖИМОСТТА: </w:t>
            </w:r>
          </w:p>
        </w:tc>
        <w:tc>
          <w:tcPr>
            <w:tcW w:w="336" w:type="dxa"/>
            <w:gridSpan w:val="2"/>
            <w:tcBorders>
              <w:left w:val="single" w:sz="4" w:space="0" w:color="auto"/>
            </w:tcBorders>
          </w:tcPr>
          <w:p w14:paraId="535E7AC0" w14:textId="77777777" w:rsidR="002770A9" w:rsidRPr="002770A9" w:rsidRDefault="002770A9" w:rsidP="002770A9">
            <w:pPr>
              <w:tabs>
                <w:tab w:val="clear" w:pos="720"/>
                <w:tab w:val="clear" w:pos="1296"/>
                <w:tab w:val="clear" w:pos="1872"/>
                <w:tab w:val="clear" w:pos="2448"/>
                <w:tab w:val="left" w:pos="-720"/>
              </w:tabs>
              <w:suppressAutoHyphens/>
              <w:spacing w:after="20" w:line="240" w:lineRule="auto"/>
              <w:jc w:val="center"/>
              <w:rPr>
                <w:rFonts w:ascii="Arial" w:hAnsi="Arial" w:cs="Arial"/>
                <w:kern w:val="0"/>
                <w:sz w:val="18"/>
                <w:szCs w:val="20"/>
                <w:lang w:val="en-US"/>
              </w:rPr>
            </w:pPr>
          </w:p>
        </w:tc>
        <w:tc>
          <w:tcPr>
            <w:tcW w:w="3621" w:type="dxa"/>
            <w:gridSpan w:val="3"/>
            <w:vAlign w:val="bottom"/>
          </w:tcPr>
          <w:p w14:paraId="6A97FE06" w14:textId="77777777" w:rsidR="002770A9" w:rsidRPr="002770A9" w:rsidRDefault="002770A9" w:rsidP="002770A9">
            <w:pPr>
              <w:tabs>
                <w:tab w:val="clear" w:pos="720"/>
                <w:tab w:val="clear" w:pos="1296"/>
                <w:tab w:val="clear" w:pos="1872"/>
                <w:tab w:val="clear" w:pos="2448"/>
                <w:tab w:val="left" w:pos="-720"/>
              </w:tabs>
              <w:suppressAutoHyphens/>
              <w:spacing w:before="40" w:after="0" w:line="240" w:lineRule="auto"/>
              <w:jc w:val="center"/>
              <w:rPr>
                <w:rFonts w:ascii="Arial" w:hAnsi="Arial" w:cs="Arial"/>
                <w:kern w:val="0"/>
                <w:sz w:val="18"/>
                <w:szCs w:val="20"/>
                <w:lang w:val="en-US"/>
              </w:rPr>
            </w:pPr>
          </w:p>
        </w:tc>
      </w:tr>
      <w:tr w:rsidR="002770A9" w:rsidRPr="002770A9" w14:paraId="2FDEC981" w14:textId="77777777" w:rsidTr="00376E61">
        <w:tblPrEx>
          <w:tblCellMar>
            <w:left w:w="28" w:type="dxa"/>
            <w:right w:w="28" w:type="dxa"/>
          </w:tblCellMar>
        </w:tblPrEx>
        <w:trPr>
          <w:trHeight w:hRule="exact" w:val="288"/>
        </w:trPr>
        <w:tc>
          <w:tcPr>
            <w:tcW w:w="7230" w:type="dxa"/>
            <w:gridSpan w:val="9"/>
            <w:tcBorders>
              <w:top w:val="dashed" w:sz="4" w:space="0" w:color="auto"/>
              <w:right w:val="single" w:sz="6" w:space="0" w:color="auto"/>
            </w:tcBorders>
          </w:tcPr>
          <w:p w14:paraId="68CF6148" w14:textId="77777777" w:rsidR="002770A9" w:rsidRPr="002770A9" w:rsidRDefault="002770A9" w:rsidP="002770A9">
            <w:pPr>
              <w:tabs>
                <w:tab w:val="clear" w:pos="720"/>
                <w:tab w:val="clear" w:pos="1296"/>
                <w:tab w:val="clear" w:pos="1872"/>
                <w:tab w:val="clear" w:pos="2448"/>
                <w:tab w:val="left" w:pos="-720"/>
              </w:tabs>
              <w:suppressAutoHyphens/>
              <w:spacing w:before="20" w:after="0" w:line="240" w:lineRule="auto"/>
              <w:rPr>
                <w:rFonts w:ascii="Arial" w:hAnsi="Arial" w:cs="Arial"/>
                <w:b/>
                <w:kern w:val="0"/>
                <w:sz w:val="18"/>
                <w:szCs w:val="20"/>
                <w:lang w:val="en-US"/>
              </w:rPr>
            </w:pPr>
            <w:r w:rsidRPr="002770A9">
              <w:rPr>
                <w:rFonts w:ascii="Arial" w:hAnsi="Arial" w:cs="Times New Roman"/>
                <w:sz w:val="18"/>
                <w:szCs w:val="20"/>
                <w:lang w:val="en-US"/>
              </w:rPr>
              <w:t xml:space="preserve">Отнася се за следните централи: </w:t>
            </w:r>
          </w:p>
          <w:p w14:paraId="76D3ED35" w14:textId="77777777" w:rsidR="002770A9" w:rsidRPr="002770A9" w:rsidRDefault="002770A9" w:rsidP="002770A9">
            <w:pPr>
              <w:tabs>
                <w:tab w:val="clear" w:pos="720"/>
                <w:tab w:val="clear" w:pos="1296"/>
                <w:tab w:val="clear" w:pos="1872"/>
                <w:tab w:val="clear" w:pos="2448"/>
                <w:tab w:val="left" w:pos="-720"/>
              </w:tabs>
              <w:suppressAutoHyphens/>
              <w:spacing w:before="20" w:after="0" w:line="240" w:lineRule="auto"/>
              <w:rPr>
                <w:rFonts w:ascii="Arial" w:hAnsi="Arial" w:cs="Arial"/>
                <w:b/>
                <w:kern w:val="0"/>
                <w:sz w:val="18"/>
                <w:szCs w:val="20"/>
                <w:lang w:val="en-US"/>
              </w:rPr>
            </w:pPr>
          </w:p>
        </w:tc>
        <w:tc>
          <w:tcPr>
            <w:tcW w:w="336" w:type="dxa"/>
            <w:gridSpan w:val="2"/>
            <w:tcBorders>
              <w:left w:val="single" w:sz="6" w:space="0" w:color="auto"/>
            </w:tcBorders>
          </w:tcPr>
          <w:p w14:paraId="3B3FF33B" w14:textId="77777777" w:rsidR="002770A9" w:rsidRPr="002770A9" w:rsidRDefault="002770A9" w:rsidP="002770A9">
            <w:pPr>
              <w:tabs>
                <w:tab w:val="clear" w:pos="720"/>
                <w:tab w:val="clear" w:pos="1296"/>
                <w:tab w:val="clear" w:pos="1872"/>
                <w:tab w:val="clear" w:pos="2448"/>
                <w:tab w:val="left" w:pos="-720"/>
              </w:tabs>
              <w:suppressAutoHyphens/>
              <w:spacing w:before="20" w:after="0" w:line="240" w:lineRule="auto"/>
              <w:rPr>
                <w:rFonts w:ascii="Arial" w:hAnsi="Arial" w:cs="Arial"/>
                <w:kern w:val="0"/>
                <w:sz w:val="18"/>
                <w:szCs w:val="20"/>
                <w:lang w:val="en-US"/>
              </w:rPr>
            </w:pPr>
          </w:p>
        </w:tc>
        <w:tc>
          <w:tcPr>
            <w:tcW w:w="3621" w:type="dxa"/>
            <w:gridSpan w:val="3"/>
            <w:tcBorders>
              <w:left w:val="nil"/>
            </w:tcBorders>
          </w:tcPr>
          <w:p w14:paraId="1F62E458" w14:textId="77777777" w:rsidR="002770A9" w:rsidRPr="002770A9" w:rsidRDefault="002770A9" w:rsidP="002770A9">
            <w:pPr>
              <w:tabs>
                <w:tab w:val="clear" w:pos="720"/>
                <w:tab w:val="clear" w:pos="1296"/>
                <w:tab w:val="clear" w:pos="1872"/>
                <w:tab w:val="clear" w:pos="2448"/>
                <w:tab w:val="left" w:pos="-720"/>
              </w:tabs>
              <w:suppressAutoHyphens/>
              <w:spacing w:after="0" w:line="240" w:lineRule="auto"/>
              <w:jc w:val="center"/>
              <w:rPr>
                <w:rFonts w:ascii="Arial" w:hAnsi="Arial" w:cs="Arial"/>
                <w:kern w:val="0"/>
                <w:sz w:val="18"/>
                <w:szCs w:val="20"/>
                <w:lang w:val="en-US"/>
              </w:rPr>
            </w:pPr>
          </w:p>
        </w:tc>
      </w:tr>
      <w:tr w:rsidR="002770A9" w:rsidRPr="002770A9" w14:paraId="07047E00" w14:textId="77777777" w:rsidTr="00376E61">
        <w:tblPrEx>
          <w:tblCellMar>
            <w:left w:w="28" w:type="dxa"/>
            <w:right w:w="28" w:type="dxa"/>
          </w:tblCellMar>
        </w:tblPrEx>
        <w:trPr>
          <w:gridAfter w:val="2"/>
          <w:wAfter w:w="365" w:type="dxa"/>
          <w:trHeight w:hRule="exact" w:val="503"/>
        </w:trPr>
        <w:tc>
          <w:tcPr>
            <w:tcW w:w="3292" w:type="dxa"/>
            <w:gridSpan w:val="4"/>
          </w:tcPr>
          <w:p w14:paraId="10E522EC" w14:textId="77777777" w:rsidR="002770A9" w:rsidRPr="002770A9" w:rsidRDefault="002770A9" w:rsidP="002770A9">
            <w:pPr>
              <w:tabs>
                <w:tab w:val="clear" w:pos="720"/>
                <w:tab w:val="clear" w:pos="1296"/>
                <w:tab w:val="clear" w:pos="1872"/>
                <w:tab w:val="clear" w:pos="2448"/>
                <w:tab w:val="left" w:pos="-720"/>
              </w:tabs>
              <w:suppressAutoHyphens/>
              <w:spacing w:before="20" w:after="0" w:line="240" w:lineRule="auto"/>
              <w:rPr>
                <w:rFonts w:ascii="Arial" w:hAnsi="Arial" w:cs="Arial"/>
                <w:b/>
                <w:kern w:val="0"/>
                <w:sz w:val="18"/>
                <w:szCs w:val="20"/>
                <w:lang w:val="en-US"/>
              </w:rPr>
            </w:pPr>
            <w:r w:rsidRPr="002770A9">
              <w:rPr>
                <w:rFonts w:ascii="Arial" w:hAnsi="Arial" w:cs="Arial"/>
                <w:kern w:val="0"/>
                <w:sz w:val="18"/>
                <w:szCs w:val="20"/>
                <w:lang w:val="en-US"/>
              </w:rPr>
              <w:t>FTR</w:t>
            </w:r>
          </w:p>
        </w:tc>
        <w:tc>
          <w:tcPr>
            <w:tcW w:w="3938" w:type="dxa"/>
            <w:gridSpan w:val="5"/>
            <w:tcBorders>
              <w:left w:val="nil"/>
              <w:right w:val="single" w:sz="6" w:space="0" w:color="auto"/>
            </w:tcBorders>
          </w:tcPr>
          <w:p w14:paraId="41796F08" w14:textId="77777777" w:rsidR="002770A9" w:rsidRPr="002770A9" w:rsidRDefault="002770A9" w:rsidP="002770A9">
            <w:pPr>
              <w:tabs>
                <w:tab w:val="clear" w:pos="720"/>
                <w:tab w:val="clear" w:pos="1296"/>
                <w:tab w:val="clear" w:pos="1872"/>
                <w:tab w:val="clear" w:pos="2448"/>
                <w:tab w:val="left" w:pos="-720"/>
              </w:tabs>
              <w:suppressAutoHyphens/>
              <w:spacing w:before="20" w:after="0" w:line="240" w:lineRule="auto"/>
              <w:rPr>
                <w:rFonts w:ascii="Arial" w:hAnsi="Arial" w:cs="Arial"/>
                <w:b/>
                <w:kern w:val="0"/>
                <w:sz w:val="18"/>
                <w:szCs w:val="20"/>
                <w:lang w:val="en-US"/>
              </w:rPr>
            </w:pPr>
          </w:p>
        </w:tc>
        <w:tc>
          <w:tcPr>
            <w:tcW w:w="164" w:type="dxa"/>
            <w:tcBorders>
              <w:left w:val="single" w:sz="6" w:space="0" w:color="auto"/>
            </w:tcBorders>
          </w:tcPr>
          <w:p w14:paraId="6AA561B1" w14:textId="77777777" w:rsidR="002770A9" w:rsidRPr="002770A9" w:rsidRDefault="002770A9" w:rsidP="002770A9">
            <w:pPr>
              <w:tabs>
                <w:tab w:val="clear" w:pos="720"/>
                <w:tab w:val="clear" w:pos="1296"/>
                <w:tab w:val="clear" w:pos="1872"/>
                <w:tab w:val="clear" w:pos="2448"/>
                <w:tab w:val="left" w:pos="-720"/>
              </w:tabs>
              <w:suppressAutoHyphens/>
              <w:spacing w:before="20" w:after="0" w:line="240" w:lineRule="auto"/>
              <w:rPr>
                <w:rFonts w:ascii="Arial" w:hAnsi="Arial" w:cs="Arial"/>
                <w:kern w:val="0"/>
                <w:sz w:val="18"/>
                <w:szCs w:val="20"/>
                <w:lang w:val="en-US"/>
              </w:rPr>
            </w:pPr>
          </w:p>
        </w:tc>
        <w:tc>
          <w:tcPr>
            <w:tcW w:w="3428" w:type="dxa"/>
            <w:gridSpan w:val="2"/>
            <w:tcBorders>
              <w:left w:val="nil"/>
            </w:tcBorders>
          </w:tcPr>
          <w:p w14:paraId="65A1B0B2" w14:textId="77777777" w:rsidR="002770A9" w:rsidRPr="002770A9" w:rsidRDefault="002770A9" w:rsidP="002770A9">
            <w:pPr>
              <w:tabs>
                <w:tab w:val="clear" w:pos="720"/>
                <w:tab w:val="clear" w:pos="1296"/>
                <w:tab w:val="clear" w:pos="1872"/>
                <w:tab w:val="clear" w:pos="2448"/>
                <w:tab w:val="left" w:pos="-720"/>
              </w:tabs>
              <w:suppressAutoHyphens/>
              <w:spacing w:after="0" w:line="240" w:lineRule="auto"/>
              <w:jc w:val="center"/>
              <w:rPr>
                <w:rFonts w:ascii="Arial" w:hAnsi="Arial" w:cs="Arial"/>
                <w:kern w:val="0"/>
                <w:sz w:val="18"/>
                <w:szCs w:val="20"/>
                <w:lang w:val="en-US"/>
              </w:rPr>
            </w:pPr>
          </w:p>
        </w:tc>
      </w:tr>
      <w:tr w:rsidR="002770A9" w:rsidRPr="002770A9" w14:paraId="144AAA1B" w14:textId="77777777" w:rsidTr="00376E61">
        <w:tblPrEx>
          <w:tblCellMar>
            <w:left w:w="28" w:type="dxa"/>
            <w:right w:w="28" w:type="dxa"/>
          </w:tblCellMar>
        </w:tblPrEx>
        <w:trPr>
          <w:gridAfter w:val="2"/>
          <w:wAfter w:w="365" w:type="dxa"/>
          <w:trHeight w:val="20"/>
        </w:trPr>
        <w:tc>
          <w:tcPr>
            <w:tcW w:w="3292" w:type="dxa"/>
            <w:gridSpan w:val="4"/>
            <w:tcMar>
              <w:left w:w="29" w:type="dxa"/>
              <w:right w:w="29" w:type="dxa"/>
            </w:tcMar>
          </w:tcPr>
          <w:p w14:paraId="6CAE5A28" w14:textId="77777777" w:rsidR="002770A9" w:rsidRPr="002770A9" w:rsidRDefault="002770A9" w:rsidP="002770A9">
            <w:pPr>
              <w:tabs>
                <w:tab w:val="clear" w:pos="720"/>
                <w:tab w:val="clear" w:pos="1296"/>
                <w:tab w:val="clear" w:pos="1872"/>
                <w:tab w:val="clear" w:pos="2448"/>
                <w:tab w:val="left" w:pos="-720"/>
              </w:tabs>
              <w:suppressAutoHyphens/>
              <w:spacing w:before="60" w:after="0" w:line="240" w:lineRule="auto"/>
              <w:rPr>
                <w:rFonts w:ascii="Arial" w:hAnsi="Arial" w:cs="Arial"/>
                <w:kern w:val="0"/>
                <w:sz w:val="18"/>
                <w:szCs w:val="20"/>
                <w:lang w:val="en-US"/>
              </w:rPr>
            </w:pPr>
          </w:p>
        </w:tc>
        <w:tc>
          <w:tcPr>
            <w:tcW w:w="3938" w:type="dxa"/>
            <w:gridSpan w:val="5"/>
            <w:tcBorders>
              <w:left w:val="nil"/>
              <w:right w:val="single" w:sz="6" w:space="0" w:color="auto"/>
            </w:tcBorders>
            <w:tcMar>
              <w:left w:w="29" w:type="dxa"/>
              <w:right w:w="29" w:type="dxa"/>
            </w:tcMar>
          </w:tcPr>
          <w:p w14:paraId="77C5AB30" w14:textId="77777777" w:rsidR="002770A9" w:rsidRPr="002770A9" w:rsidRDefault="002770A9" w:rsidP="002770A9">
            <w:pPr>
              <w:tabs>
                <w:tab w:val="clear" w:pos="720"/>
                <w:tab w:val="clear" w:pos="1296"/>
                <w:tab w:val="clear" w:pos="1872"/>
                <w:tab w:val="clear" w:pos="2448"/>
                <w:tab w:val="left" w:pos="-720"/>
              </w:tabs>
              <w:suppressAutoHyphens/>
              <w:spacing w:before="60" w:after="0" w:line="240" w:lineRule="auto"/>
              <w:rPr>
                <w:rFonts w:ascii="Arial" w:hAnsi="Arial" w:cs="Arial"/>
                <w:kern w:val="0"/>
                <w:sz w:val="18"/>
                <w:szCs w:val="20"/>
                <w:lang w:val="en-US"/>
              </w:rPr>
            </w:pPr>
          </w:p>
        </w:tc>
        <w:tc>
          <w:tcPr>
            <w:tcW w:w="164" w:type="dxa"/>
            <w:tcBorders>
              <w:left w:val="single" w:sz="6" w:space="0" w:color="auto"/>
            </w:tcBorders>
            <w:noWrap/>
            <w:tcMar>
              <w:left w:w="29" w:type="dxa"/>
              <w:right w:w="29" w:type="dxa"/>
            </w:tcMar>
          </w:tcPr>
          <w:p w14:paraId="7545379C" w14:textId="77777777" w:rsidR="002770A9" w:rsidRPr="002770A9" w:rsidRDefault="002770A9" w:rsidP="002770A9">
            <w:pPr>
              <w:tabs>
                <w:tab w:val="clear" w:pos="720"/>
                <w:tab w:val="clear" w:pos="1296"/>
                <w:tab w:val="clear" w:pos="1872"/>
                <w:tab w:val="clear" w:pos="2448"/>
                <w:tab w:val="left" w:pos="-720"/>
              </w:tabs>
              <w:suppressAutoHyphens/>
              <w:spacing w:before="60" w:after="0" w:line="240" w:lineRule="auto"/>
              <w:jc w:val="center"/>
              <w:rPr>
                <w:rFonts w:ascii="Arial" w:hAnsi="Arial" w:cs="Arial"/>
                <w:kern w:val="0"/>
                <w:sz w:val="18"/>
                <w:szCs w:val="20"/>
                <w:lang w:val="en-US"/>
              </w:rPr>
            </w:pPr>
          </w:p>
        </w:tc>
        <w:tc>
          <w:tcPr>
            <w:tcW w:w="3428" w:type="dxa"/>
            <w:gridSpan w:val="2"/>
          </w:tcPr>
          <w:p w14:paraId="7B736084" w14:textId="77777777" w:rsidR="002770A9" w:rsidRPr="002770A9" w:rsidRDefault="002770A9" w:rsidP="002770A9">
            <w:pPr>
              <w:tabs>
                <w:tab w:val="clear" w:pos="720"/>
                <w:tab w:val="clear" w:pos="1296"/>
                <w:tab w:val="clear" w:pos="1872"/>
                <w:tab w:val="clear" w:pos="2448"/>
                <w:tab w:val="left" w:pos="-720"/>
              </w:tabs>
              <w:suppressAutoHyphens/>
              <w:spacing w:after="0" w:line="240" w:lineRule="auto"/>
              <w:ind w:left="-29" w:firstLine="29"/>
              <w:jc w:val="center"/>
              <w:rPr>
                <w:rFonts w:ascii="Arial" w:hAnsi="Arial" w:cs="Arial"/>
                <w:kern w:val="0"/>
                <w:sz w:val="18"/>
                <w:szCs w:val="20"/>
                <w:lang w:val="en-US"/>
              </w:rPr>
            </w:pPr>
          </w:p>
        </w:tc>
      </w:tr>
      <w:tr w:rsidR="002770A9" w:rsidRPr="002770A9" w14:paraId="4C00538B" w14:textId="77777777" w:rsidTr="00376E61">
        <w:tblPrEx>
          <w:tblCellMar>
            <w:left w:w="28" w:type="dxa"/>
            <w:right w:w="28" w:type="dxa"/>
          </w:tblCellMar>
        </w:tblPrEx>
        <w:trPr>
          <w:gridAfter w:val="1"/>
          <w:wAfter w:w="126" w:type="dxa"/>
          <w:trHeight w:hRule="exact" w:val="29"/>
        </w:trPr>
        <w:tc>
          <w:tcPr>
            <w:tcW w:w="7230" w:type="dxa"/>
            <w:gridSpan w:val="9"/>
            <w:tcBorders>
              <w:right w:val="single" w:sz="6" w:space="0" w:color="auto"/>
            </w:tcBorders>
          </w:tcPr>
          <w:p w14:paraId="0F6C94EB" w14:textId="77777777" w:rsidR="002770A9" w:rsidRPr="002770A9" w:rsidRDefault="002770A9" w:rsidP="002770A9">
            <w:pPr>
              <w:tabs>
                <w:tab w:val="clear" w:pos="720"/>
                <w:tab w:val="clear" w:pos="1296"/>
                <w:tab w:val="clear" w:pos="1872"/>
                <w:tab w:val="clear" w:pos="2448"/>
                <w:tab w:val="left" w:pos="-720"/>
              </w:tabs>
              <w:suppressAutoHyphens/>
              <w:spacing w:before="60" w:after="0" w:line="240" w:lineRule="auto"/>
              <w:jc w:val="center"/>
              <w:rPr>
                <w:rFonts w:ascii="Arial" w:hAnsi="Arial" w:cs="Arial"/>
                <w:kern w:val="0"/>
                <w:sz w:val="18"/>
                <w:szCs w:val="20"/>
                <w:lang w:val="en-US"/>
              </w:rPr>
            </w:pPr>
          </w:p>
        </w:tc>
        <w:tc>
          <w:tcPr>
            <w:tcW w:w="3831" w:type="dxa"/>
            <w:gridSpan w:val="4"/>
            <w:tcBorders>
              <w:left w:val="single" w:sz="6" w:space="0" w:color="auto"/>
              <w:bottom w:val="single" w:sz="8" w:space="0" w:color="auto"/>
            </w:tcBorders>
          </w:tcPr>
          <w:p w14:paraId="5399BD4F" w14:textId="77777777" w:rsidR="002770A9" w:rsidRPr="002770A9" w:rsidRDefault="002770A9" w:rsidP="002770A9">
            <w:pPr>
              <w:tabs>
                <w:tab w:val="clear" w:pos="720"/>
                <w:tab w:val="clear" w:pos="1296"/>
                <w:tab w:val="clear" w:pos="1872"/>
                <w:tab w:val="clear" w:pos="2448"/>
                <w:tab w:val="left" w:pos="-720"/>
              </w:tabs>
              <w:suppressAutoHyphens/>
              <w:spacing w:before="60" w:after="0" w:line="240" w:lineRule="auto"/>
              <w:jc w:val="center"/>
              <w:rPr>
                <w:rFonts w:ascii="Arial" w:hAnsi="Arial" w:cs="Arial"/>
                <w:kern w:val="0"/>
                <w:sz w:val="18"/>
                <w:szCs w:val="20"/>
                <w:lang w:val="en-US"/>
              </w:rPr>
            </w:pPr>
          </w:p>
        </w:tc>
      </w:tr>
      <w:tr w:rsidR="002770A9" w:rsidRPr="002770A9" w14:paraId="5507BB13" w14:textId="77777777" w:rsidTr="00376E61">
        <w:tblPrEx>
          <w:tblCellMar>
            <w:left w:w="28" w:type="dxa"/>
            <w:right w:w="28" w:type="dxa"/>
          </w:tblCellMar>
        </w:tblPrEx>
        <w:trPr>
          <w:gridAfter w:val="1"/>
          <w:wAfter w:w="126" w:type="dxa"/>
          <w:trHeight w:hRule="exact" w:val="288"/>
        </w:trPr>
        <w:tc>
          <w:tcPr>
            <w:tcW w:w="7230" w:type="dxa"/>
            <w:gridSpan w:val="9"/>
            <w:tcBorders>
              <w:top w:val="single" w:sz="8" w:space="0" w:color="auto"/>
              <w:bottom w:val="single" w:sz="8" w:space="0" w:color="auto"/>
            </w:tcBorders>
          </w:tcPr>
          <w:p w14:paraId="4391DF27" w14:textId="77777777" w:rsidR="002770A9" w:rsidRPr="002770A9" w:rsidRDefault="002770A9" w:rsidP="002770A9">
            <w:pPr>
              <w:tabs>
                <w:tab w:val="clear" w:pos="720"/>
                <w:tab w:val="clear" w:pos="1296"/>
                <w:tab w:val="clear" w:pos="1872"/>
                <w:tab w:val="clear" w:pos="2448"/>
                <w:tab w:val="left" w:pos="-720"/>
              </w:tabs>
              <w:suppressAutoHyphens/>
              <w:spacing w:before="40" w:after="0" w:line="240" w:lineRule="auto"/>
              <w:rPr>
                <w:rFonts w:ascii="Arial" w:hAnsi="Arial" w:cs="Arial"/>
                <w:kern w:val="0"/>
                <w:sz w:val="18"/>
                <w:szCs w:val="20"/>
                <w:lang w:val="en-US"/>
              </w:rPr>
            </w:pPr>
            <w:r w:rsidRPr="002770A9">
              <w:rPr>
                <w:rFonts w:ascii="Arial" w:hAnsi="Arial" w:cs="Times New Roman"/>
                <w:sz w:val="18"/>
                <w:szCs w:val="20"/>
                <w:lang w:val="en-US"/>
              </w:rPr>
              <w:t xml:space="preserve">АЛТЕРНАТИВЕН НОМЕР НА ДОКУМЕНТА:  </w:t>
            </w:r>
            <w:r w:rsidRPr="002770A9">
              <w:rPr>
                <w:rFonts w:ascii="Arial" w:hAnsi="Arial" w:cs="Times New Roman"/>
                <w:sz w:val="16"/>
                <w:szCs w:val="20"/>
                <w:lang w:val="en-US"/>
              </w:rPr>
              <w:t>Неприложимо</w:t>
            </w:r>
          </w:p>
        </w:tc>
        <w:tc>
          <w:tcPr>
            <w:tcW w:w="3831" w:type="dxa"/>
            <w:gridSpan w:val="4"/>
            <w:tcBorders>
              <w:top w:val="single" w:sz="8" w:space="0" w:color="auto"/>
              <w:bottom w:val="single" w:sz="8" w:space="0" w:color="auto"/>
            </w:tcBorders>
          </w:tcPr>
          <w:p w14:paraId="4E2AA4F9" w14:textId="77777777" w:rsidR="002770A9" w:rsidRPr="002770A9" w:rsidRDefault="002770A9" w:rsidP="002770A9">
            <w:pPr>
              <w:tabs>
                <w:tab w:val="clear" w:pos="720"/>
                <w:tab w:val="clear" w:pos="1296"/>
                <w:tab w:val="clear" w:pos="1872"/>
                <w:tab w:val="clear" w:pos="2448"/>
                <w:tab w:val="left" w:pos="-720"/>
              </w:tabs>
              <w:suppressAutoHyphens/>
              <w:spacing w:before="40" w:after="0" w:line="240" w:lineRule="auto"/>
              <w:rPr>
                <w:rFonts w:ascii="Arial" w:hAnsi="Arial" w:cs="Arial"/>
                <w:kern w:val="0"/>
                <w:sz w:val="18"/>
                <w:szCs w:val="20"/>
                <w:lang w:val="en-US"/>
              </w:rPr>
            </w:pPr>
          </w:p>
        </w:tc>
      </w:tr>
      <w:tr w:rsidR="002770A9" w:rsidRPr="002770A9" w14:paraId="66D1DA5D" w14:textId="77777777" w:rsidTr="00376E61">
        <w:tblPrEx>
          <w:tblCellMar>
            <w:left w:w="28" w:type="dxa"/>
            <w:right w:w="28" w:type="dxa"/>
          </w:tblCellMar>
        </w:tblPrEx>
        <w:trPr>
          <w:gridAfter w:val="1"/>
          <w:wAfter w:w="126" w:type="dxa"/>
          <w:trHeight w:val="781"/>
        </w:trPr>
        <w:tc>
          <w:tcPr>
            <w:tcW w:w="1433" w:type="dxa"/>
            <w:gridSpan w:val="2"/>
            <w:tcBorders>
              <w:top w:val="single" w:sz="8" w:space="0" w:color="auto"/>
              <w:bottom w:val="single" w:sz="8" w:space="0" w:color="auto"/>
            </w:tcBorders>
          </w:tcPr>
          <w:p w14:paraId="24A0A0D8" w14:textId="77777777" w:rsidR="002770A9" w:rsidRPr="002770A9" w:rsidRDefault="002770A9" w:rsidP="002770A9">
            <w:pPr>
              <w:tabs>
                <w:tab w:val="clear" w:pos="720"/>
                <w:tab w:val="clear" w:pos="1296"/>
                <w:tab w:val="clear" w:pos="1872"/>
                <w:tab w:val="clear" w:pos="2448"/>
              </w:tabs>
              <w:suppressAutoHyphens/>
              <w:spacing w:before="40" w:after="0" w:line="240" w:lineRule="auto"/>
              <w:ind w:left="878" w:hanging="878"/>
              <w:rPr>
                <w:rFonts w:ascii="Arial" w:hAnsi="Arial" w:cs="Arial"/>
                <w:kern w:val="0"/>
                <w:sz w:val="24"/>
                <w:lang w:val="en-US"/>
              </w:rPr>
            </w:pPr>
            <w:r w:rsidRPr="002770A9">
              <w:rPr>
                <w:rFonts w:ascii="Arial" w:hAnsi="Arial" w:cs="Times New Roman"/>
                <w:sz w:val="24"/>
                <w:szCs w:val="20"/>
                <w:lang w:val="en-US"/>
              </w:rPr>
              <w:t>ЗАГЛАВИЕ:</w:t>
            </w:r>
          </w:p>
        </w:tc>
        <w:tc>
          <w:tcPr>
            <w:tcW w:w="9628" w:type="dxa"/>
            <w:gridSpan w:val="11"/>
            <w:tcBorders>
              <w:top w:val="single" w:sz="8" w:space="0" w:color="auto"/>
              <w:bottom w:val="single" w:sz="8" w:space="0" w:color="auto"/>
            </w:tcBorders>
          </w:tcPr>
          <w:p w14:paraId="4147493F" w14:textId="752D2157" w:rsidR="002770A9" w:rsidRPr="002770A9" w:rsidRDefault="002770A9" w:rsidP="002770A9">
            <w:pPr>
              <w:tabs>
                <w:tab w:val="clear" w:pos="720"/>
                <w:tab w:val="clear" w:pos="1296"/>
                <w:tab w:val="clear" w:pos="1872"/>
                <w:tab w:val="clear" w:pos="2448"/>
              </w:tabs>
              <w:suppressAutoHyphens/>
              <w:spacing w:before="40" w:after="0" w:line="240" w:lineRule="auto"/>
              <w:ind w:right="125"/>
              <w:rPr>
                <w:rFonts w:ascii="Arial" w:hAnsi="Arial" w:cs="Arial"/>
                <w:kern w:val="0"/>
                <w:sz w:val="24"/>
                <w:lang w:val="en-US"/>
              </w:rPr>
            </w:pPr>
            <w:r w:rsidRPr="002770A9">
              <w:rPr>
                <w:rFonts w:ascii="Arial" w:hAnsi="Arial" w:cs="Times New Roman"/>
                <w:sz w:val="24"/>
                <w:szCs w:val="20"/>
                <w:lang w:val="en-US"/>
              </w:rPr>
              <w:t>Оценка на съответствието на централата AP1000</w:t>
            </w:r>
            <w:r w:rsidRPr="00C8793C">
              <w:rPr>
                <w:rFonts w:ascii="Arial" w:hAnsi="Arial" w:cs="Times New Roman"/>
                <w:sz w:val="24"/>
                <w:szCs w:val="20"/>
                <w:vertAlign w:val="superscript"/>
                <w:lang w:val="en-US"/>
              </w:rPr>
              <w:t>®</w:t>
            </w:r>
            <w:r w:rsidRPr="002770A9">
              <w:rPr>
                <w:rFonts w:ascii="Arial" w:hAnsi="Arial" w:cs="Times New Roman"/>
                <w:sz w:val="24"/>
                <w:szCs w:val="20"/>
                <w:lang w:val="en-US"/>
              </w:rPr>
              <w:t xml:space="preserve"> със стандартите за безопасност на МААЕ № GSR, Част 3, Радиационна защита и безопасност на източниците на </w:t>
            </w:r>
            <w:r w:rsidR="00AD07CA">
              <w:rPr>
                <w:rFonts w:ascii="Arial" w:hAnsi="Arial" w:cs="Times New Roman"/>
                <w:sz w:val="24"/>
                <w:szCs w:val="20"/>
              </w:rPr>
              <w:t>йонизиращи лъчения</w:t>
            </w:r>
            <w:r w:rsidRPr="002770A9">
              <w:rPr>
                <w:rFonts w:ascii="Arial" w:hAnsi="Arial" w:cs="Times New Roman"/>
                <w:sz w:val="24"/>
                <w:szCs w:val="20"/>
                <w:lang w:val="en-US"/>
              </w:rPr>
              <w:t>: Международни основни стандарти за безопасност</w:t>
            </w:r>
          </w:p>
        </w:tc>
      </w:tr>
      <w:tr w:rsidR="002770A9" w:rsidRPr="002770A9" w14:paraId="6DAA31F2" w14:textId="77777777" w:rsidTr="00376E61">
        <w:tblPrEx>
          <w:tblCellMar>
            <w:left w:w="28" w:type="dxa"/>
            <w:right w:w="28" w:type="dxa"/>
          </w:tblCellMar>
        </w:tblPrEx>
        <w:trPr>
          <w:gridAfter w:val="1"/>
          <w:wAfter w:w="126" w:type="dxa"/>
          <w:trHeight w:val="637"/>
        </w:trPr>
        <w:tc>
          <w:tcPr>
            <w:tcW w:w="7230" w:type="dxa"/>
            <w:gridSpan w:val="9"/>
            <w:tcBorders>
              <w:top w:val="single" w:sz="8" w:space="0" w:color="auto"/>
              <w:bottom w:val="single" w:sz="8" w:space="0" w:color="auto"/>
            </w:tcBorders>
          </w:tcPr>
          <w:p w14:paraId="1BB311E1" w14:textId="77777777" w:rsidR="002770A9" w:rsidRPr="002770A9" w:rsidRDefault="002770A9" w:rsidP="002770A9">
            <w:pPr>
              <w:tabs>
                <w:tab w:val="clear" w:pos="720"/>
                <w:tab w:val="clear" w:pos="1296"/>
                <w:tab w:val="clear" w:pos="1872"/>
                <w:tab w:val="clear" w:pos="2448"/>
                <w:tab w:val="left" w:pos="-720"/>
              </w:tabs>
              <w:suppressAutoHyphens/>
              <w:spacing w:before="40" w:after="0" w:line="240" w:lineRule="auto"/>
              <w:rPr>
                <w:rFonts w:ascii="Arial" w:hAnsi="Arial" w:cs="Arial"/>
                <w:kern w:val="0"/>
                <w:sz w:val="18"/>
                <w:szCs w:val="20"/>
                <w:lang w:val="en-US"/>
              </w:rPr>
            </w:pPr>
            <w:r w:rsidRPr="002770A9">
              <w:rPr>
                <w:rFonts w:ascii="Arial" w:hAnsi="Arial" w:cs="Times New Roman"/>
                <w:sz w:val="18"/>
                <w:szCs w:val="20"/>
                <w:lang w:val="en-US"/>
              </w:rPr>
              <w:t xml:space="preserve">DCP/ADL/EDCR# ВКЛЮЧЕНА И/ИЛИ МАЛКА РЕДАКЦИЯ # СЪГЛАСУВАНА В РЕДАКЦИЯТА НА ТОЗИ ДОКУМЕНТ: </w:t>
            </w:r>
          </w:p>
          <w:p w14:paraId="3FC1B463" w14:textId="77777777" w:rsidR="002770A9" w:rsidRPr="002770A9" w:rsidRDefault="002770A9" w:rsidP="002770A9">
            <w:pPr>
              <w:tabs>
                <w:tab w:val="clear" w:pos="720"/>
                <w:tab w:val="clear" w:pos="1296"/>
                <w:tab w:val="clear" w:pos="1872"/>
                <w:tab w:val="clear" w:pos="2448"/>
                <w:tab w:val="left" w:pos="-720"/>
              </w:tabs>
              <w:suppressAutoHyphens/>
              <w:spacing w:before="40" w:after="0" w:line="240" w:lineRule="auto"/>
              <w:rPr>
                <w:rFonts w:ascii="Arial" w:hAnsi="Arial" w:cs="Arial"/>
                <w:b/>
                <w:bCs/>
                <w:kern w:val="0"/>
                <w:sz w:val="18"/>
                <w:szCs w:val="20"/>
                <w:lang w:val="en-US"/>
              </w:rPr>
            </w:pPr>
            <w:r w:rsidRPr="002770A9">
              <w:rPr>
                <w:rFonts w:ascii="Arial" w:hAnsi="Arial" w:cs="Times New Roman"/>
                <w:b/>
                <w:bCs/>
                <w:sz w:val="18"/>
                <w:szCs w:val="20"/>
                <w:lang w:val="en-US"/>
              </w:rPr>
              <w:t>Неприложимо</w:t>
            </w:r>
          </w:p>
        </w:tc>
        <w:tc>
          <w:tcPr>
            <w:tcW w:w="3831" w:type="dxa"/>
            <w:gridSpan w:val="4"/>
            <w:tcBorders>
              <w:top w:val="single" w:sz="8" w:space="0" w:color="auto"/>
              <w:bottom w:val="single" w:sz="8" w:space="0" w:color="auto"/>
            </w:tcBorders>
          </w:tcPr>
          <w:p w14:paraId="05321708" w14:textId="77777777" w:rsidR="002770A9" w:rsidRPr="002770A9" w:rsidRDefault="002770A9" w:rsidP="002770A9">
            <w:pPr>
              <w:tabs>
                <w:tab w:val="clear" w:pos="720"/>
                <w:tab w:val="clear" w:pos="1296"/>
                <w:tab w:val="clear" w:pos="1872"/>
                <w:tab w:val="clear" w:pos="2448"/>
              </w:tabs>
              <w:suppressAutoHyphens/>
              <w:spacing w:before="20" w:after="0" w:line="240" w:lineRule="auto"/>
              <w:rPr>
                <w:rFonts w:ascii="Arial" w:hAnsi="Arial" w:cs="Arial"/>
                <w:kern w:val="0"/>
                <w:sz w:val="24"/>
                <w:szCs w:val="24"/>
                <w:lang w:val="en-US"/>
              </w:rPr>
            </w:pPr>
          </w:p>
        </w:tc>
      </w:tr>
      <w:tr w:rsidR="002770A9" w:rsidRPr="002770A9" w14:paraId="7C509E00" w14:textId="77777777" w:rsidTr="00376E61">
        <w:tblPrEx>
          <w:tblCellMar>
            <w:left w:w="28" w:type="dxa"/>
            <w:right w:w="28" w:type="dxa"/>
          </w:tblCellMar>
        </w:tblPrEx>
        <w:trPr>
          <w:gridAfter w:val="1"/>
          <w:wAfter w:w="126" w:type="dxa"/>
          <w:trHeight w:val="511"/>
        </w:trPr>
        <w:tc>
          <w:tcPr>
            <w:tcW w:w="3231" w:type="dxa"/>
            <w:gridSpan w:val="3"/>
            <w:tcBorders>
              <w:top w:val="single" w:sz="8" w:space="0" w:color="auto"/>
              <w:bottom w:val="single" w:sz="8" w:space="0" w:color="auto"/>
            </w:tcBorders>
          </w:tcPr>
          <w:p w14:paraId="354AF8EA" w14:textId="77777777" w:rsidR="002770A9" w:rsidRPr="002770A9" w:rsidRDefault="002770A9" w:rsidP="002770A9">
            <w:pPr>
              <w:tabs>
                <w:tab w:val="clear" w:pos="720"/>
                <w:tab w:val="clear" w:pos="1296"/>
                <w:tab w:val="clear" w:pos="1872"/>
                <w:tab w:val="clear" w:pos="2448"/>
                <w:tab w:val="left" w:pos="-720"/>
              </w:tabs>
              <w:suppressAutoHyphens/>
              <w:spacing w:before="40" w:after="0" w:line="240" w:lineRule="auto"/>
              <w:rPr>
                <w:rFonts w:ascii="Arial" w:hAnsi="Arial" w:cs="Arial"/>
                <w:kern w:val="0"/>
                <w:sz w:val="18"/>
                <w:szCs w:val="20"/>
                <w:lang w:val="en-US"/>
              </w:rPr>
            </w:pPr>
            <w:r w:rsidRPr="002770A9">
              <w:rPr>
                <w:rFonts w:ascii="Arial" w:hAnsi="Arial" w:cs="Times New Roman"/>
                <w:sz w:val="18"/>
                <w:szCs w:val="20"/>
                <w:lang w:val="en-US"/>
              </w:rPr>
              <w:t xml:space="preserve">ПРИЛОЖЕНИЯ: </w:t>
            </w:r>
          </w:p>
          <w:p w14:paraId="183C0758" w14:textId="77777777" w:rsidR="002770A9" w:rsidRPr="002770A9" w:rsidRDefault="002770A9" w:rsidP="002770A9">
            <w:pPr>
              <w:tabs>
                <w:tab w:val="clear" w:pos="720"/>
                <w:tab w:val="clear" w:pos="1296"/>
                <w:tab w:val="clear" w:pos="1872"/>
                <w:tab w:val="clear" w:pos="2448"/>
                <w:tab w:val="left" w:pos="-720"/>
              </w:tabs>
              <w:suppressAutoHyphens/>
              <w:spacing w:before="40" w:after="0" w:line="240" w:lineRule="auto"/>
              <w:rPr>
                <w:rFonts w:ascii="Arial" w:hAnsi="Arial" w:cs="Arial"/>
                <w:kern w:val="0"/>
                <w:sz w:val="18"/>
                <w:szCs w:val="20"/>
                <w:lang w:val="en-US"/>
              </w:rPr>
            </w:pPr>
            <w:r w:rsidRPr="002770A9">
              <w:rPr>
                <w:rFonts w:ascii="Arial" w:hAnsi="Arial" w:cs="Times New Roman"/>
                <w:b/>
                <w:sz w:val="18"/>
                <w:szCs w:val="20"/>
                <w:lang w:val="en-US"/>
              </w:rPr>
              <w:t>Неприложимо</w:t>
            </w:r>
          </w:p>
        </w:tc>
        <w:tc>
          <w:tcPr>
            <w:tcW w:w="3159" w:type="dxa"/>
            <w:gridSpan w:val="5"/>
            <w:tcBorders>
              <w:top w:val="single" w:sz="8" w:space="0" w:color="auto"/>
              <w:bottom w:val="single" w:sz="8" w:space="0" w:color="auto"/>
            </w:tcBorders>
          </w:tcPr>
          <w:p w14:paraId="51F288BE" w14:textId="77777777" w:rsidR="002770A9" w:rsidRPr="002770A9" w:rsidRDefault="002770A9" w:rsidP="002770A9">
            <w:pPr>
              <w:tabs>
                <w:tab w:val="clear" w:pos="720"/>
                <w:tab w:val="clear" w:pos="1296"/>
                <w:tab w:val="clear" w:pos="1872"/>
                <w:tab w:val="clear" w:pos="2448"/>
                <w:tab w:val="left" w:pos="-720"/>
              </w:tabs>
              <w:suppressAutoHyphens/>
              <w:spacing w:before="40" w:after="0" w:line="240" w:lineRule="auto"/>
              <w:rPr>
                <w:rFonts w:ascii="Arial" w:hAnsi="Arial" w:cs="Arial"/>
                <w:kern w:val="0"/>
                <w:sz w:val="18"/>
                <w:szCs w:val="20"/>
                <w:lang w:val="en-US"/>
              </w:rPr>
            </w:pPr>
          </w:p>
        </w:tc>
        <w:tc>
          <w:tcPr>
            <w:tcW w:w="4671" w:type="dxa"/>
            <w:gridSpan w:val="5"/>
            <w:tcBorders>
              <w:top w:val="single" w:sz="8" w:space="0" w:color="auto"/>
              <w:bottom w:val="single" w:sz="8" w:space="0" w:color="auto"/>
            </w:tcBorders>
          </w:tcPr>
          <w:p w14:paraId="6074CFB1" w14:textId="77777777" w:rsidR="002770A9" w:rsidRPr="002770A9" w:rsidRDefault="002770A9" w:rsidP="002770A9">
            <w:pPr>
              <w:tabs>
                <w:tab w:val="clear" w:pos="720"/>
                <w:tab w:val="clear" w:pos="1296"/>
                <w:tab w:val="clear" w:pos="1872"/>
                <w:tab w:val="clear" w:pos="2448"/>
                <w:tab w:val="left" w:pos="-720"/>
              </w:tabs>
              <w:suppressAutoHyphens/>
              <w:spacing w:before="40" w:after="0" w:line="240" w:lineRule="auto"/>
              <w:rPr>
                <w:rFonts w:ascii="Arial" w:hAnsi="Arial" w:cs="Arial"/>
                <w:kern w:val="0"/>
                <w:sz w:val="18"/>
                <w:szCs w:val="20"/>
                <w:lang w:val="en-US"/>
              </w:rPr>
            </w:pPr>
          </w:p>
        </w:tc>
      </w:tr>
      <w:tr w:rsidR="002770A9" w:rsidRPr="002770A9" w14:paraId="5F77A25C" w14:textId="77777777" w:rsidTr="00376E61">
        <w:tblPrEx>
          <w:tblCellMar>
            <w:left w:w="28" w:type="dxa"/>
            <w:right w:w="28" w:type="dxa"/>
          </w:tblCellMar>
        </w:tblPrEx>
        <w:trPr>
          <w:gridAfter w:val="1"/>
          <w:wAfter w:w="126" w:type="dxa"/>
        </w:trPr>
        <w:tc>
          <w:tcPr>
            <w:tcW w:w="11061" w:type="dxa"/>
            <w:gridSpan w:val="13"/>
            <w:tcBorders>
              <w:top w:val="single" w:sz="8" w:space="0" w:color="auto"/>
              <w:bottom w:val="single" w:sz="12" w:space="0" w:color="auto"/>
            </w:tcBorders>
          </w:tcPr>
          <w:p w14:paraId="3BCA6B00" w14:textId="77777777" w:rsidR="002770A9" w:rsidRPr="002770A9" w:rsidRDefault="002770A9" w:rsidP="002770A9">
            <w:pPr>
              <w:tabs>
                <w:tab w:val="clear" w:pos="720"/>
                <w:tab w:val="clear" w:pos="1296"/>
                <w:tab w:val="clear" w:pos="1872"/>
                <w:tab w:val="clear" w:pos="2448"/>
                <w:tab w:val="left" w:pos="-720"/>
              </w:tabs>
              <w:suppressAutoHyphens/>
              <w:spacing w:before="60" w:after="20" w:line="240" w:lineRule="auto"/>
              <w:rPr>
                <w:rFonts w:ascii="Arial" w:hAnsi="Arial" w:cs="Arial"/>
                <w:kern w:val="0"/>
                <w:sz w:val="18"/>
                <w:szCs w:val="20"/>
                <w:lang w:val="en-US"/>
              </w:rPr>
            </w:pPr>
            <w:r w:rsidRPr="002770A9">
              <w:rPr>
                <w:rFonts w:ascii="Arial" w:hAnsi="Arial" w:cs="Times New Roman"/>
                <w:sz w:val="18"/>
                <w:szCs w:val="20"/>
                <w:lang w:val="en-US"/>
              </w:rPr>
              <w:t>ОСНОВЕН ДОКУМЕНТ: Неприложимо</w:t>
            </w:r>
          </w:p>
        </w:tc>
      </w:tr>
      <w:tr w:rsidR="002770A9" w:rsidRPr="002770A9" w14:paraId="26545487" w14:textId="77777777" w:rsidTr="00376E61">
        <w:tblPrEx>
          <w:tblCellMar>
            <w:left w:w="36" w:type="dxa"/>
            <w:right w:w="36" w:type="dxa"/>
          </w:tblCellMar>
        </w:tblPrEx>
        <w:trPr>
          <w:gridAfter w:val="1"/>
          <w:wAfter w:w="126" w:type="dxa"/>
        </w:trPr>
        <w:tc>
          <w:tcPr>
            <w:tcW w:w="285" w:type="dxa"/>
            <w:tcBorders>
              <w:top w:val="single" w:sz="18" w:space="0" w:color="auto"/>
            </w:tcBorders>
          </w:tcPr>
          <w:p w14:paraId="0B9C8894" w14:textId="77777777" w:rsidR="002770A9" w:rsidRPr="002770A9" w:rsidRDefault="002770A9" w:rsidP="002770A9">
            <w:pPr>
              <w:tabs>
                <w:tab w:val="clear" w:pos="720"/>
                <w:tab w:val="clear" w:pos="1296"/>
                <w:tab w:val="clear" w:pos="1872"/>
                <w:tab w:val="clear" w:pos="2448"/>
                <w:tab w:val="left" w:pos="192"/>
              </w:tabs>
              <w:suppressAutoHyphens/>
              <w:spacing w:before="40" w:after="0" w:line="240" w:lineRule="auto"/>
              <w:rPr>
                <w:rFonts w:ascii="Arial" w:hAnsi="Arial" w:cs="Arial"/>
                <w:kern w:val="0"/>
                <w:sz w:val="18"/>
                <w:szCs w:val="18"/>
                <w:lang w:val="en-US"/>
              </w:rPr>
            </w:pPr>
            <w:r w:rsidRPr="002770A9">
              <w:rPr>
                <w:rFonts w:ascii="Arial" w:hAnsi="Arial" w:cs="Arial"/>
                <w:sz w:val="18"/>
                <w:szCs w:val="20"/>
                <w:lang w:val="en-US"/>
              </w:rPr>
              <w:fldChar w:fldCharType="begin">
                <w:ffData>
                  <w:name w:val="Check2"/>
                  <w:enabled/>
                  <w:calcOnExit w:val="0"/>
                  <w:checkBox>
                    <w:sizeAuto/>
                    <w:default w:val="0"/>
                    <w:checked w:val="0"/>
                  </w:checkBox>
                </w:ffData>
              </w:fldChar>
            </w:r>
            <w:r w:rsidRPr="002770A9">
              <w:rPr>
                <w:rFonts w:ascii="Arial" w:hAnsi="Arial" w:cs="Arial"/>
                <w:sz w:val="18"/>
                <w:szCs w:val="20"/>
                <w:lang w:val="en-US"/>
              </w:rPr>
              <w:instrText xml:space="preserve"> FORMCHECKBOX </w:instrText>
            </w:r>
            <w:r w:rsidR="00C469CC">
              <w:rPr>
                <w:rFonts w:ascii="Arial" w:hAnsi="Arial" w:cs="Arial"/>
                <w:sz w:val="18"/>
                <w:szCs w:val="20"/>
                <w:lang w:val="en-US"/>
              </w:rPr>
            </w:r>
            <w:r w:rsidR="00C469CC">
              <w:rPr>
                <w:rFonts w:ascii="Arial" w:hAnsi="Arial" w:cs="Arial"/>
                <w:sz w:val="18"/>
                <w:szCs w:val="20"/>
                <w:lang w:val="en-US"/>
              </w:rPr>
              <w:fldChar w:fldCharType="separate"/>
            </w:r>
            <w:r w:rsidRPr="002770A9">
              <w:rPr>
                <w:rFonts w:ascii="Arial" w:hAnsi="Arial" w:cs="Arial"/>
                <w:sz w:val="18"/>
                <w:szCs w:val="20"/>
                <w:lang w:val="en-US"/>
              </w:rPr>
              <w:fldChar w:fldCharType="end"/>
            </w:r>
          </w:p>
        </w:tc>
        <w:tc>
          <w:tcPr>
            <w:tcW w:w="10776" w:type="dxa"/>
            <w:gridSpan w:val="12"/>
            <w:tcBorders>
              <w:top w:val="single" w:sz="18" w:space="0" w:color="auto"/>
              <w:bottom w:val="single" w:sz="6" w:space="0" w:color="auto"/>
            </w:tcBorders>
          </w:tcPr>
          <w:p w14:paraId="0F30517D" w14:textId="77777777" w:rsidR="002770A9" w:rsidRPr="002770A9" w:rsidRDefault="002770A9" w:rsidP="002770A9">
            <w:pPr>
              <w:tabs>
                <w:tab w:val="clear" w:pos="720"/>
                <w:tab w:val="clear" w:pos="1296"/>
                <w:tab w:val="clear" w:pos="1872"/>
                <w:tab w:val="clear" w:pos="2448"/>
                <w:tab w:val="left" w:pos="192"/>
              </w:tabs>
              <w:suppressAutoHyphens/>
              <w:spacing w:before="40" w:after="0" w:line="240" w:lineRule="auto"/>
              <w:rPr>
                <w:rFonts w:ascii="Arial Bold" w:hAnsi="Arial Bold" w:cs="Arial"/>
                <w:b/>
                <w:kern w:val="0"/>
                <w:sz w:val="16"/>
                <w:szCs w:val="16"/>
                <w:lang w:val="en-US"/>
              </w:rPr>
            </w:pPr>
            <w:r w:rsidRPr="002770A9">
              <w:rPr>
                <w:rFonts w:ascii="Arial Bold" w:hAnsi="Arial Bold" w:cs="Times New Roman"/>
                <w:b/>
                <w:sz w:val="16"/>
                <w:szCs w:val="20"/>
                <w:lang w:val="en-US"/>
              </w:rPr>
              <w:t>© 2023 WESTINGHOUSE ELECTRIC COMPANY LLC, ВСИЧКИ ПРАВА ЗАПАЗЕНИ – WESTINGHOUSE NON</w:t>
            </w:r>
            <w:r w:rsidRPr="002770A9">
              <w:rPr>
                <w:rFonts w:ascii="Arial Bold" w:hAnsi="Arial Bold" w:cs="Times New Roman"/>
                <w:b/>
                <w:sz w:val="16"/>
                <w:szCs w:val="20"/>
                <w:lang w:val="en-US"/>
              </w:rPr>
              <w:noBreakHyphen/>
              <w:t>PROPRIETARY CLASS 3</w:t>
            </w:r>
          </w:p>
          <w:p w14:paraId="4BB2D2F8" w14:textId="77777777" w:rsidR="002770A9" w:rsidRPr="002770A9" w:rsidRDefault="002770A9" w:rsidP="002770A9">
            <w:pPr>
              <w:tabs>
                <w:tab w:val="clear" w:pos="720"/>
                <w:tab w:val="clear" w:pos="1296"/>
                <w:tab w:val="clear" w:pos="1872"/>
                <w:tab w:val="clear" w:pos="2448"/>
                <w:tab w:val="left" w:pos="-720"/>
              </w:tabs>
              <w:suppressAutoHyphens/>
              <w:spacing w:before="20" w:after="0" w:line="240" w:lineRule="auto"/>
              <w:rPr>
                <w:rFonts w:ascii="Arial" w:hAnsi="Arial" w:cs="Arial"/>
                <w:kern w:val="0"/>
                <w:sz w:val="14"/>
                <w:szCs w:val="14"/>
                <w:lang w:val="en-US"/>
              </w:rPr>
            </w:pPr>
            <w:r w:rsidRPr="002770A9">
              <w:rPr>
                <w:rFonts w:ascii="Arial" w:hAnsi="Arial" w:cs="Times New Roman"/>
                <w:sz w:val="14"/>
                <w:szCs w:val="20"/>
                <w:lang w:val="en-US"/>
              </w:rPr>
              <w:t>Всички документи от клас 3 изискват следните две одобрения вместо формуляр 36.</w:t>
            </w:r>
          </w:p>
        </w:tc>
      </w:tr>
      <w:tr w:rsidR="002770A9" w:rsidRPr="002770A9" w14:paraId="29ADE22E" w14:textId="77777777" w:rsidTr="00376E61">
        <w:tblPrEx>
          <w:tblCellMar>
            <w:left w:w="36" w:type="dxa"/>
            <w:right w:w="36" w:type="dxa"/>
          </w:tblCellMar>
        </w:tblPrEx>
        <w:trPr>
          <w:gridAfter w:val="1"/>
          <w:wAfter w:w="126" w:type="dxa"/>
          <w:trHeight w:hRule="exact" w:val="432"/>
        </w:trPr>
        <w:tc>
          <w:tcPr>
            <w:tcW w:w="285" w:type="dxa"/>
          </w:tcPr>
          <w:p w14:paraId="0C3B901E" w14:textId="77777777" w:rsidR="002770A9" w:rsidRPr="002770A9" w:rsidRDefault="002770A9" w:rsidP="002770A9">
            <w:pPr>
              <w:tabs>
                <w:tab w:val="clear" w:pos="720"/>
                <w:tab w:val="clear" w:pos="1296"/>
                <w:tab w:val="clear" w:pos="1872"/>
                <w:tab w:val="clear" w:pos="2448"/>
                <w:tab w:val="left" w:pos="192"/>
              </w:tabs>
              <w:suppressAutoHyphens/>
              <w:spacing w:after="0" w:line="240" w:lineRule="auto"/>
              <w:jc w:val="center"/>
              <w:rPr>
                <w:rFonts w:ascii="Arial" w:hAnsi="Arial" w:cs="Arial"/>
                <w:kern w:val="0"/>
                <w:sz w:val="18"/>
                <w:szCs w:val="18"/>
                <w:lang w:val="en-US"/>
              </w:rPr>
            </w:pPr>
          </w:p>
        </w:tc>
        <w:tc>
          <w:tcPr>
            <w:tcW w:w="6105" w:type="dxa"/>
            <w:gridSpan w:val="7"/>
            <w:tcBorders>
              <w:top w:val="single" w:sz="6" w:space="0" w:color="auto"/>
              <w:bottom w:val="single" w:sz="6" w:space="0" w:color="auto"/>
              <w:right w:val="single" w:sz="6" w:space="0" w:color="auto"/>
            </w:tcBorders>
          </w:tcPr>
          <w:p w14:paraId="641496E7" w14:textId="77777777" w:rsidR="002770A9" w:rsidRPr="002770A9" w:rsidRDefault="002770A9" w:rsidP="002770A9">
            <w:pPr>
              <w:tabs>
                <w:tab w:val="clear" w:pos="720"/>
                <w:tab w:val="clear" w:pos="1296"/>
                <w:tab w:val="clear" w:pos="1872"/>
                <w:tab w:val="clear" w:pos="2448"/>
                <w:tab w:val="left" w:pos="-720"/>
              </w:tabs>
              <w:suppressAutoHyphens/>
              <w:spacing w:before="40" w:after="0" w:line="240" w:lineRule="auto"/>
              <w:rPr>
                <w:rFonts w:ascii="Arial" w:hAnsi="Arial" w:cs="Arial"/>
                <w:kern w:val="0"/>
                <w:sz w:val="16"/>
                <w:szCs w:val="20"/>
                <w:lang w:val="en-US"/>
              </w:rPr>
            </w:pPr>
            <w:r w:rsidRPr="002770A9">
              <w:rPr>
                <w:rFonts w:ascii="Arial" w:hAnsi="Arial" w:cs="Times New Roman"/>
                <w:sz w:val="16"/>
                <w:szCs w:val="20"/>
                <w:lang w:val="en-US"/>
              </w:rPr>
              <w:t>ПРАВЕН ПРЕГЛЕД</w:t>
            </w:r>
          </w:p>
          <w:p w14:paraId="04EE0B1E" w14:textId="77777777" w:rsidR="002770A9" w:rsidRPr="002770A9" w:rsidRDefault="002770A9" w:rsidP="002770A9">
            <w:pPr>
              <w:tabs>
                <w:tab w:val="clear" w:pos="720"/>
                <w:tab w:val="clear" w:pos="1296"/>
                <w:tab w:val="clear" w:pos="1872"/>
                <w:tab w:val="clear" w:pos="2448"/>
                <w:tab w:val="left" w:pos="-720"/>
              </w:tabs>
              <w:suppressAutoHyphens/>
              <w:spacing w:before="20" w:after="20" w:line="240" w:lineRule="auto"/>
              <w:rPr>
                <w:rFonts w:ascii="Arial" w:hAnsi="Arial" w:cs="Arial"/>
                <w:kern w:val="0"/>
                <w:sz w:val="14"/>
                <w:szCs w:val="14"/>
                <w:lang w:val="en-US"/>
              </w:rPr>
            </w:pPr>
            <w:r w:rsidRPr="002770A9">
              <w:rPr>
                <w:rFonts w:ascii="Arial" w:hAnsi="Arial" w:cs="Arial"/>
                <w:sz w:val="14"/>
                <w:szCs w:val="20"/>
                <w:lang w:val="en-US"/>
              </w:rPr>
              <w:fldChar w:fldCharType="begin">
                <w:ffData>
                  <w:name w:val="Dropdown1"/>
                  <w:enabled/>
                  <w:calcOnExit w:val="0"/>
                  <w:ddList>
                    <w:listEntry w:val="               "/>
                    <w:listEntry w:val="Рей Куйлър"/>
                    <w:listEntry w:val="Дж. Дейвид Мура"/>
                    <w:listEntry w:val="Кевин У. Броуд"/>
                  </w:ddList>
                </w:ffData>
              </w:fldChar>
            </w:r>
            <w:r w:rsidRPr="002770A9">
              <w:rPr>
                <w:rFonts w:ascii="Arial" w:hAnsi="Arial" w:cs="Arial"/>
                <w:sz w:val="14"/>
                <w:szCs w:val="20"/>
                <w:lang w:val="en-US"/>
              </w:rPr>
              <w:instrText xml:space="preserve"> FORMDROPDOWN </w:instrText>
            </w:r>
            <w:r w:rsidR="00C469CC">
              <w:rPr>
                <w:rFonts w:ascii="Arial" w:hAnsi="Arial" w:cs="Arial"/>
                <w:sz w:val="14"/>
                <w:szCs w:val="20"/>
                <w:lang w:val="en-US"/>
              </w:rPr>
            </w:r>
            <w:r w:rsidR="00C469CC">
              <w:rPr>
                <w:rFonts w:ascii="Arial" w:hAnsi="Arial" w:cs="Arial"/>
                <w:sz w:val="14"/>
                <w:szCs w:val="20"/>
                <w:lang w:val="en-US"/>
              </w:rPr>
              <w:fldChar w:fldCharType="separate"/>
            </w:r>
            <w:r w:rsidRPr="002770A9">
              <w:rPr>
                <w:rFonts w:ascii="Arial" w:hAnsi="Arial" w:cs="Arial"/>
                <w:sz w:val="14"/>
                <w:szCs w:val="20"/>
                <w:lang w:val="en-US"/>
              </w:rPr>
              <w:fldChar w:fldCharType="end"/>
            </w:r>
          </w:p>
        </w:tc>
        <w:tc>
          <w:tcPr>
            <w:tcW w:w="4671" w:type="dxa"/>
            <w:gridSpan w:val="5"/>
            <w:tcBorders>
              <w:top w:val="single" w:sz="6" w:space="0" w:color="auto"/>
              <w:left w:val="single" w:sz="6" w:space="0" w:color="auto"/>
              <w:bottom w:val="single" w:sz="6" w:space="0" w:color="auto"/>
            </w:tcBorders>
          </w:tcPr>
          <w:p w14:paraId="4D3C9F08" w14:textId="1FEA6245" w:rsidR="002770A9" w:rsidRPr="002770A9" w:rsidRDefault="002770A9" w:rsidP="009E5171">
            <w:pPr>
              <w:tabs>
                <w:tab w:val="clear" w:pos="720"/>
                <w:tab w:val="clear" w:pos="1296"/>
                <w:tab w:val="clear" w:pos="1872"/>
                <w:tab w:val="clear" w:pos="2448"/>
                <w:tab w:val="left" w:pos="-720"/>
              </w:tabs>
              <w:suppressAutoHyphens/>
              <w:spacing w:before="40" w:after="0" w:line="240" w:lineRule="auto"/>
              <w:rPr>
                <w:rFonts w:ascii="Arial Bold" w:hAnsi="Arial Bold" w:cs="Arial"/>
                <w:b/>
                <w:kern w:val="0"/>
                <w:sz w:val="14"/>
                <w:szCs w:val="14"/>
                <w:lang w:val="en-US"/>
              </w:rPr>
            </w:pPr>
            <w:r w:rsidRPr="002770A9">
              <w:rPr>
                <w:rFonts w:ascii="Arial" w:hAnsi="Arial" w:cs="Times New Roman"/>
                <w:sz w:val="16"/>
                <w:szCs w:val="20"/>
                <w:lang w:val="en-US"/>
              </w:rPr>
              <w:t xml:space="preserve">ПОДПИС / ДАТА </w:t>
            </w:r>
          </w:p>
        </w:tc>
      </w:tr>
      <w:tr w:rsidR="002770A9" w:rsidRPr="002770A9" w14:paraId="5EC327E5" w14:textId="77777777" w:rsidTr="00376E61">
        <w:tblPrEx>
          <w:tblCellMar>
            <w:left w:w="36" w:type="dxa"/>
            <w:right w:w="36" w:type="dxa"/>
          </w:tblCellMar>
        </w:tblPrEx>
        <w:trPr>
          <w:gridAfter w:val="1"/>
          <w:wAfter w:w="126" w:type="dxa"/>
          <w:trHeight w:hRule="exact" w:val="432"/>
        </w:trPr>
        <w:tc>
          <w:tcPr>
            <w:tcW w:w="285" w:type="dxa"/>
            <w:tcBorders>
              <w:bottom w:val="single" w:sz="6" w:space="0" w:color="auto"/>
            </w:tcBorders>
          </w:tcPr>
          <w:p w14:paraId="0ECAC43F" w14:textId="77777777" w:rsidR="002770A9" w:rsidRPr="002770A9" w:rsidRDefault="002770A9" w:rsidP="002770A9">
            <w:pPr>
              <w:tabs>
                <w:tab w:val="clear" w:pos="720"/>
                <w:tab w:val="clear" w:pos="1296"/>
                <w:tab w:val="clear" w:pos="1872"/>
                <w:tab w:val="clear" w:pos="2448"/>
                <w:tab w:val="left" w:pos="192"/>
              </w:tabs>
              <w:suppressAutoHyphens/>
              <w:spacing w:after="0" w:line="240" w:lineRule="auto"/>
              <w:jc w:val="center"/>
              <w:rPr>
                <w:rFonts w:ascii="Arial" w:hAnsi="Arial" w:cs="Arial"/>
                <w:kern w:val="0"/>
                <w:sz w:val="18"/>
                <w:szCs w:val="18"/>
                <w:lang w:val="en-US"/>
              </w:rPr>
            </w:pPr>
          </w:p>
        </w:tc>
        <w:tc>
          <w:tcPr>
            <w:tcW w:w="6105" w:type="dxa"/>
            <w:gridSpan w:val="7"/>
            <w:tcBorders>
              <w:top w:val="single" w:sz="6" w:space="0" w:color="auto"/>
              <w:bottom w:val="single" w:sz="6" w:space="0" w:color="auto"/>
              <w:right w:val="single" w:sz="6" w:space="0" w:color="auto"/>
            </w:tcBorders>
          </w:tcPr>
          <w:p w14:paraId="13D76DF2" w14:textId="77777777" w:rsidR="002770A9" w:rsidRPr="002770A9" w:rsidRDefault="002770A9" w:rsidP="002770A9">
            <w:pPr>
              <w:tabs>
                <w:tab w:val="clear" w:pos="720"/>
                <w:tab w:val="clear" w:pos="1296"/>
                <w:tab w:val="clear" w:pos="1872"/>
                <w:tab w:val="clear" w:pos="2448"/>
                <w:tab w:val="left" w:pos="-720"/>
              </w:tabs>
              <w:suppressAutoHyphens/>
              <w:spacing w:before="40" w:after="0" w:line="240" w:lineRule="auto"/>
              <w:rPr>
                <w:rFonts w:ascii="Arial" w:hAnsi="Arial" w:cs="Arial"/>
                <w:kern w:val="0"/>
                <w:sz w:val="16"/>
                <w:szCs w:val="20"/>
                <w:lang w:val="en-US"/>
              </w:rPr>
            </w:pPr>
            <w:r w:rsidRPr="002770A9">
              <w:rPr>
                <w:rFonts w:ascii="Arial" w:hAnsi="Arial" w:cs="Times New Roman"/>
                <w:sz w:val="16"/>
                <w:szCs w:val="20"/>
                <w:lang w:val="en-US"/>
              </w:rPr>
              <w:t>ПАТЕНТЕН ПРЕГЛЕД</w:t>
            </w:r>
          </w:p>
          <w:p w14:paraId="4AA19436" w14:textId="77777777" w:rsidR="002770A9" w:rsidRPr="002770A9" w:rsidRDefault="002770A9" w:rsidP="002770A9">
            <w:pPr>
              <w:tabs>
                <w:tab w:val="clear" w:pos="720"/>
                <w:tab w:val="clear" w:pos="1296"/>
                <w:tab w:val="clear" w:pos="1872"/>
                <w:tab w:val="clear" w:pos="2448"/>
                <w:tab w:val="left" w:pos="-720"/>
              </w:tabs>
              <w:suppressAutoHyphens/>
              <w:spacing w:before="20" w:after="0" w:line="240" w:lineRule="auto"/>
              <w:rPr>
                <w:rFonts w:ascii="Arial" w:hAnsi="Arial" w:cs="Arial"/>
                <w:kern w:val="0"/>
                <w:sz w:val="14"/>
                <w:szCs w:val="14"/>
                <w:lang w:val="en-US"/>
              </w:rPr>
            </w:pPr>
            <w:r w:rsidRPr="002770A9">
              <w:rPr>
                <w:rFonts w:ascii="Arial" w:hAnsi="Arial" w:cs="Arial"/>
                <w:sz w:val="14"/>
                <w:szCs w:val="20"/>
                <w:lang w:val="en-US"/>
              </w:rPr>
              <w:fldChar w:fldCharType="begin">
                <w:ffData>
                  <w:name w:val="Dropdown2"/>
                  <w:enabled/>
                  <w:calcOnExit w:val="0"/>
                  <w:ddList>
                    <w:listEntry w:val="               "/>
                    <w:listEntry w:val="Джонатан Л. Баркич"/>
                    <w:listEntry w:val="Ед Шмих"/>
                  </w:ddList>
                </w:ffData>
              </w:fldChar>
            </w:r>
            <w:r w:rsidRPr="002770A9">
              <w:rPr>
                <w:rFonts w:ascii="Arial" w:hAnsi="Arial" w:cs="Arial"/>
                <w:sz w:val="14"/>
                <w:szCs w:val="20"/>
                <w:lang w:val="en-US"/>
              </w:rPr>
              <w:instrText xml:space="preserve"> FORMDROPDOWN </w:instrText>
            </w:r>
            <w:r w:rsidR="00C469CC">
              <w:rPr>
                <w:rFonts w:ascii="Arial" w:hAnsi="Arial" w:cs="Arial"/>
                <w:sz w:val="14"/>
                <w:szCs w:val="20"/>
                <w:lang w:val="en-US"/>
              </w:rPr>
            </w:r>
            <w:r w:rsidR="00C469CC">
              <w:rPr>
                <w:rFonts w:ascii="Arial" w:hAnsi="Arial" w:cs="Arial"/>
                <w:sz w:val="14"/>
                <w:szCs w:val="20"/>
                <w:lang w:val="en-US"/>
              </w:rPr>
              <w:fldChar w:fldCharType="separate"/>
            </w:r>
            <w:r w:rsidRPr="002770A9">
              <w:rPr>
                <w:rFonts w:ascii="Arial" w:hAnsi="Arial" w:cs="Arial"/>
                <w:sz w:val="14"/>
                <w:szCs w:val="20"/>
                <w:lang w:val="en-US"/>
              </w:rPr>
              <w:fldChar w:fldCharType="end"/>
            </w:r>
          </w:p>
        </w:tc>
        <w:tc>
          <w:tcPr>
            <w:tcW w:w="4671" w:type="dxa"/>
            <w:gridSpan w:val="5"/>
            <w:tcBorders>
              <w:top w:val="single" w:sz="6" w:space="0" w:color="auto"/>
              <w:left w:val="single" w:sz="6" w:space="0" w:color="auto"/>
              <w:bottom w:val="single" w:sz="6" w:space="0" w:color="auto"/>
            </w:tcBorders>
          </w:tcPr>
          <w:p w14:paraId="33BFB768" w14:textId="77777777" w:rsidR="002770A9" w:rsidRPr="002770A9" w:rsidRDefault="002770A9" w:rsidP="002770A9">
            <w:pPr>
              <w:tabs>
                <w:tab w:val="clear" w:pos="720"/>
                <w:tab w:val="clear" w:pos="1296"/>
                <w:tab w:val="clear" w:pos="1872"/>
                <w:tab w:val="clear" w:pos="2448"/>
                <w:tab w:val="left" w:pos="-720"/>
              </w:tabs>
              <w:suppressAutoHyphens/>
              <w:spacing w:before="40" w:after="0" w:line="240" w:lineRule="auto"/>
              <w:rPr>
                <w:rFonts w:ascii="Arial" w:hAnsi="Arial" w:cs="Arial"/>
                <w:kern w:val="0"/>
                <w:sz w:val="16"/>
                <w:szCs w:val="20"/>
                <w:lang w:val="en-US"/>
              </w:rPr>
            </w:pPr>
            <w:r w:rsidRPr="002770A9">
              <w:rPr>
                <w:rFonts w:ascii="Arial" w:hAnsi="Arial" w:cs="Times New Roman"/>
                <w:sz w:val="16"/>
                <w:szCs w:val="20"/>
                <w:lang w:val="en-US"/>
              </w:rPr>
              <w:t>ПОДПИС / ДАТА</w:t>
            </w:r>
          </w:p>
          <w:p w14:paraId="5CEBD7D0" w14:textId="77777777" w:rsidR="002770A9" w:rsidRPr="002770A9" w:rsidRDefault="002770A9" w:rsidP="002770A9">
            <w:pPr>
              <w:tabs>
                <w:tab w:val="clear" w:pos="720"/>
                <w:tab w:val="clear" w:pos="1296"/>
                <w:tab w:val="clear" w:pos="1872"/>
                <w:tab w:val="clear" w:pos="2448"/>
                <w:tab w:val="left" w:pos="-720"/>
              </w:tabs>
              <w:suppressAutoHyphens/>
              <w:spacing w:before="20" w:after="0" w:line="240" w:lineRule="auto"/>
              <w:rPr>
                <w:rFonts w:ascii="Arial Bold" w:hAnsi="Arial Bold" w:cs="Arial"/>
                <w:b/>
                <w:kern w:val="0"/>
                <w:sz w:val="14"/>
                <w:szCs w:val="14"/>
                <w:lang w:val="en-US"/>
              </w:rPr>
            </w:pPr>
            <w:r w:rsidRPr="002770A9">
              <w:rPr>
                <w:rFonts w:ascii="Arial Bold" w:hAnsi="Arial Bold" w:cs="Arial"/>
                <w:b/>
                <w:sz w:val="14"/>
                <w:szCs w:val="20"/>
                <w:lang w:val="en-US"/>
              </w:rPr>
              <w:fldChar w:fldCharType="begin">
                <w:ffData>
                  <w:name w:val=""/>
                  <w:enabled/>
                  <w:calcOnExit w:val="0"/>
                  <w:ddList>
                    <w:listEntry w:val="                              "/>
                    <w:listEntry w:val="Електронно одобрен***"/>
                  </w:ddList>
                </w:ffData>
              </w:fldChar>
            </w:r>
            <w:r w:rsidRPr="002770A9">
              <w:rPr>
                <w:rFonts w:ascii="Arial Bold" w:hAnsi="Arial Bold" w:cs="Arial"/>
                <w:b/>
                <w:sz w:val="14"/>
                <w:szCs w:val="20"/>
                <w:lang w:val="en-US"/>
              </w:rPr>
              <w:instrText xml:space="preserve"> FORMDROPDOWN </w:instrText>
            </w:r>
            <w:r w:rsidR="00C469CC">
              <w:rPr>
                <w:rFonts w:ascii="Arial Bold" w:hAnsi="Arial Bold" w:cs="Arial"/>
                <w:b/>
                <w:sz w:val="14"/>
                <w:szCs w:val="20"/>
                <w:lang w:val="en-US"/>
              </w:rPr>
            </w:r>
            <w:r w:rsidR="00C469CC">
              <w:rPr>
                <w:rFonts w:ascii="Arial Bold" w:hAnsi="Arial Bold" w:cs="Arial"/>
                <w:b/>
                <w:sz w:val="14"/>
                <w:szCs w:val="20"/>
                <w:lang w:val="en-US"/>
              </w:rPr>
              <w:fldChar w:fldCharType="separate"/>
            </w:r>
            <w:r w:rsidRPr="002770A9">
              <w:rPr>
                <w:rFonts w:ascii="Arial Bold" w:hAnsi="Arial Bold" w:cs="Arial"/>
                <w:b/>
                <w:sz w:val="14"/>
                <w:szCs w:val="20"/>
                <w:lang w:val="en-US"/>
              </w:rPr>
              <w:fldChar w:fldCharType="end"/>
            </w:r>
          </w:p>
        </w:tc>
      </w:tr>
      <w:tr w:rsidR="002770A9" w:rsidRPr="002770A9" w14:paraId="7401A9F6" w14:textId="77777777" w:rsidTr="00376E61">
        <w:tblPrEx>
          <w:tblCellMar>
            <w:left w:w="36" w:type="dxa"/>
            <w:right w:w="36" w:type="dxa"/>
          </w:tblCellMar>
        </w:tblPrEx>
        <w:trPr>
          <w:gridAfter w:val="1"/>
          <w:wAfter w:w="126" w:type="dxa"/>
          <w:trHeight w:hRule="exact" w:val="259"/>
        </w:trPr>
        <w:tc>
          <w:tcPr>
            <w:tcW w:w="285" w:type="dxa"/>
            <w:tcBorders>
              <w:top w:val="single" w:sz="6" w:space="0" w:color="auto"/>
            </w:tcBorders>
          </w:tcPr>
          <w:p w14:paraId="7FDE5427" w14:textId="77777777" w:rsidR="002770A9" w:rsidRPr="002770A9" w:rsidRDefault="002770A9" w:rsidP="002770A9">
            <w:pPr>
              <w:tabs>
                <w:tab w:val="clear" w:pos="720"/>
                <w:tab w:val="clear" w:pos="1296"/>
                <w:tab w:val="clear" w:pos="1872"/>
                <w:tab w:val="clear" w:pos="2448"/>
                <w:tab w:val="left" w:pos="192"/>
              </w:tabs>
              <w:suppressAutoHyphens/>
              <w:spacing w:before="40" w:after="0" w:line="240" w:lineRule="auto"/>
              <w:jc w:val="center"/>
              <w:rPr>
                <w:rFonts w:ascii="Arial" w:hAnsi="Arial" w:cs="Arial"/>
                <w:kern w:val="0"/>
                <w:sz w:val="18"/>
                <w:szCs w:val="18"/>
                <w:lang w:val="en-US"/>
              </w:rPr>
            </w:pPr>
            <w:r w:rsidRPr="002770A9">
              <w:rPr>
                <w:rFonts w:ascii="Arial" w:hAnsi="Arial" w:cs="Arial"/>
                <w:sz w:val="18"/>
                <w:szCs w:val="20"/>
                <w:lang w:val="en-US"/>
              </w:rPr>
              <w:fldChar w:fldCharType="begin">
                <w:ffData>
                  <w:name w:val="Check1"/>
                  <w:enabled/>
                  <w:calcOnExit w:val="0"/>
                  <w:checkBox>
                    <w:sizeAuto/>
                    <w:default w:val="1"/>
                  </w:checkBox>
                </w:ffData>
              </w:fldChar>
            </w:r>
            <w:r w:rsidRPr="002770A9">
              <w:rPr>
                <w:rFonts w:ascii="Arial" w:hAnsi="Arial" w:cs="Arial"/>
                <w:sz w:val="18"/>
                <w:szCs w:val="20"/>
                <w:lang w:val="en-US"/>
              </w:rPr>
              <w:instrText xml:space="preserve"> FORMCHECKBOX </w:instrText>
            </w:r>
            <w:r w:rsidR="00C469CC">
              <w:rPr>
                <w:rFonts w:ascii="Arial" w:hAnsi="Arial" w:cs="Arial"/>
                <w:sz w:val="18"/>
                <w:szCs w:val="20"/>
                <w:lang w:val="en-US"/>
              </w:rPr>
            </w:r>
            <w:r w:rsidR="00C469CC">
              <w:rPr>
                <w:rFonts w:ascii="Arial" w:hAnsi="Arial" w:cs="Arial"/>
                <w:sz w:val="18"/>
                <w:szCs w:val="20"/>
                <w:lang w:val="en-US"/>
              </w:rPr>
              <w:fldChar w:fldCharType="separate"/>
            </w:r>
            <w:r w:rsidRPr="002770A9">
              <w:rPr>
                <w:rFonts w:ascii="Arial" w:hAnsi="Arial" w:cs="Arial"/>
                <w:sz w:val="18"/>
                <w:szCs w:val="20"/>
                <w:lang w:val="en-US"/>
              </w:rPr>
              <w:fldChar w:fldCharType="end"/>
            </w:r>
          </w:p>
        </w:tc>
        <w:tc>
          <w:tcPr>
            <w:tcW w:w="10776" w:type="dxa"/>
            <w:gridSpan w:val="12"/>
            <w:tcBorders>
              <w:top w:val="single" w:sz="6" w:space="0" w:color="auto"/>
            </w:tcBorders>
          </w:tcPr>
          <w:p w14:paraId="0F4F65D1" w14:textId="2DF64714" w:rsidR="002770A9" w:rsidRPr="002770A9" w:rsidRDefault="002770A9" w:rsidP="002770A9">
            <w:pPr>
              <w:tabs>
                <w:tab w:val="clear" w:pos="720"/>
                <w:tab w:val="clear" w:pos="1296"/>
                <w:tab w:val="clear" w:pos="1872"/>
                <w:tab w:val="clear" w:pos="2448"/>
                <w:tab w:val="left" w:pos="192"/>
              </w:tabs>
              <w:suppressAutoHyphens/>
              <w:spacing w:before="40" w:after="0" w:line="240" w:lineRule="auto"/>
              <w:rPr>
                <w:rFonts w:ascii="Arial" w:hAnsi="Arial" w:cs="Arial"/>
                <w:b/>
                <w:kern w:val="0"/>
                <w:sz w:val="16"/>
                <w:szCs w:val="16"/>
                <w:lang w:val="en-US"/>
              </w:rPr>
            </w:pPr>
            <w:r w:rsidRPr="002770A9">
              <w:rPr>
                <w:rFonts w:ascii="Arial" w:hAnsi="Arial" w:cs="Times New Roman"/>
                <w:b/>
                <w:sz w:val="16"/>
                <w:szCs w:val="20"/>
                <w:lang w:val="en-US"/>
              </w:rPr>
              <w:t>© 202</w:t>
            </w:r>
            <w:r w:rsidR="009E5171">
              <w:rPr>
                <w:rFonts w:ascii="Arial" w:hAnsi="Arial" w:cs="Times New Roman"/>
                <w:b/>
                <w:sz w:val="16"/>
                <w:szCs w:val="20"/>
                <w:lang w:val="en-US"/>
              </w:rPr>
              <w:t>2</w:t>
            </w:r>
            <w:r w:rsidRPr="002770A9">
              <w:rPr>
                <w:rFonts w:ascii="Arial" w:hAnsi="Arial" w:cs="Times New Roman"/>
                <w:b/>
                <w:sz w:val="16"/>
                <w:szCs w:val="20"/>
                <w:lang w:val="en-US"/>
              </w:rPr>
              <w:t xml:space="preserve"> WESTINGHOUSE ELECTRIC COMPANY LLC, ВСИЧКИ ПРАВА ЗАПАЗЕНИ – WESTINGHOUSE PROPRIETARY CLASS 2</w:t>
            </w:r>
          </w:p>
        </w:tc>
      </w:tr>
      <w:tr w:rsidR="002770A9" w:rsidRPr="002770A9" w14:paraId="6234E267" w14:textId="77777777" w:rsidTr="00376E61">
        <w:tblPrEx>
          <w:tblCellMar>
            <w:left w:w="36" w:type="dxa"/>
            <w:right w:w="36" w:type="dxa"/>
          </w:tblCellMar>
        </w:tblPrEx>
        <w:trPr>
          <w:gridAfter w:val="1"/>
          <w:wAfter w:w="126" w:type="dxa"/>
        </w:trPr>
        <w:tc>
          <w:tcPr>
            <w:tcW w:w="285" w:type="dxa"/>
            <w:tcBorders>
              <w:bottom w:val="single" w:sz="4" w:space="0" w:color="auto"/>
            </w:tcBorders>
          </w:tcPr>
          <w:p w14:paraId="7EE2348E" w14:textId="77777777" w:rsidR="002770A9" w:rsidRPr="002770A9" w:rsidRDefault="002770A9" w:rsidP="002770A9">
            <w:pPr>
              <w:tabs>
                <w:tab w:val="clear" w:pos="720"/>
                <w:tab w:val="clear" w:pos="1296"/>
                <w:tab w:val="clear" w:pos="1872"/>
                <w:tab w:val="clear" w:pos="2448"/>
                <w:tab w:val="left" w:pos="192"/>
                <w:tab w:val="left" w:pos="1833"/>
              </w:tabs>
              <w:suppressAutoHyphens/>
              <w:spacing w:before="20" w:after="40" w:line="240" w:lineRule="auto"/>
              <w:rPr>
                <w:rFonts w:ascii="Arial" w:hAnsi="Arial" w:cs="Arial"/>
                <w:kern w:val="0"/>
                <w:sz w:val="14"/>
                <w:szCs w:val="14"/>
                <w:lang w:val="en-US"/>
              </w:rPr>
            </w:pPr>
          </w:p>
        </w:tc>
        <w:tc>
          <w:tcPr>
            <w:tcW w:w="10776" w:type="dxa"/>
            <w:gridSpan w:val="12"/>
            <w:tcBorders>
              <w:bottom w:val="single" w:sz="4" w:space="0" w:color="auto"/>
            </w:tcBorders>
          </w:tcPr>
          <w:p w14:paraId="470724E5" w14:textId="77777777" w:rsidR="002770A9" w:rsidRPr="002770A9" w:rsidRDefault="002770A9" w:rsidP="002770A9">
            <w:pPr>
              <w:tabs>
                <w:tab w:val="clear" w:pos="720"/>
                <w:tab w:val="clear" w:pos="1296"/>
                <w:tab w:val="clear" w:pos="1872"/>
                <w:tab w:val="clear" w:pos="2448"/>
                <w:tab w:val="left" w:pos="192"/>
                <w:tab w:val="left" w:pos="1833"/>
              </w:tabs>
              <w:suppressAutoHyphens/>
              <w:spacing w:after="40" w:line="240" w:lineRule="auto"/>
              <w:rPr>
                <w:rFonts w:ascii="Arial" w:hAnsi="Arial" w:cs="Arial"/>
                <w:kern w:val="0"/>
                <w:sz w:val="14"/>
                <w:szCs w:val="14"/>
                <w:lang w:val="en-US"/>
              </w:rPr>
            </w:pPr>
            <w:r w:rsidRPr="002770A9">
              <w:rPr>
                <w:rFonts w:ascii="Arial" w:hAnsi="Arial" w:cs="Times New Roman"/>
                <w:sz w:val="14"/>
                <w:szCs w:val="20"/>
                <w:lang w:val="en-US"/>
              </w:rPr>
              <w:t>Информацията, включена в настоящия материал, е вътрешно фирмена и поверителна и не може да бъде разкривана или използвана по каквато и да е причина, освен за предвидената цел, без предварителното писмено съгласие на Westinghouse Electric Company LLC.   </w:t>
            </w:r>
          </w:p>
          <w:p w14:paraId="781F4206" w14:textId="77777777" w:rsidR="002770A9" w:rsidRPr="002770A9" w:rsidRDefault="002770A9" w:rsidP="002770A9">
            <w:pPr>
              <w:tabs>
                <w:tab w:val="clear" w:pos="720"/>
                <w:tab w:val="clear" w:pos="1296"/>
                <w:tab w:val="clear" w:pos="1872"/>
                <w:tab w:val="clear" w:pos="2448"/>
                <w:tab w:val="left" w:pos="192"/>
                <w:tab w:val="left" w:pos="1833"/>
              </w:tabs>
              <w:suppressAutoHyphens/>
              <w:spacing w:after="40" w:line="240" w:lineRule="auto"/>
              <w:rPr>
                <w:rFonts w:ascii="Arial" w:hAnsi="Arial" w:cs="Arial"/>
                <w:b/>
                <w:kern w:val="0"/>
                <w:sz w:val="14"/>
                <w:szCs w:val="14"/>
                <w:lang w:val="en-US"/>
              </w:rPr>
            </w:pPr>
            <w:r w:rsidRPr="002770A9">
              <w:rPr>
                <w:rFonts w:ascii="Arial" w:hAnsi="Arial" w:cs="Times New Roman"/>
                <w:b/>
                <w:sz w:val="14"/>
                <w:szCs w:val="20"/>
                <w:lang w:val="en-US"/>
              </w:rPr>
              <w:t>*БЕЛЕЖКА: Този избор трябва да се използва само за документи, генерирани от Уестингхаус.</w:t>
            </w:r>
          </w:p>
        </w:tc>
      </w:tr>
      <w:tr w:rsidR="002770A9" w:rsidRPr="002770A9" w14:paraId="4EE176C5" w14:textId="77777777" w:rsidTr="00376E61">
        <w:tblPrEx>
          <w:tblCellMar>
            <w:left w:w="36" w:type="dxa"/>
            <w:right w:w="36" w:type="dxa"/>
          </w:tblCellMar>
        </w:tblPrEx>
        <w:trPr>
          <w:gridAfter w:val="1"/>
          <w:wAfter w:w="126" w:type="dxa"/>
          <w:trHeight w:val="432"/>
        </w:trPr>
        <w:tc>
          <w:tcPr>
            <w:tcW w:w="285" w:type="dxa"/>
            <w:tcBorders>
              <w:top w:val="single" w:sz="4" w:space="0" w:color="auto"/>
            </w:tcBorders>
          </w:tcPr>
          <w:p w14:paraId="21DE7DEF" w14:textId="77777777" w:rsidR="002770A9" w:rsidRPr="002770A9" w:rsidRDefault="002770A9" w:rsidP="002770A9">
            <w:pPr>
              <w:tabs>
                <w:tab w:val="clear" w:pos="720"/>
                <w:tab w:val="clear" w:pos="1296"/>
                <w:tab w:val="clear" w:pos="1872"/>
                <w:tab w:val="clear" w:pos="2448"/>
                <w:tab w:val="left" w:pos="192"/>
              </w:tabs>
              <w:suppressAutoHyphens/>
              <w:spacing w:before="40" w:after="0" w:line="240" w:lineRule="auto"/>
              <w:jc w:val="center"/>
              <w:rPr>
                <w:rFonts w:ascii="Arial" w:hAnsi="Arial" w:cs="Arial"/>
                <w:kern w:val="0"/>
                <w:sz w:val="18"/>
                <w:szCs w:val="18"/>
                <w:lang w:val="en-US"/>
              </w:rPr>
            </w:pPr>
            <w:r w:rsidRPr="002770A9">
              <w:rPr>
                <w:rFonts w:ascii="Arial" w:hAnsi="Arial" w:cs="Arial"/>
                <w:sz w:val="18"/>
                <w:szCs w:val="20"/>
                <w:lang w:val="en-US"/>
              </w:rPr>
              <w:fldChar w:fldCharType="begin">
                <w:ffData>
                  <w:name w:val="Check1"/>
                  <w:enabled/>
                  <w:calcOnExit w:val="0"/>
                  <w:checkBox>
                    <w:sizeAuto/>
                    <w:default w:val="0"/>
                  </w:checkBox>
                </w:ffData>
              </w:fldChar>
            </w:r>
            <w:r w:rsidRPr="002770A9">
              <w:rPr>
                <w:rFonts w:ascii="Arial" w:hAnsi="Arial" w:cs="Arial"/>
                <w:sz w:val="18"/>
                <w:szCs w:val="20"/>
                <w:lang w:val="en-US"/>
              </w:rPr>
              <w:instrText xml:space="preserve"> FORMCHECKBOX </w:instrText>
            </w:r>
            <w:r w:rsidR="00C469CC">
              <w:rPr>
                <w:rFonts w:ascii="Arial" w:hAnsi="Arial" w:cs="Arial"/>
                <w:sz w:val="18"/>
                <w:szCs w:val="20"/>
                <w:lang w:val="en-US"/>
              </w:rPr>
            </w:r>
            <w:r w:rsidR="00C469CC">
              <w:rPr>
                <w:rFonts w:ascii="Arial" w:hAnsi="Arial" w:cs="Arial"/>
                <w:sz w:val="18"/>
                <w:szCs w:val="20"/>
                <w:lang w:val="en-US"/>
              </w:rPr>
              <w:fldChar w:fldCharType="separate"/>
            </w:r>
            <w:r w:rsidRPr="002770A9">
              <w:rPr>
                <w:rFonts w:ascii="Arial" w:hAnsi="Arial" w:cs="Arial"/>
                <w:sz w:val="18"/>
                <w:szCs w:val="20"/>
                <w:lang w:val="en-US"/>
              </w:rPr>
              <w:fldChar w:fldCharType="end"/>
            </w:r>
          </w:p>
        </w:tc>
        <w:tc>
          <w:tcPr>
            <w:tcW w:w="10776" w:type="dxa"/>
            <w:gridSpan w:val="12"/>
            <w:tcBorders>
              <w:top w:val="single" w:sz="4" w:space="0" w:color="auto"/>
            </w:tcBorders>
          </w:tcPr>
          <w:p w14:paraId="6F91FE9B" w14:textId="2B335898" w:rsidR="002770A9" w:rsidRPr="002770A9" w:rsidRDefault="002770A9" w:rsidP="002770A9">
            <w:pPr>
              <w:tabs>
                <w:tab w:val="clear" w:pos="720"/>
                <w:tab w:val="clear" w:pos="1296"/>
                <w:tab w:val="clear" w:pos="1872"/>
                <w:tab w:val="clear" w:pos="2448"/>
                <w:tab w:val="left" w:pos="192"/>
              </w:tabs>
              <w:suppressAutoHyphens/>
              <w:spacing w:before="40" w:after="0" w:line="240" w:lineRule="auto"/>
              <w:rPr>
                <w:rFonts w:ascii="Arial" w:hAnsi="Arial" w:cs="Arial"/>
                <w:b/>
                <w:kern w:val="0"/>
                <w:sz w:val="16"/>
                <w:szCs w:val="16"/>
                <w:lang w:val="en-US"/>
              </w:rPr>
            </w:pPr>
            <w:r w:rsidRPr="002770A9">
              <w:rPr>
                <w:rFonts w:ascii="Arial Bold" w:hAnsi="Arial Bold" w:cs="Times New Roman"/>
                <w:b/>
                <w:sz w:val="16"/>
                <w:szCs w:val="20"/>
                <w:lang w:val="en-US"/>
              </w:rPr>
              <w:t>© 202</w:t>
            </w:r>
            <w:r w:rsidR="009E5171">
              <w:rPr>
                <w:rFonts w:ascii="Arial Bold" w:hAnsi="Arial Bold" w:cs="Times New Roman"/>
                <w:b/>
                <w:sz w:val="16"/>
                <w:szCs w:val="20"/>
                <w:lang w:val="en-US"/>
              </w:rPr>
              <w:t>2</w:t>
            </w:r>
            <w:r w:rsidRPr="002770A9">
              <w:rPr>
                <w:rFonts w:ascii="Arial Bold" w:hAnsi="Arial Bold" w:cs="Times New Roman"/>
                <w:b/>
                <w:sz w:val="16"/>
                <w:szCs w:val="20"/>
                <w:lang w:val="en-US"/>
              </w:rPr>
              <w:t xml:space="preserve"> WESTINGHOUSE ELECTRIC COMPANY LLC, ВСИЧКИ ПРАВА ЗАПАЗЕНИ и/или © 2023 WESTINGHOUSE AP1000 БИЗНЕС ПАРТНЬОР, ВСИЧКИ ПРАВА ЗАПАЗЕНИ</w:t>
            </w:r>
            <w:r w:rsidRPr="002770A9">
              <w:rPr>
                <w:rFonts w:ascii="Arial" w:hAnsi="Arial" w:cs="Times New Roman"/>
                <w:b/>
                <w:sz w:val="16"/>
                <w:szCs w:val="20"/>
                <w:lang w:val="en-US"/>
              </w:rPr>
              <w:br/>
            </w:r>
            <w:r w:rsidRPr="002770A9">
              <w:rPr>
                <w:rFonts w:ascii="Arial Bold" w:hAnsi="Arial Bold" w:cs="Times New Roman"/>
                <w:b/>
                <w:sz w:val="16"/>
                <w:szCs w:val="20"/>
                <w:lang w:val="en-US"/>
              </w:rPr>
              <w:t>СОБСТВЕНОСТ НА УЕСТИНГХАУС КЛАС 2 и/или СОБСТВЕНОСТ НА УЕСТИНГХАУС БИЗНЕС ПАРТНЬОР (ВЖ. ПРИЛОЖЕНИЯ ДОКУМЕНТ)</w:t>
            </w:r>
          </w:p>
        </w:tc>
      </w:tr>
      <w:tr w:rsidR="002770A9" w:rsidRPr="002770A9" w14:paraId="00A1E0E2" w14:textId="77777777" w:rsidTr="00376E61">
        <w:tblPrEx>
          <w:tblCellMar>
            <w:left w:w="36" w:type="dxa"/>
            <w:right w:w="36" w:type="dxa"/>
          </w:tblCellMar>
        </w:tblPrEx>
        <w:trPr>
          <w:gridAfter w:val="1"/>
          <w:wAfter w:w="126" w:type="dxa"/>
          <w:trHeight w:val="504"/>
        </w:trPr>
        <w:tc>
          <w:tcPr>
            <w:tcW w:w="285" w:type="dxa"/>
            <w:tcBorders>
              <w:bottom w:val="single" w:sz="6" w:space="0" w:color="auto"/>
            </w:tcBorders>
          </w:tcPr>
          <w:p w14:paraId="3A964426" w14:textId="77777777" w:rsidR="002770A9" w:rsidRPr="002770A9" w:rsidRDefault="002770A9" w:rsidP="002770A9">
            <w:pPr>
              <w:tabs>
                <w:tab w:val="clear" w:pos="720"/>
                <w:tab w:val="clear" w:pos="1296"/>
                <w:tab w:val="clear" w:pos="1872"/>
                <w:tab w:val="clear" w:pos="2448"/>
                <w:tab w:val="left" w:pos="192"/>
              </w:tabs>
              <w:suppressAutoHyphens/>
              <w:spacing w:before="100" w:after="0" w:line="240" w:lineRule="auto"/>
              <w:jc w:val="center"/>
              <w:rPr>
                <w:rFonts w:ascii="Arial" w:hAnsi="Arial" w:cs="Arial"/>
                <w:kern w:val="0"/>
                <w:sz w:val="14"/>
                <w:szCs w:val="14"/>
                <w:lang w:val="en-US"/>
              </w:rPr>
            </w:pPr>
          </w:p>
          <w:p w14:paraId="31C144D1" w14:textId="77777777" w:rsidR="002770A9" w:rsidRPr="002770A9" w:rsidRDefault="002770A9" w:rsidP="002770A9">
            <w:pPr>
              <w:tabs>
                <w:tab w:val="clear" w:pos="720"/>
                <w:tab w:val="clear" w:pos="1296"/>
                <w:tab w:val="clear" w:pos="1872"/>
                <w:tab w:val="clear" w:pos="2448"/>
                <w:tab w:val="left" w:pos="192"/>
              </w:tabs>
              <w:suppressAutoHyphens/>
              <w:spacing w:before="100" w:after="0" w:line="240" w:lineRule="auto"/>
              <w:jc w:val="center"/>
              <w:rPr>
                <w:rFonts w:ascii="Arial" w:hAnsi="Arial" w:cs="Arial"/>
                <w:kern w:val="0"/>
                <w:sz w:val="14"/>
                <w:szCs w:val="14"/>
                <w:lang w:val="en-US"/>
              </w:rPr>
            </w:pPr>
          </w:p>
        </w:tc>
        <w:tc>
          <w:tcPr>
            <w:tcW w:w="10776" w:type="dxa"/>
            <w:gridSpan w:val="12"/>
            <w:tcBorders>
              <w:bottom w:val="single" w:sz="6" w:space="0" w:color="auto"/>
            </w:tcBorders>
          </w:tcPr>
          <w:p w14:paraId="5E79C5B0" w14:textId="77777777" w:rsidR="002770A9" w:rsidRPr="002770A9" w:rsidRDefault="002770A9" w:rsidP="002770A9">
            <w:pPr>
              <w:tabs>
                <w:tab w:val="clear" w:pos="720"/>
                <w:tab w:val="clear" w:pos="1296"/>
                <w:tab w:val="clear" w:pos="1872"/>
                <w:tab w:val="clear" w:pos="2448"/>
                <w:tab w:val="left" w:pos="192"/>
                <w:tab w:val="left" w:pos="1833"/>
              </w:tabs>
              <w:suppressAutoHyphens/>
              <w:spacing w:before="20" w:after="40" w:line="240" w:lineRule="auto"/>
              <w:rPr>
                <w:rFonts w:ascii="Arial" w:hAnsi="Arial" w:cs="Arial"/>
                <w:kern w:val="0"/>
                <w:sz w:val="14"/>
                <w:szCs w:val="14"/>
                <w:lang w:val="en-US"/>
              </w:rPr>
            </w:pPr>
            <w:r w:rsidRPr="002770A9">
              <w:rPr>
                <w:rFonts w:ascii="Arial" w:hAnsi="Arial" w:cs="Times New Roman"/>
                <w:sz w:val="14"/>
                <w:szCs w:val="20"/>
                <w:lang w:val="en-US"/>
              </w:rPr>
              <w:t>Информацията, включена в настоящия материал, е вътрешно фирмена и поверителна и не може да бъде разкривана или използвана по каквато и да е причина, освен за предвидената цел, без предварителното писмено съгласие на Westinghouse Electric Company LLC.   </w:t>
            </w:r>
          </w:p>
        </w:tc>
      </w:tr>
      <w:tr w:rsidR="002770A9" w:rsidRPr="002770A9" w14:paraId="4670E63B" w14:textId="77777777" w:rsidTr="00376E61">
        <w:tblPrEx>
          <w:tblCellMar>
            <w:left w:w="36" w:type="dxa"/>
            <w:right w:w="36" w:type="dxa"/>
          </w:tblCellMar>
        </w:tblPrEx>
        <w:trPr>
          <w:gridAfter w:val="1"/>
          <w:wAfter w:w="126" w:type="dxa"/>
          <w:trHeight w:val="525"/>
        </w:trPr>
        <w:tc>
          <w:tcPr>
            <w:tcW w:w="285" w:type="dxa"/>
            <w:tcBorders>
              <w:top w:val="single" w:sz="6" w:space="0" w:color="auto"/>
              <w:bottom w:val="single" w:sz="12" w:space="0" w:color="auto"/>
            </w:tcBorders>
          </w:tcPr>
          <w:p w14:paraId="5D3CFFD0" w14:textId="77777777" w:rsidR="002770A9" w:rsidRPr="002770A9" w:rsidRDefault="002770A9" w:rsidP="002770A9">
            <w:pPr>
              <w:tabs>
                <w:tab w:val="clear" w:pos="720"/>
                <w:tab w:val="clear" w:pos="1296"/>
                <w:tab w:val="clear" w:pos="1872"/>
                <w:tab w:val="clear" w:pos="2448"/>
                <w:tab w:val="left" w:pos="192"/>
              </w:tabs>
              <w:suppressAutoHyphens/>
              <w:spacing w:before="40" w:after="0" w:line="240" w:lineRule="auto"/>
              <w:jc w:val="center"/>
              <w:rPr>
                <w:rFonts w:ascii="Arial" w:hAnsi="Arial" w:cs="Arial"/>
                <w:kern w:val="0"/>
                <w:sz w:val="18"/>
                <w:szCs w:val="18"/>
                <w:lang w:val="en-US"/>
              </w:rPr>
            </w:pPr>
            <w:r w:rsidRPr="002770A9">
              <w:rPr>
                <w:rFonts w:ascii="Arial" w:hAnsi="Arial" w:cs="Arial"/>
                <w:sz w:val="18"/>
                <w:szCs w:val="20"/>
                <w:lang w:val="en-US"/>
              </w:rPr>
              <w:fldChar w:fldCharType="begin">
                <w:ffData>
                  <w:name w:val=""/>
                  <w:enabled/>
                  <w:calcOnExit w:val="0"/>
                  <w:checkBox>
                    <w:sizeAuto/>
                    <w:default w:val="0"/>
                  </w:checkBox>
                </w:ffData>
              </w:fldChar>
            </w:r>
            <w:r w:rsidRPr="002770A9">
              <w:rPr>
                <w:rFonts w:ascii="Arial" w:hAnsi="Arial" w:cs="Arial"/>
                <w:sz w:val="18"/>
                <w:szCs w:val="20"/>
                <w:lang w:val="en-US"/>
              </w:rPr>
              <w:instrText xml:space="preserve"> FORMCHECKBOX </w:instrText>
            </w:r>
            <w:r w:rsidR="00C469CC">
              <w:rPr>
                <w:rFonts w:ascii="Arial" w:hAnsi="Arial" w:cs="Arial"/>
                <w:sz w:val="18"/>
                <w:szCs w:val="20"/>
                <w:lang w:val="en-US"/>
              </w:rPr>
            </w:r>
            <w:r w:rsidR="00C469CC">
              <w:rPr>
                <w:rFonts w:ascii="Arial" w:hAnsi="Arial" w:cs="Arial"/>
                <w:sz w:val="18"/>
                <w:szCs w:val="20"/>
                <w:lang w:val="en-US"/>
              </w:rPr>
              <w:fldChar w:fldCharType="separate"/>
            </w:r>
            <w:r w:rsidRPr="002770A9">
              <w:rPr>
                <w:rFonts w:ascii="Arial" w:hAnsi="Arial" w:cs="Arial"/>
                <w:sz w:val="18"/>
                <w:szCs w:val="20"/>
                <w:lang w:val="en-US"/>
              </w:rPr>
              <w:fldChar w:fldCharType="end"/>
            </w:r>
          </w:p>
        </w:tc>
        <w:tc>
          <w:tcPr>
            <w:tcW w:w="10776" w:type="dxa"/>
            <w:gridSpan w:val="12"/>
            <w:tcBorders>
              <w:top w:val="single" w:sz="6" w:space="0" w:color="auto"/>
              <w:bottom w:val="single" w:sz="12" w:space="0" w:color="auto"/>
            </w:tcBorders>
          </w:tcPr>
          <w:p w14:paraId="082EB3DF" w14:textId="77777777" w:rsidR="002770A9" w:rsidRPr="002770A9" w:rsidRDefault="002770A9" w:rsidP="002770A9">
            <w:pPr>
              <w:tabs>
                <w:tab w:val="clear" w:pos="720"/>
                <w:tab w:val="clear" w:pos="1296"/>
                <w:tab w:val="clear" w:pos="1872"/>
                <w:tab w:val="clear" w:pos="2448"/>
                <w:tab w:val="left" w:pos="192"/>
                <w:tab w:val="left" w:pos="1833"/>
              </w:tabs>
              <w:suppressAutoHyphens/>
              <w:spacing w:before="40" w:after="0" w:line="240" w:lineRule="auto"/>
              <w:rPr>
                <w:rFonts w:ascii="Arial" w:hAnsi="Arial" w:cs="Arial"/>
                <w:spacing w:val="-2"/>
                <w:kern w:val="0"/>
                <w:sz w:val="20"/>
                <w:szCs w:val="20"/>
                <w:lang w:val="en-US"/>
              </w:rPr>
            </w:pPr>
            <w:r w:rsidRPr="002770A9">
              <w:rPr>
                <w:rFonts w:ascii="Arial" w:hAnsi="Arial" w:cs="Times New Roman"/>
                <w:b/>
                <w:sz w:val="16"/>
                <w:szCs w:val="20"/>
                <w:lang w:val="en-US"/>
              </w:rPr>
              <w:t>ПРЕДОСТАВЕНА ИНФОРМАЦИЯ ОТ ДОСТАВЧИК ИЛИ ТРЕТА СТРАНА – Архивиране и защита чрез политики за използване на информация за собственост на Уестингхаус Клас 2</w:t>
            </w:r>
          </w:p>
          <w:p w14:paraId="02B720C5" w14:textId="77777777" w:rsidR="002770A9" w:rsidRPr="002770A9" w:rsidRDefault="002770A9" w:rsidP="002770A9">
            <w:pPr>
              <w:tabs>
                <w:tab w:val="clear" w:pos="720"/>
                <w:tab w:val="clear" w:pos="1296"/>
                <w:tab w:val="clear" w:pos="1872"/>
                <w:tab w:val="clear" w:pos="2448"/>
                <w:tab w:val="left" w:pos="-720"/>
              </w:tabs>
              <w:suppressAutoHyphens/>
              <w:spacing w:after="40" w:line="240" w:lineRule="auto"/>
              <w:rPr>
                <w:rFonts w:ascii="Arial" w:hAnsi="Arial" w:cs="Arial"/>
                <w:kern w:val="0"/>
                <w:sz w:val="14"/>
                <w:szCs w:val="14"/>
                <w:lang w:val="en-US"/>
              </w:rPr>
            </w:pPr>
            <w:r w:rsidRPr="002770A9">
              <w:rPr>
                <w:rFonts w:ascii="Arial" w:hAnsi="Arial" w:cs="Times New Roman"/>
                <w:sz w:val="14"/>
                <w:szCs w:val="20"/>
                <w:lang w:val="en-US"/>
              </w:rPr>
              <w:t>Информацията, включена в настоящия материал, е вътрешно фирмена и поверителна и не може да бъде разкривана или използвана по каквато и да е причина, освен за предвидената цел, без предварителното писмено съгласие на Доставчика/Третата страна.</w:t>
            </w:r>
          </w:p>
        </w:tc>
      </w:tr>
      <w:tr w:rsidR="002770A9" w:rsidRPr="002770A9" w14:paraId="7E8805D7" w14:textId="77777777" w:rsidTr="00376E61">
        <w:tblPrEx>
          <w:tblCellMar>
            <w:left w:w="28" w:type="dxa"/>
            <w:right w:w="28" w:type="dxa"/>
          </w:tblCellMar>
        </w:tblPrEx>
        <w:trPr>
          <w:gridAfter w:val="1"/>
          <w:wAfter w:w="126" w:type="dxa"/>
        </w:trPr>
        <w:tc>
          <w:tcPr>
            <w:tcW w:w="4223" w:type="dxa"/>
            <w:gridSpan w:val="5"/>
            <w:tcBorders>
              <w:bottom w:val="single" w:sz="6" w:space="0" w:color="auto"/>
            </w:tcBorders>
          </w:tcPr>
          <w:p w14:paraId="743D35E8" w14:textId="739536A7" w:rsidR="002770A9" w:rsidRPr="002770A9" w:rsidRDefault="002770A9" w:rsidP="002770A9">
            <w:pPr>
              <w:tabs>
                <w:tab w:val="clear" w:pos="720"/>
                <w:tab w:val="clear" w:pos="1296"/>
                <w:tab w:val="clear" w:pos="1872"/>
                <w:tab w:val="clear" w:pos="2448"/>
                <w:tab w:val="left" w:pos="-720"/>
              </w:tabs>
              <w:suppressAutoHyphens/>
              <w:spacing w:before="30" w:after="0" w:line="240" w:lineRule="auto"/>
              <w:rPr>
                <w:rFonts w:ascii="Arial" w:hAnsi="Arial" w:cs="Arial"/>
                <w:kern w:val="0"/>
                <w:sz w:val="16"/>
                <w:szCs w:val="20"/>
                <w:lang w:val="en-US"/>
              </w:rPr>
            </w:pPr>
            <w:r w:rsidRPr="002770A9">
              <w:rPr>
                <w:rFonts w:ascii="Arial" w:hAnsi="Arial" w:cs="Arial"/>
                <w:sz w:val="16"/>
                <w:szCs w:val="20"/>
                <w:lang w:val="en-US"/>
              </w:rPr>
              <w:t xml:space="preserve">ПЪРВОИЗТОЧНИК(ЦИ) </w:t>
            </w:r>
          </w:p>
          <w:p w14:paraId="6B49F945" w14:textId="5A1745A6" w:rsidR="002770A9" w:rsidRPr="002770A9" w:rsidRDefault="002D73AD" w:rsidP="002770A9">
            <w:pPr>
              <w:tabs>
                <w:tab w:val="clear" w:pos="720"/>
                <w:tab w:val="clear" w:pos="1296"/>
                <w:tab w:val="clear" w:pos="1872"/>
                <w:tab w:val="clear" w:pos="2448"/>
                <w:tab w:val="left" w:pos="-720"/>
              </w:tabs>
              <w:suppressAutoHyphens/>
              <w:spacing w:before="20" w:after="20" w:line="240" w:lineRule="auto"/>
              <w:rPr>
                <w:rFonts w:ascii="Arial" w:hAnsi="Arial" w:cs="Arial"/>
                <w:kern w:val="0"/>
                <w:sz w:val="16"/>
                <w:szCs w:val="16"/>
                <w:lang w:val="en-US"/>
              </w:rPr>
            </w:pPr>
            <w:r w:rsidRPr="002D73AD">
              <w:rPr>
                <w:rFonts w:ascii="Arial" w:hAnsi="Arial" w:cs="Times New Roman"/>
                <w:kern w:val="0"/>
                <w:sz w:val="20"/>
                <w:szCs w:val="16"/>
                <w:lang w:val="en-US"/>
              </w:rPr>
              <w:t>Marcin M. Fiodorow</w:t>
            </w:r>
          </w:p>
        </w:tc>
        <w:tc>
          <w:tcPr>
            <w:tcW w:w="6838" w:type="dxa"/>
            <w:gridSpan w:val="8"/>
            <w:tcBorders>
              <w:left w:val="single" w:sz="6" w:space="0" w:color="auto"/>
              <w:bottom w:val="single" w:sz="6" w:space="0" w:color="auto"/>
            </w:tcBorders>
          </w:tcPr>
          <w:p w14:paraId="0FECACCD" w14:textId="634D7428" w:rsidR="002770A9" w:rsidRPr="002770A9" w:rsidRDefault="002770A9" w:rsidP="002770A9">
            <w:pPr>
              <w:tabs>
                <w:tab w:val="clear" w:pos="720"/>
                <w:tab w:val="clear" w:pos="1296"/>
                <w:tab w:val="clear" w:pos="1872"/>
                <w:tab w:val="clear" w:pos="2448"/>
                <w:tab w:val="left" w:pos="-720"/>
              </w:tabs>
              <w:suppressAutoHyphens/>
              <w:spacing w:before="30" w:after="0" w:line="240" w:lineRule="auto"/>
              <w:rPr>
                <w:rFonts w:ascii="Arial" w:hAnsi="Arial" w:cs="Arial"/>
                <w:kern w:val="0"/>
                <w:sz w:val="16"/>
                <w:szCs w:val="16"/>
                <w:lang w:val="en-US"/>
              </w:rPr>
            </w:pPr>
            <w:r w:rsidRPr="002770A9">
              <w:rPr>
                <w:rFonts w:ascii="Arial" w:hAnsi="Arial" w:cs="Times New Roman"/>
                <w:sz w:val="16"/>
                <w:szCs w:val="20"/>
                <w:lang w:val="en-US"/>
              </w:rPr>
              <w:t xml:space="preserve"> ПОДПИС / ДАТА</w:t>
            </w:r>
            <w:r w:rsidRPr="002770A9">
              <w:rPr>
                <w:rFonts w:ascii="Arial Bold" w:hAnsi="Arial Bold" w:cs="Times New Roman"/>
                <w:b/>
                <w:color w:val="FF0000"/>
                <w:sz w:val="14"/>
                <w:szCs w:val="20"/>
                <w:lang w:val="en-US"/>
              </w:rPr>
              <w:t xml:space="preserve"> </w:t>
            </w:r>
          </w:p>
          <w:p w14:paraId="05ADFB22" w14:textId="77777777" w:rsidR="002770A9" w:rsidRPr="002770A9" w:rsidRDefault="002770A9" w:rsidP="002770A9">
            <w:pPr>
              <w:tabs>
                <w:tab w:val="clear" w:pos="720"/>
                <w:tab w:val="clear" w:pos="1296"/>
                <w:tab w:val="clear" w:pos="1872"/>
                <w:tab w:val="clear" w:pos="2448"/>
                <w:tab w:val="left" w:pos="-720"/>
              </w:tabs>
              <w:suppressAutoHyphens/>
              <w:spacing w:before="20" w:after="20" w:line="240" w:lineRule="auto"/>
              <w:rPr>
                <w:rFonts w:ascii="Arial" w:hAnsi="Arial" w:cs="Arial"/>
                <w:b/>
                <w:i/>
                <w:kern w:val="0"/>
                <w:sz w:val="16"/>
                <w:szCs w:val="16"/>
                <w:lang w:val="en-US"/>
              </w:rPr>
            </w:pPr>
            <w:r w:rsidRPr="002770A9">
              <w:rPr>
                <w:rFonts w:ascii="Arial" w:hAnsi="Arial" w:cs="Times New Roman"/>
                <w:b/>
                <w:i/>
                <w:sz w:val="16"/>
                <w:szCs w:val="20"/>
                <w:lang w:val="en-US"/>
              </w:rPr>
              <w:t xml:space="preserve"> </w:t>
            </w:r>
            <w:r w:rsidRPr="002770A9">
              <w:rPr>
                <w:rFonts w:ascii="Arial" w:hAnsi="Arial" w:cs="Arial"/>
                <w:b/>
                <w:sz w:val="16"/>
                <w:szCs w:val="20"/>
                <w:lang w:val="en-US"/>
              </w:rPr>
              <w:fldChar w:fldCharType="begin">
                <w:ffData>
                  <w:name w:val=""/>
                  <w:enabled/>
                  <w:calcOnExit w:val="0"/>
                  <w:ddList>
                    <w:listEntry w:val="Електронно одобрен***"/>
                    <w:listEntry w:val="                              "/>
                  </w:ddList>
                </w:ffData>
              </w:fldChar>
            </w:r>
            <w:r w:rsidRPr="002770A9">
              <w:rPr>
                <w:rFonts w:ascii="Arial" w:hAnsi="Arial" w:cs="Arial"/>
                <w:b/>
                <w:sz w:val="16"/>
                <w:szCs w:val="20"/>
                <w:lang w:val="en-US"/>
              </w:rPr>
              <w:instrText xml:space="preserve"> FORMDROPDOWN </w:instrText>
            </w:r>
            <w:r w:rsidR="00C469CC">
              <w:rPr>
                <w:rFonts w:ascii="Arial" w:hAnsi="Arial" w:cs="Arial"/>
                <w:b/>
                <w:sz w:val="16"/>
                <w:szCs w:val="20"/>
                <w:lang w:val="en-US"/>
              </w:rPr>
            </w:r>
            <w:r w:rsidR="00C469CC">
              <w:rPr>
                <w:rFonts w:ascii="Arial" w:hAnsi="Arial" w:cs="Arial"/>
                <w:b/>
                <w:sz w:val="16"/>
                <w:szCs w:val="20"/>
                <w:lang w:val="en-US"/>
              </w:rPr>
              <w:fldChar w:fldCharType="separate"/>
            </w:r>
            <w:r w:rsidRPr="002770A9">
              <w:rPr>
                <w:rFonts w:ascii="Arial" w:hAnsi="Arial" w:cs="Arial"/>
                <w:b/>
                <w:sz w:val="16"/>
                <w:szCs w:val="20"/>
                <w:lang w:val="en-US"/>
              </w:rPr>
              <w:fldChar w:fldCharType="end"/>
            </w:r>
          </w:p>
        </w:tc>
      </w:tr>
      <w:tr w:rsidR="002770A9" w:rsidRPr="002770A9" w14:paraId="438F96B8" w14:textId="77777777" w:rsidTr="00376E61">
        <w:tblPrEx>
          <w:tblCellMar>
            <w:left w:w="28" w:type="dxa"/>
            <w:right w:w="28" w:type="dxa"/>
          </w:tblCellMar>
        </w:tblPrEx>
        <w:trPr>
          <w:gridAfter w:val="1"/>
          <w:wAfter w:w="126" w:type="dxa"/>
        </w:trPr>
        <w:tc>
          <w:tcPr>
            <w:tcW w:w="4223" w:type="dxa"/>
            <w:gridSpan w:val="5"/>
            <w:tcBorders>
              <w:top w:val="single" w:sz="6" w:space="0" w:color="auto"/>
            </w:tcBorders>
          </w:tcPr>
          <w:p w14:paraId="1D9EB5B4" w14:textId="77777777" w:rsidR="002770A9" w:rsidRDefault="002770A9" w:rsidP="002770A9">
            <w:pPr>
              <w:tabs>
                <w:tab w:val="clear" w:pos="720"/>
                <w:tab w:val="clear" w:pos="1296"/>
                <w:tab w:val="clear" w:pos="1872"/>
                <w:tab w:val="clear" w:pos="2448"/>
                <w:tab w:val="left" w:pos="-720"/>
              </w:tabs>
              <w:suppressAutoHyphens/>
              <w:spacing w:before="20" w:after="0" w:line="240" w:lineRule="auto"/>
              <w:rPr>
                <w:rFonts w:ascii="Arial" w:hAnsi="Arial" w:cs="Arial"/>
                <w:sz w:val="16"/>
                <w:szCs w:val="20"/>
                <w:lang w:val="en-US"/>
              </w:rPr>
            </w:pPr>
            <w:r w:rsidRPr="002770A9">
              <w:rPr>
                <w:rFonts w:ascii="Arial" w:hAnsi="Arial" w:cs="Arial"/>
                <w:sz w:val="16"/>
                <w:szCs w:val="20"/>
                <w:lang w:val="en-US"/>
              </w:rPr>
              <w:t>ПРЕГЛЕДАЛ(И</w:t>
            </w:r>
          </w:p>
          <w:p w14:paraId="42ACE313" w14:textId="0FDF25D6" w:rsidR="002770A9" w:rsidRPr="002770A9" w:rsidRDefault="002770A9" w:rsidP="002770A9">
            <w:pPr>
              <w:tabs>
                <w:tab w:val="clear" w:pos="720"/>
                <w:tab w:val="clear" w:pos="1296"/>
                <w:tab w:val="clear" w:pos="1872"/>
                <w:tab w:val="clear" w:pos="2448"/>
                <w:tab w:val="left" w:pos="-720"/>
              </w:tabs>
              <w:suppressAutoHyphens/>
              <w:spacing w:before="20" w:after="0" w:line="240" w:lineRule="auto"/>
              <w:rPr>
                <w:rFonts w:ascii="Arial" w:hAnsi="Arial" w:cs="Times New Roman"/>
                <w:kern w:val="0"/>
                <w:sz w:val="20"/>
                <w:szCs w:val="16"/>
                <w:lang w:val="en-US"/>
              </w:rPr>
            </w:pPr>
            <w:r w:rsidRPr="002770A9">
              <w:rPr>
                <w:rFonts w:ascii="Arial" w:hAnsi="Arial" w:cs="Times New Roman"/>
                <w:kern w:val="0"/>
                <w:sz w:val="20"/>
                <w:szCs w:val="16"/>
                <w:lang w:val="en-US"/>
              </w:rPr>
              <w:t>Angel Saez Garcia</w:t>
            </w:r>
          </w:p>
          <w:p w14:paraId="2D61CF55" w14:textId="7D901FC6" w:rsidR="002770A9" w:rsidRPr="002770A9" w:rsidRDefault="002770A9" w:rsidP="002770A9">
            <w:pPr>
              <w:tabs>
                <w:tab w:val="clear" w:pos="720"/>
                <w:tab w:val="clear" w:pos="1296"/>
                <w:tab w:val="clear" w:pos="1872"/>
                <w:tab w:val="clear" w:pos="2448"/>
                <w:tab w:val="left" w:pos="-720"/>
              </w:tabs>
              <w:suppressAutoHyphens/>
              <w:spacing w:before="20" w:after="0" w:line="240" w:lineRule="auto"/>
              <w:rPr>
                <w:rFonts w:ascii="Arial" w:hAnsi="Arial" w:cs="Arial"/>
                <w:kern w:val="0"/>
                <w:sz w:val="16"/>
                <w:szCs w:val="16"/>
                <w:lang w:val="en-US"/>
              </w:rPr>
            </w:pPr>
            <w:r w:rsidRPr="002770A9">
              <w:rPr>
                <w:rFonts w:ascii="Arial" w:hAnsi="Arial" w:cs="Arial"/>
                <w:kern w:val="0"/>
                <w:sz w:val="20"/>
                <w:szCs w:val="20"/>
                <w:lang w:val="en-US"/>
              </w:rPr>
              <w:t>Benjamin W. Amiri</w:t>
            </w:r>
          </w:p>
        </w:tc>
        <w:tc>
          <w:tcPr>
            <w:tcW w:w="6838" w:type="dxa"/>
            <w:gridSpan w:val="8"/>
            <w:tcBorders>
              <w:top w:val="single" w:sz="6" w:space="0" w:color="auto"/>
              <w:left w:val="single" w:sz="6" w:space="0" w:color="auto"/>
            </w:tcBorders>
          </w:tcPr>
          <w:p w14:paraId="1C5BAF6C" w14:textId="77777777" w:rsidR="002770A9" w:rsidRPr="002770A9" w:rsidRDefault="002770A9" w:rsidP="002770A9">
            <w:pPr>
              <w:tabs>
                <w:tab w:val="clear" w:pos="720"/>
                <w:tab w:val="clear" w:pos="1296"/>
                <w:tab w:val="clear" w:pos="1872"/>
                <w:tab w:val="clear" w:pos="2448"/>
                <w:tab w:val="left" w:pos="-720"/>
              </w:tabs>
              <w:suppressAutoHyphens/>
              <w:spacing w:before="20" w:after="0" w:line="240" w:lineRule="auto"/>
              <w:rPr>
                <w:rFonts w:ascii="Arial" w:hAnsi="Arial" w:cs="Arial"/>
                <w:kern w:val="0"/>
                <w:sz w:val="16"/>
                <w:szCs w:val="20"/>
                <w:lang w:val="en-US"/>
              </w:rPr>
            </w:pPr>
            <w:r w:rsidRPr="002770A9">
              <w:rPr>
                <w:rFonts w:ascii="Arial" w:hAnsi="Arial" w:cs="Times New Roman"/>
                <w:sz w:val="16"/>
                <w:szCs w:val="20"/>
                <w:lang w:val="en-US"/>
              </w:rPr>
              <w:t xml:space="preserve"> ПОДПИС / ДАТА</w:t>
            </w:r>
          </w:p>
          <w:p w14:paraId="70AEDE1A" w14:textId="77777777" w:rsidR="002770A9" w:rsidRDefault="002770A9" w:rsidP="002770A9">
            <w:pPr>
              <w:tabs>
                <w:tab w:val="clear" w:pos="720"/>
                <w:tab w:val="clear" w:pos="1296"/>
                <w:tab w:val="clear" w:pos="1872"/>
                <w:tab w:val="clear" w:pos="2448"/>
                <w:tab w:val="left" w:pos="-720"/>
              </w:tabs>
              <w:suppressAutoHyphens/>
              <w:spacing w:after="20" w:line="240" w:lineRule="auto"/>
              <w:rPr>
                <w:rFonts w:ascii="Arial" w:hAnsi="Arial" w:cs="Arial"/>
                <w:b/>
                <w:sz w:val="16"/>
                <w:szCs w:val="20"/>
                <w:lang w:val="en-US"/>
              </w:rPr>
            </w:pPr>
            <w:r w:rsidRPr="002770A9">
              <w:rPr>
                <w:rFonts w:ascii="Arial" w:hAnsi="Arial" w:cs="Times New Roman"/>
                <w:sz w:val="16"/>
                <w:szCs w:val="20"/>
                <w:lang w:val="en-US"/>
              </w:rPr>
              <w:t xml:space="preserve"> </w:t>
            </w:r>
            <w:r w:rsidRPr="002770A9">
              <w:rPr>
                <w:rFonts w:ascii="Arial" w:hAnsi="Arial" w:cs="Arial"/>
                <w:b/>
                <w:sz w:val="16"/>
                <w:szCs w:val="20"/>
                <w:lang w:val="en-US"/>
              </w:rPr>
              <w:fldChar w:fldCharType="begin">
                <w:ffData>
                  <w:name w:val=""/>
                  <w:enabled/>
                  <w:calcOnExit w:val="0"/>
                  <w:ddList>
                    <w:listEntry w:val="Електронно одобрен***"/>
                    <w:listEntry w:val="                              "/>
                  </w:ddList>
                </w:ffData>
              </w:fldChar>
            </w:r>
            <w:r w:rsidRPr="002770A9">
              <w:rPr>
                <w:rFonts w:ascii="Arial" w:hAnsi="Arial" w:cs="Arial"/>
                <w:b/>
                <w:sz w:val="16"/>
                <w:szCs w:val="20"/>
                <w:lang w:val="en-US"/>
              </w:rPr>
              <w:instrText xml:space="preserve"> FORMDROPDOWN </w:instrText>
            </w:r>
            <w:r w:rsidR="00C469CC">
              <w:rPr>
                <w:rFonts w:ascii="Arial" w:hAnsi="Arial" w:cs="Arial"/>
                <w:b/>
                <w:sz w:val="16"/>
                <w:szCs w:val="20"/>
                <w:lang w:val="en-US"/>
              </w:rPr>
            </w:r>
            <w:r w:rsidR="00C469CC">
              <w:rPr>
                <w:rFonts w:ascii="Arial" w:hAnsi="Arial" w:cs="Arial"/>
                <w:b/>
                <w:sz w:val="16"/>
                <w:szCs w:val="20"/>
                <w:lang w:val="en-US"/>
              </w:rPr>
              <w:fldChar w:fldCharType="separate"/>
            </w:r>
            <w:r w:rsidRPr="002770A9">
              <w:rPr>
                <w:rFonts w:ascii="Arial" w:hAnsi="Arial" w:cs="Arial"/>
                <w:b/>
                <w:sz w:val="16"/>
                <w:szCs w:val="20"/>
                <w:lang w:val="en-US"/>
              </w:rPr>
              <w:fldChar w:fldCharType="end"/>
            </w:r>
          </w:p>
          <w:p w14:paraId="7F8B7D08" w14:textId="77777777" w:rsidR="002770A9" w:rsidRPr="002770A9" w:rsidRDefault="002770A9" w:rsidP="002770A9">
            <w:pPr>
              <w:tabs>
                <w:tab w:val="clear" w:pos="720"/>
                <w:tab w:val="clear" w:pos="1296"/>
                <w:tab w:val="clear" w:pos="1872"/>
                <w:tab w:val="clear" w:pos="2448"/>
                <w:tab w:val="left" w:pos="-720"/>
              </w:tabs>
              <w:suppressAutoHyphens/>
              <w:spacing w:before="20" w:after="0" w:line="240" w:lineRule="auto"/>
              <w:rPr>
                <w:rFonts w:ascii="Arial" w:hAnsi="Arial" w:cs="Arial"/>
                <w:kern w:val="0"/>
                <w:sz w:val="16"/>
                <w:szCs w:val="20"/>
                <w:lang w:val="en-US"/>
              </w:rPr>
            </w:pPr>
            <w:r w:rsidRPr="002770A9">
              <w:rPr>
                <w:rFonts w:ascii="Arial" w:hAnsi="Arial" w:cs="Times New Roman"/>
                <w:sz w:val="16"/>
                <w:szCs w:val="20"/>
                <w:lang w:val="en-US"/>
              </w:rPr>
              <w:t>ПОДПИС / ДАТА</w:t>
            </w:r>
          </w:p>
          <w:p w14:paraId="046576EA" w14:textId="2548AA32" w:rsidR="002770A9" w:rsidRPr="002770A9" w:rsidRDefault="002770A9" w:rsidP="002770A9">
            <w:pPr>
              <w:tabs>
                <w:tab w:val="clear" w:pos="720"/>
                <w:tab w:val="clear" w:pos="1296"/>
                <w:tab w:val="clear" w:pos="1872"/>
                <w:tab w:val="clear" w:pos="2448"/>
                <w:tab w:val="left" w:pos="-720"/>
              </w:tabs>
              <w:suppressAutoHyphens/>
              <w:spacing w:after="20" w:line="240" w:lineRule="auto"/>
              <w:rPr>
                <w:rFonts w:ascii="Arial" w:hAnsi="Arial" w:cs="Arial"/>
                <w:b/>
                <w:kern w:val="0"/>
                <w:sz w:val="24"/>
                <w:lang w:val="en-US"/>
              </w:rPr>
            </w:pPr>
            <w:r w:rsidRPr="002770A9">
              <w:rPr>
                <w:rFonts w:ascii="Arial" w:hAnsi="Arial" w:cs="Times New Roman"/>
                <w:sz w:val="16"/>
                <w:szCs w:val="20"/>
                <w:lang w:val="en-US"/>
              </w:rPr>
              <w:t xml:space="preserve"> </w:t>
            </w:r>
            <w:r w:rsidRPr="002770A9">
              <w:rPr>
                <w:rFonts w:ascii="Arial" w:hAnsi="Arial" w:cs="Arial"/>
                <w:b/>
                <w:sz w:val="16"/>
                <w:szCs w:val="20"/>
                <w:lang w:val="en-US"/>
              </w:rPr>
              <w:fldChar w:fldCharType="begin">
                <w:ffData>
                  <w:name w:val=""/>
                  <w:enabled/>
                  <w:calcOnExit w:val="0"/>
                  <w:ddList>
                    <w:listEntry w:val="Електронно одобрен***"/>
                    <w:listEntry w:val="                              "/>
                  </w:ddList>
                </w:ffData>
              </w:fldChar>
            </w:r>
            <w:r w:rsidRPr="002770A9">
              <w:rPr>
                <w:rFonts w:ascii="Arial" w:hAnsi="Arial" w:cs="Arial"/>
                <w:b/>
                <w:sz w:val="16"/>
                <w:szCs w:val="20"/>
                <w:lang w:val="en-US"/>
              </w:rPr>
              <w:instrText xml:space="preserve"> FORMDROPDOWN </w:instrText>
            </w:r>
            <w:r w:rsidR="00C469CC">
              <w:rPr>
                <w:rFonts w:ascii="Arial" w:hAnsi="Arial" w:cs="Arial"/>
                <w:b/>
                <w:sz w:val="16"/>
                <w:szCs w:val="20"/>
                <w:lang w:val="en-US"/>
              </w:rPr>
            </w:r>
            <w:r w:rsidR="00C469CC">
              <w:rPr>
                <w:rFonts w:ascii="Arial" w:hAnsi="Arial" w:cs="Arial"/>
                <w:b/>
                <w:sz w:val="16"/>
                <w:szCs w:val="20"/>
                <w:lang w:val="en-US"/>
              </w:rPr>
              <w:fldChar w:fldCharType="separate"/>
            </w:r>
            <w:r w:rsidRPr="002770A9">
              <w:rPr>
                <w:rFonts w:ascii="Arial" w:hAnsi="Arial" w:cs="Arial"/>
                <w:b/>
                <w:sz w:val="16"/>
                <w:szCs w:val="20"/>
                <w:lang w:val="en-US"/>
              </w:rPr>
              <w:fldChar w:fldCharType="end"/>
            </w:r>
          </w:p>
        </w:tc>
      </w:tr>
      <w:tr w:rsidR="002770A9" w:rsidRPr="002770A9" w14:paraId="25D737FF" w14:textId="77777777" w:rsidTr="00376E61">
        <w:tblPrEx>
          <w:tblCellMar>
            <w:left w:w="28" w:type="dxa"/>
            <w:right w:w="28" w:type="dxa"/>
          </w:tblCellMar>
        </w:tblPrEx>
        <w:trPr>
          <w:gridAfter w:val="1"/>
          <w:wAfter w:w="126" w:type="dxa"/>
          <w:trHeight w:val="20"/>
        </w:trPr>
        <w:tc>
          <w:tcPr>
            <w:tcW w:w="4223" w:type="dxa"/>
            <w:gridSpan w:val="5"/>
            <w:vMerge w:val="restart"/>
            <w:tcBorders>
              <w:top w:val="single" w:sz="6" w:space="0" w:color="auto"/>
            </w:tcBorders>
          </w:tcPr>
          <w:p w14:paraId="7695F505" w14:textId="77777777" w:rsidR="002770A9" w:rsidRPr="002770A9" w:rsidRDefault="002770A9" w:rsidP="002770A9">
            <w:pPr>
              <w:tabs>
                <w:tab w:val="clear" w:pos="720"/>
                <w:tab w:val="clear" w:pos="1296"/>
                <w:tab w:val="clear" w:pos="1872"/>
                <w:tab w:val="clear" w:pos="2448"/>
                <w:tab w:val="left" w:pos="-720"/>
              </w:tabs>
              <w:suppressAutoHyphens/>
              <w:spacing w:before="20" w:after="0" w:line="240" w:lineRule="auto"/>
              <w:rPr>
                <w:rFonts w:ascii="Arial" w:hAnsi="Arial" w:cs="Arial"/>
                <w:kern w:val="0"/>
                <w:sz w:val="16"/>
                <w:szCs w:val="20"/>
                <w:lang w:val="en-US"/>
              </w:rPr>
            </w:pPr>
            <w:r w:rsidRPr="002770A9">
              <w:rPr>
                <w:rFonts w:ascii="Arial" w:hAnsi="Arial" w:cs="Times New Roman"/>
                <w:sz w:val="16"/>
                <w:szCs w:val="20"/>
                <w:lang w:val="en-US"/>
              </w:rPr>
              <w:t xml:space="preserve">ПРОВЕРИЛ(И) </w:t>
            </w:r>
          </w:p>
          <w:p w14:paraId="71E5BB65" w14:textId="5B2A5EB6" w:rsidR="002770A9" w:rsidRPr="002770A9" w:rsidRDefault="002770A9" w:rsidP="002770A9">
            <w:pPr>
              <w:tabs>
                <w:tab w:val="clear" w:pos="720"/>
                <w:tab w:val="clear" w:pos="1296"/>
                <w:tab w:val="clear" w:pos="1872"/>
                <w:tab w:val="clear" w:pos="2448"/>
                <w:tab w:val="left" w:pos="-720"/>
              </w:tabs>
              <w:suppressAutoHyphens/>
              <w:spacing w:after="20" w:line="240" w:lineRule="auto"/>
              <w:rPr>
                <w:rFonts w:ascii="Arial" w:hAnsi="Arial" w:cs="Arial"/>
                <w:kern w:val="0"/>
                <w:sz w:val="16"/>
                <w:szCs w:val="16"/>
              </w:rPr>
            </w:pPr>
            <w:r>
              <w:rPr>
                <w:rFonts w:ascii="Arial" w:hAnsi="Arial" w:cs="Times New Roman"/>
                <w:sz w:val="16"/>
                <w:szCs w:val="20"/>
              </w:rPr>
              <w:t>Неприложим</w:t>
            </w:r>
          </w:p>
        </w:tc>
        <w:tc>
          <w:tcPr>
            <w:tcW w:w="2167" w:type="dxa"/>
            <w:gridSpan w:val="3"/>
            <w:vMerge w:val="restart"/>
            <w:tcBorders>
              <w:top w:val="single" w:sz="6" w:space="0" w:color="auto"/>
              <w:left w:val="single" w:sz="6" w:space="0" w:color="auto"/>
            </w:tcBorders>
          </w:tcPr>
          <w:p w14:paraId="15531831" w14:textId="77777777" w:rsidR="002770A9" w:rsidRPr="002770A9" w:rsidRDefault="002770A9" w:rsidP="002770A9">
            <w:pPr>
              <w:tabs>
                <w:tab w:val="clear" w:pos="720"/>
                <w:tab w:val="clear" w:pos="1296"/>
                <w:tab w:val="clear" w:pos="1872"/>
                <w:tab w:val="clear" w:pos="2448"/>
                <w:tab w:val="left" w:pos="-720"/>
              </w:tabs>
              <w:suppressAutoHyphens/>
              <w:spacing w:before="20" w:after="0" w:line="240" w:lineRule="auto"/>
              <w:rPr>
                <w:rFonts w:ascii="Arial" w:hAnsi="Arial" w:cs="Arial"/>
                <w:kern w:val="0"/>
                <w:sz w:val="16"/>
                <w:szCs w:val="16"/>
                <w:lang w:val="en-US"/>
              </w:rPr>
            </w:pPr>
            <w:r w:rsidRPr="002770A9">
              <w:rPr>
                <w:rFonts w:ascii="Arial" w:hAnsi="Arial" w:cs="Times New Roman"/>
                <w:sz w:val="16"/>
                <w:szCs w:val="20"/>
                <w:lang w:val="en-US"/>
              </w:rPr>
              <w:t xml:space="preserve"> ПОДПИС / ДАТА</w:t>
            </w:r>
          </w:p>
          <w:p w14:paraId="2FD3C513" w14:textId="77777777" w:rsidR="002770A9" w:rsidRPr="002770A9" w:rsidRDefault="002770A9" w:rsidP="002770A9">
            <w:pPr>
              <w:tabs>
                <w:tab w:val="clear" w:pos="720"/>
                <w:tab w:val="clear" w:pos="1296"/>
                <w:tab w:val="clear" w:pos="1872"/>
                <w:tab w:val="clear" w:pos="2448"/>
                <w:tab w:val="left" w:pos="-720"/>
              </w:tabs>
              <w:suppressAutoHyphens/>
              <w:spacing w:after="20" w:line="240" w:lineRule="auto"/>
              <w:rPr>
                <w:rFonts w:ascii="Arial" w:hAnsi="Arial" w:cs="Arial"/>
                <w:b/>
                <w:kern w:val="0"/>
                <w:sz w:val="16"/>
                <w:szCs w:val="16"/>
                <w:lang w:val="en-US"/>
              </w:rPr>
            </w:pPr>
            <w:r w:rsidRPr="002770A9">
              <w:rPr>
                <w:rFonts w:ascii="Arial" w:hAnsi="Arial" w:cs="Times New Roman"/>
                <w:sz w:val="16"/>
                <w:szCs w:val="20"/>
                <w:lang w:val="en-US"/>
              </w:rPr>
              <w:t xml:space="preserve"> </w:t>
            </w:r>
            <w:r w:rsidRPr="002770A9">
              <w:rPr>
                <w:rFonts w:ascii="Arial" w:hAnsi="Arial" w:cs="Arial"/>
                <w:b/>
                <w:sz w:val="16"/>
                <w:szCs w:val="20"/>
                <w:lang w:val="en-US"/>
              </w:rPr>
              <w:fldChar w:fldCharType="begin">
                <w:ffData>
                  <w:name w:val="Dropdown4"/>
                  <w:enabled/>
                  <w:calcOnExit w:val="0"/>
                  <w:ddList>
                    <w:listEntry w:val="Електронно одобрен***"/>
                  </w:ddList>
                </w:ffData>
              </w:fldChar>
            </w:r>
            <w:r w:rsidRPr="002770A9">
              <w:rPr>
                <w:rFonts w:ascii="Arial" w:hAnsi="Arial" w:cs="Arial"/>
                <w:b/>
                <w:sz w:val="16"/>
                <w:szCs w:val="20"/>
                <w:lang w:val="en-US"/>
              </w:rPr>
              <w:instrText xml:space="preserve"> FORMDROPDOWN </w:instrText>
            </w:r>
            <w:r w:rsidR="00C469CC">
              <w:rPr>
                <w:rFonts w:ascii="Arial" w:hAnsi="Arial" w:cs="Arial"/>
                <w:b/>
                <w:sz w:val="16"/>
                <w:szCs w:val="20"/>
                <w:lang w:val="en-US"/>
              </w:rPr>
            </w:r>
            <w:r w:rsidR="00C469CC">
              <w:rPr>
                <w:rFonts w:ascii="Arial" w:hAnsi="Arial" w:cs="Arial"/>
                <w:b/>
                <w:sz w:val="16"/>
                <w:szCs w:val="20"/>
                <w:lang w:val="en-US"/>
              </w:rPr>
              <w:fldChar w:fldCharType="separate"/>
            </w:r>
            <w:r w:rsidRPr="002770A9">
              <w:rPr>
                <w:rFonts w:ascii="Arial" w:hAnsi="Arial" w:cs="Arial"/>
                <w:b/>
                <w:sz w:val="16"/>
                <w:szCs w:val="20"/>
                <w:lang w:val="en-US"/>
              </w:rPr>
              <w:fldChar w:fldCharType="end"/>
            </w:r>
          </w:p>
        </w:tc>
        <w:tc>
          <w:tcPr>
            <w:tcW w:w="4671" w:type="dxa"/>
            <w:gridSpan w:val="5"/>
            <w:tcBorders>
              <w:top w:val="single" w:sz="6" w:space="0" w:color="auto"/>
              <w:left w:val="single" w:sz="6" w:space="0" w:color="auto"/>
            </w:tcBorders>
            <w:vAlign w:val="center"/>
          </w:tcPr>
          <w:p w14:paraId="6A3C495C" w14:textId="071175CF" w:rsidR="002770A9" w:rsidRPr="002770A9" w:rsidRDefault="002770A9" w:rsidP="002770A9">
            <w:pPr>
              <w:tabs>
                <w:tab w:val="clear" w:pos="720"/>
                <w:tab w:val="clear" w:pos="1296"/>
                <w:tab w:val="clear" w:pos="1872"/>
                <w:tab w:val="clear" w:pos="2448"/>
                <w:tab w:val="left" w:pos="-720"/>
              </w:tabs>
              <w:suppressAutoHyphens/>
              <w:spacing w:before="20" w:after="20" w:line="240" w:lineRule="auto"/>
              <w:rPr>
                <w:rFonts w:ascii="Arial" w:hAnsi="Arial" w:cs="Arial"/>
                <w:kern w:val="0"/>
                <w:sz w:val="16"/>
                <w:szCs w:val="16"/>
              </w:rPr>
            </w:pPr>
            <w:r w:rsidRPr="002770A9">
              <w:rPr>
                <w:rFonts w:ascii="Arial" w:hAnsi="Arial" w:cs="Times New Roman"/>
                <w:sz w:val="16"/>
                <w:szCs w:val="20"/>
                <w:lang w:val="en-US"/>
              </w:rPr>
              <w:t xml:space="preserve">Метод на проверка:  </w:t>
            </w:r>
            <w:r>
              <w:rPr>
                <w:rFonts w:ascii="Arial" w:hAnsi="Arial" w:cs="Times New Roman"/>
                <w:sz w:val="16"/>
                <w:szCs w:val="20"/>
              </w:rPr>
              <w:t>Неприложим</w:t>
            </w:r>
          </w:p>
        </w:tc>
      </w:tr>
      <w:tr w:rsidR="002770A9" w:rsidRPr="002770A9" w14:paraId="77FFCDE2" w14:textId="77777777" w:rsidTr="00376E61">
        <w:tblPrEx>
          <w:tblCellMar>
            <w:left w:w="28" w:type="dxa"/>
            <w:right w:w="28" w:type="dxa"/>
          </w:tblCellMar>
        </w:tblPrEx>
        <w:trPr>
          <w:gridAfter w:val="1"/>
          <w:wAfter w:w="126" w:type="dxa"/>
          <w:trHeight w:val="20"/>
        </w:trPr>
        <w:tc>
          <w:tcPr>
            <w:tcW w:w="4223" w:type="dxa"/>
            <w:gridSpan w:val="5"/>
            <w:vMerge/>
          </w:tcPr>
          <w:p w14:paraId="4C8C08DA" w14:textId="77777777" w:rsidR="002770A9" w:rsidRPr="002770A9" w:rsidRDefault="002770A9" w:rsidP="002770A9">
            <w:pPr>
              <w:tabs>
                <w:tab w:val="clear" w:pos="720"/>
                <w:tab w:val="clear" w:pos="1296"/>
                <w:tab w:val="clear" w:pos="1872"/>
                <w:tab w:val="clear" w:pos="2448"/>
                <w:tab w:val="left" w:pos="-720"/>
              </w:tabs>
              <w:suppressAutoHyphens/>
              <w:spacing w:before="40" w:after="20" w:line="240" w:lineRule="auto"/>
              <w:rPr>
                <w:rFonts w:ascii="Arial" w:hAnsi="Arial" w:cs="Arial"/>
                <w:kern w:val="0"/>
                <w:sz w:val="16"/>
                <w:szCs w:val="20"/>
                <w:lang w:val="en-US"/>
              </w:rPr>
            </w:pPr>
          </w:p>
        </w:tc>
        <w:tc>
          <w:tcPr>
            <w:tcW w:w="2167" w:type="dxa"/>
            <w:gridSpan w:val="3"/>
            <w:vMerge/>
            <w:tcBorders>
              <w:left w:val="single" w:sz="6" w:space="0" w:color="auto"/>
            </w:tcBorders>
          </w:tcPr>
          <w:p w14:paraId="333C7D85" w14:textId="77777777" w:rsidR="002770A9" w:rsidRPr="002770A9" w:rsidRDefault="002770A9" w:rsidP="002770A9">
            <w:pPr>
              <w:tabs>
                <w:tab w:val="clear" w:pos="720"/>
                <w:tab w:val="clear" w:pos="1296"/>
                <w:tab w:val="clear" w:pos="1872"/>
                <w:tab w:val="clear" w:pos="2448"/>
                <w:tab w:val="left" w:pos="-720"/>
              </w:tabs>
              <w:suppressAutoHyphens/>
              <w:spacing w:before="40" w:after="20" w:line="240" w:lineRule="auto"/>
              <w:rPr>
                <w:rFonts w:ascii="Arial" w:hAnsi="Arial" w:cs="Arial"/>
                <w:kern w:val="0"/>
                <w:sz w:val="16"/>
                <w:szCs w:val="20"/>
                <w:lang w:val="en-US"/>
              </w:rPr>
            </w:pPr>
          </w:p>
        </w:tc>
        <w:tc>
          <w:tcPr>
            <w:tcW w:w="4671" w:type="dxa"/>
            <w:gridSpan w:val="5"/>
            <w:tcBorders>
              <w:top w:val="single" w:sz="6" w:space="0" w:color="auto"/>
              <w:left w:val="single" w:sz="6" w:space="0" w:color="auto"/>
            </w:tcBorders>
          </w:tcPr>
          <w:p w14:paraId="32A8277E" w14:textId="43E13F85" w:rsidR="002770A9" w:rsidRPr="002770A9" w:rsidRDefault="002770A9" w:rsidP="002770A9">
            <w:pPr>
              <w:tabs>
                <w:tab w:val="clear" w:pos="720"/>
                <w:tab w:val="clear" w:pos="1296"/>
                <w:tab w:val="clear" w:pos="1872"/>
                <w:tab w:val="clear" w:pos="2448"/>
                <w:tab w:val="left" w:pos="-720"/>
              </w:tabs>
              <w:suppressAutoHyphens/>
              <w:spacing w:before="20" w:after="20" w:line="240" w:lineRule="auto"/>
              <w:rPr>
                <w:rFonts w:ascii="Arial" w:hAnsi="Arial" w:cs="Arial"/>
                <w:kern w:val="0"/>
                <w:sz w:val="16"/>
                <w:szCs w:val="16"/>
                <w:lang w:val="en-US"/>
              </w:rPr>
            </w:pPr>
          </w:p>
        </w:tc>
      </w:tr>
      <w:tr w:rsidR="002770A9" w:rsidRPr="002770A9" w14:paraId="2A8940F8" w14:textId="77777777" w:rsidTr="00376E61">
        <w:tblPrEx>
          <w:tblCellMar>
            <w:left w:w="28" w:type="dxa"/>
            <w:right w:w="28" w:type="dxa"/>
          </w:tblCellMar>
        </w:tblPrEx>
        <w:trPr>
          <w:gridAfter w:val="1"/>
          <w:wAfter w:w="126" w:type="dxa"/>
        </w:trPr>
        <w:tc>
          <w:tcPr>
            <w:tcW w:w="4223" w:type="dxa"/>
            <w:gridSpan w:val="5"/>
            <w:tcBorders>
              <w:top w:val="single" w:sz="6" w:space="0" w:color="auto"/>
              <w:bottom w:val="single" w:sz="6" w:space="0" w:color="auto"/>
            </w:tcBorders>
          </w:tcPr>
          <w:p w14:paraId="2B8A5163" w14:textId="6CAD8757" w:rsidR="002770A9" w:rsidRPr="002770A9" w:rsidRDefault="002770A9" w:rsidP="002770A9">
            <w:pPr>
              <w:tabs>
                <w:tab w:val="clear" w:pos="720"/>
                <w:tab w:val="clear" w:pos="1296"/>
                <w:tab w:val="clear" w:pos="1872"/>
                <w:tab w:val="clear" w:pos="2448"/>
                <w:tab w:val="left" w:pos="-720"/>
              </w:tabs>
              <w:suppressAutoHyphens/>
              <w:spacing w:before="20" w:after="0" w:line="240" w:lineRule="auto"/>
              <w:rPr>
                <w:rFonts w:ascii="Arial" w:hAnsi="Arial" w:cs="Arial"/>
                <w:kern w:val="0"/>
                <w:sz w:val="16"/>
                <w:szCs w:val="20"/>
                <w:lang w:val="en-US"/>
              </w:rPr>
            </w:pPr>
            <w:r w:rsidRPr="002770A9">
              <w:rPr>
                <w:rFonts w:ascii="Arial" w:hAnsi="Arial" w:cs="Arial"/>
                <w:sz w:val="16"/>
                <w:szCs w:val="20"/>
                <w:lang w:val="en-US"/>
              </w:rPr>
              <w:t xml:space="preserve">ОТГОВОРЕН МЕНИДЖЪР* </w:t>
            </w:r>
          </w:p>
          <w:p w14:paraId="74610739" w14:textId="3631DC65" w:rsidR="002770A9" w:rsidRPr="002770A9" w:rsidRDefault="002770A9" w:rsidP="002770A9">
            <w:pPr>
              <w:tabs>
                <w:tab w:val="clear" w:pos="720"/>
                <w:tab w:val="clear" w:pos="1296"/>
                <w:tab w:val="clear" w:pos="1872"/>
                <w:tab w:val="clear" w:pos="2448"/>
                <w:tab w:val="left" w:pos="-720"/>
              </w:tabs>
              <w:suppressAutoHyphens/>
              <w:spacing w:after="20" w:line="240" w:lineRule="auto"/>
              <w:rPr>
                <w:rFonts w:ascii="Arial" w:hAnsi="Arial" w:cs="Arial"/>
                <w:kern w:val="0"/>
                <w:sz w:val="16"/>
                <w:szCs w:val="16"/>
                <w:lang w:val="en-US"/>
              </w:rPr>
            </w:pPr>
            <w:r>
              <w:rPr>
                <w:szCs w:val="16"/>
              </w:rPr>
              <w:t>Julie Gorgemans</w:t>
            </w:r>
          </w:p>
        </w:tc>
        <w:tc>
          <w:tcPr>
            <w:tcW w:w="6838" w:type="dxa"/>
            <w:gridSpan w:val="8"/>
            <w:tcBorders>
              <w:top w:val="single" w:sz="6" w:space="0" w:color="auto"/>
              <w:left w:val="single" w:sz="6" w:space="0" w:color="auto"/>
              <w:bottom w:val="single" w:sz="6" w:space="0" w:color="auto"/>
            </w:tcBorders>
          </w:tcPr>
          <w:p w14:paraId="495F01C1" w14:textId="77777777" w:rsidR="002770A9" w:rsidRPr="002770A9" w:rsidRDefault="002770A9" w:rsidP="002770A9">
            <w:pPr>
              <w:tabs>
                <w:tab w:val="clear" w:pos="720"/>
                <w:tab w:val="clear" w:pos="1296"/>
                <w:tab w:val="clear" w:pos="1872"/>
                <w:tab w:val="clear" w:pos="2448"/>
                <w:tab w:val="left" w:pos="-720"/>
              </w:tabs>
              <w:suppressAutoHyphens/>
              <w:spacing w:before="20" w:after="0" w:line="240" w:lineRule="auto"/>
              <w:rPr>
                <w:rFonts w:ascii="Arial" w:hAnsi="Arial" w:cs="Arial"/>
                <w:b/>
                <w:i/>
                <w:kern w:val="0"/>
                <w:sz w:val="16"/>
                <w:szCs w:val="16"/>
                <w:lang w:val="en-US"/>
              </w:rPr>
            </w:pPr>
            <w:r w:rsidRPr="002770A9">
              <w:rPr>
                <w:rFonts w:ascii="Arial" w:hAnsi="Arial" w:cs="Times New Roman"/>
                <w:sz w:val="16"/>
                <w:szCs w:val="20"/>
                <w:lang w:val="en-US"/>
              </w:rPr>
              <w:t xml:space="preserve"> ПОДПИС / ДАТА</w:t>
            </w:r>
            <w:r w:rsidRPr="002770A9">
              <w:rPr>
                <w:rFonts w:ascii="Arial" w:hAnsi="Arial" w:cs="Times New Roman"/>
                <w:b/>
                <w:i/>
                <w:sz w:val="16"/>
                <w:szCs w:val="20"/>
                <w:lang w:val="en-US"/>
              </w:rPr>
              <w:t xml:space="preserve"> </w:t>
            </w:r>
          </w:p>
          <w:p w14:paraId="5CD32041" w14:textId="77777777" w:rsidR="002770A9" w:rsidRPr="002770A9" w:rsidRDefault="002770A9" w:rsidP="002770A9">
            <w:pPr>
              <w:tabs>
                <w:tab w:val="clear" w:pos="720"/>
                <w:tab w:val="clear" w:pos="1296"/>
                <w:tab w:val="clear" w:pos="1872"/>
                <w:tab w:val="clear" w:pos="2448"/>
                <w:tab w:val="left" w:pos="-720"/>
              </w:tabs>
              <w:suppressAutoHyphens/>
              <w:spacing w:after="20" w:line="240" w:lineRule="auto"/>
              <w:rPr>
                <w:rFonts w:ascii="Arial" w:hAnsi="Arial" w:cs="Arial"/>
                <w:b/>
                <w:kern w:val="0"/>
                <w:sz w:val="16"/>
                <w:szCs w:val="16"/>
                <w:lang w:val="en-US"/>
              </w:rPr>
            </w:pPr>
            <w:r w:rsidRPr="002770A9">
              <w:rPr>
                <w:rFonts w:ascii="Arial" w:hAnsi="Arial" w:cs="Times New Roman"/>
                <w:sz w:val="16"/>
                <w:szCs w:val="20"/>
                <w:lang w:val="en-US"/>
              </w:rPr>
              <w:t xml:space="preserve"> </w:t>
            </w:r>
            <w:r w:rsidRPr="002770A9">
              <w:rPr>
                <w:rFonts w:ascii="Arial" w:hAnsi="Arial" w:cs="Arial"/>
                <w:b/>
                <w:sz w:val="16"/>
                <w:szCs w:val="20"/>
                <w:lang w:val="en-US"/>
              </w:rPr>
              <w:fldChar w:fldCharType="begin">
                <w:ffData>
                  <w:name w:val=""/>
                  <w:enabled/>
                  <w:calcOnExit w:val="0"/>
                  <w:ddList>
                    <w:listEntry w:val="Електронно одобрен***"/>
                    <w:listEntry w:val="                              "/>
                  </w:ddList>
                </w:ffData>
              </w:fldChar>
            </w:r>
            <w:r w:rsidRPr="002770A9">
              <w:rPr>
                <w:rFonts w:ascii="Arial" w:hAnsi="Arial" w:cs="Arial"/>
                <w:b/>
                <w:sz w:val="16"/>
                <w:szCs w:val="20"/>
                <w:lang w:val="en-US"/>
              </w:rPr>
              <w:instrText xml:space="preserve"> FORMDROPDOWN </w:instrText>
            </w:r>
            <w:r w:rsidR="00C469CC">
              <w:rPr>
                <w:rFonts w:ascii="Arial" w:hAnsi="Arial" w:cs="Arial"/>
                <w:b/>
                <w:sz w:val="16"/>
                <w:szCs w:val="20"/>
                <w:lang w:val="en-US"/>
              </w:rPr>
            </w:r>
            <w:r w:rsidR="00C469CC">
              <w:rPr>
                <w:rFonts w:ascii="Arial" w:hAnsi="Arial" w:cs="Arial"/>
                <w:b/>
                <w:sz w:val="16"/>
                <w:szCs w:val="20"/>
                <w:lang w:val="en-US"/>
              </w:rPr>
              <w:fldChar w:fldCharType="separate"/>
            </w:r>
            <w:r w:rsidRPr="002770A9">
              <w:rPr>
                <w:rFonts w:ascii="Arial" w:hAnsi="Arial" w:cs="Arial"/>
                <w:b/>
                <w:sz w:val="16"/>
                <w:szCs w:val="20"/>
                <w:lang w:val="en-US"/>
              </w:rPr>
              <w:fldChar w:fldCharType="end"/>
            </w:r>
          </w:p>
        </w:tc>
      </w:tr>
      <w:tr w:rsidR="002770A9" w:rsidRPr="002770A9" w14:paraId="25A5BA9E" w14:textId="77777777" w:rsidTr="00376E61">
        <w:tblPrEx>
          <w:tblCellMar>
            <w:left w:w="28" w:type="dxa"/>
            <w:right w:w="28" w:type="dxa"/>
          </w:tblCellMar>
        </w:tblPrEx>
        <w:trPr>
          <w:gridAfter w:val="1"/>
          <w:wAfter w:w="126" w:type="dxa"/>
        </w:trPr>
        <w:tc>
          <w:tcPr>
            <w:tcW w:w="11061" w:type="dxa"/>
            <w:gridSpan w:val="13"/>
            <w:tcBorders>
              <w:top w:val="single" w:sz="6" w:space="0" w:color="auto"/>
            </w:tcBorders>
          </w:tcPr>
          <w:p w14:paraId="6E8E3E63" w14:textId="77777777" w:rsidR="002770A9" w:rsidRPr="002770A9" w:rsidRDefault="002770A9" w:rsidP="002770A9">
            <w:pPr>
              <w:tabs>
                <w:tab w:val="clear" w:pos="720"/>
                <w:tab w:val="clear" w:pos="1296"/>
                <w:tab w:val="clear" w:pos="1872"/>
                <w:tab w:val="clear" w:pos="2448"/>
              </w:tabs>
              <w:spacing w:after="60" w:line="240" w:lineRule="auto"/>
              <w:contextualSpacing/>
              <w:rPr>
                <w:rFonts w:ascii="Arial" w:eastAsia="PMingLiU" w:hAnsi="Arial" w:cs="Arial"/>
                <w:i/>
                <w:iCs/>
                <w:kern w:val="0"/>
                <w:sz w:val="14"/>
                <w:szCs w:val="14"/>
                <w:lang w:val="en-US"/>
              </w:rPr>
            </w:pPr>
            <w:r w:rsidRPr="002770A9">
              <w:rPr>
                <w:rFonts w:ascii="Arial" w:hAnsi="Arial" w:cs="Times New Roman"/>
                <w:i/>
                <w:sz w:val="16"/>
                <w:szCs w:val="20"/>
                <w:lang w:val="en-US"/>
              </w:rPr>
              <w:t>*</w:t>
            </w:r>
            <w:r w:rsidRPr="002770A9">
              <w:rPr>
                <w:rFonts w:ascii="Arial" w:hAnsi="Arial" w:cs="Times New Roman"/>
                <w:i/>
                <w:sz w:val="14"/>
                <w:szCs w:val="20"/>
                <w:lang w:val="en-US"/>
              </w:rPr>
              <w:t>Одобрението от страна на отговорния ръководител означава, че документът и всички необходими прегледи са завършени, определен е съответният клас на собственост, електронният файл е предоставен на PRIME и документът е освободен за използване.</w:t>
            </w:r>
          </w:p>
          <w:p w14:paraId="61FC4310" w14:textId="77777777" w:rsidR="002770A9" w:rsidRPr="002770A9" w:rsidRDefault="002770A9" w:rsidP="002770A9">
            <w:pPr>
              <w:tabs>
                <w:tab w:val="clear" w:pos="720"/>
                <w:tab w:val="clear" w:pos="1296"/>
                <w:tab w:val="clear" w:pos="1872"/>
                <w:tab w:val="clear" w:pos="2448"/>
              </w:tabs>
              <w:spacing w:after="0" w:line="240" w:lineRule="auto"/>
              <w:rPr>
                <w:rFonts w:ascii="Arial" w:eastAsia="PMingLiU" w:hAnsi="Arial" w:cs="Arial"/>
                <w:i/>
                <w:iCs/>
                <w:kern w:val="0"/>
                <w:sz w:val="12"/>
                <w:szCs w:val="12"/>
                <w:lang w:val="en-US"/>
              </w:rPr>
            </w:pPr>
            <w:r w:rsidRPr="002770A9">
              <w:rPr>
                <w:rFonts w:ascii="Arial" w:hAnsi="Arial" w:cs="Times New Roman"/>
                <w:i/>
                <w:sz w:val="12"/>
                <w:szCs w:val="20"/>
                <w:lang w:val="en-US"/>
              </w:rPr>
              <w:t>Този документ може да съдържа технически данни, предмет на законите за контрол на износа на Съединените щати. В случай, че този документ съдържа такава информация, приемането на този документ от Получателя представлява съгласие, че тази информация под формата на документ (или друг носител), включително всички прикачени файлове и приложения към него, няма да бъде изнасяна, освобождавана или разкривана на чуждестранни лица независимо дали в Съединените щати или в чужбина от получател, освен в съответствие с всички разпоредби за контрол на износа на САЩ. Получателят включва това известие с всяка възпроизведена или извадена част от този документ или всеки документ, получен от, базиран, включващ, използващ или разчитащ на информацията, съдържаща се в настоящия документ.</w:t>
            </w:r>
          </w:p>
        </w:tc>
      </w:tr>
    </w:tbl>
    <w:p w14:paraId="0034DCB7" w14:textId="77777777" w:rsidR="006E769C" w:rsidRPr="006E769C" w:rsidRDefault="006E769C" w:rsidP="006E769C">
      <w:pPr>
        <w:pStyle w:val="edms0"/>
        <w:tabs>
          <w:tab w:val="left" w:pos="720"/>
          <w:tab w:val="left" w:pos="8430"/>
        </w:tabs>
        <w:spacing w:before="0" w:after="280" w:line="140" w:lineRule="atLeast"/>
        <w:ind w:left="273" w:hanging="259"/>
        <w:jc w:val="center"/>
        <w:rPr>
          <w:rFonts w:ascii="Arial Bold" w:hAnsi="Arial Bold"/>
          <w:sz w:val="14"/>
          <w:szCs w:val="14"/>
        </w:rPr>
      </w:pPr>
      <w:r>
        <w:tab/>
      </w:r>
      <w:r>
        <w:rPr>
          <w:rFonts w:ascii="Arial Bold" w:hAnsi="Arial Bold"/>
          <w:sz w:val="14"/>
        </w:rPr>
        <w:t>*** Документите, одобрени по електронен път, са заверени в електронната система за управление на документи.</w:t>
      </w:r>
    </w:p>
    <w:p w14:paraId="0703F602" w14:textId="77777777" w:rsidR="006E769C" w:rsidRPr="006E769C" w:rsidRDefault="006E769C" w:rsidP="006E769C">
      <w:pPr>
        <w:widowControl w:val="0"/>
        <w:tabs>
          <w:tab w:val="clear" w:pos="720"/>
          <w:tab w:val="clear" w:pos="1296"/>
          <w:tab w:val="clear" w:pos="1872"/>
          <w:tab w:val="clear" w:pos="2448"/>
          <w:tab w:val="right" w:pos="10800"/>
        </w:tabs>
        <w:spacing w:before="60" w:after="0" w:line="240" w:lineRule="auto"/>
        <w:jc w:val="right"/>
        <w:rPr>
          <w:rFonts w:ascii="Arial" w:hAnsi="Arial" w:cs="Arial"/>
          <w:b/>
          <w:kern w:val="0"/>
          <w:sz w:val="14"/>
          <w:szCs w:val="14"/>
        </w:rPr>
      </w:pPr>
      <w:r>
        <w:rPr>
          <w:rFonts w:ascii="Arial" w:hAnsi="Arial"/>
          <w:b/>
          <w:sz w:val="14"/>
        </w:rPr>
        <w:t>F-APP-GW-GAP-061-1, Ред. 3</w:t>
      </w:r>
    </w:p>
    <w:p w14:paraId="3E014D92" w14:textId="77777777" w:rsidR="006E769C" w:rsidRPr="006E769C" w:rsidRDefault="006E769C" w:rsidP="006E769C">
      <w:pPr>
        <w:widowControl w:val="0"/>
        <w:tabs>
          <w:tab w:val="clear" w:pos="720"/>
          <w:tab w:val="clear" w:pos="1296"/>
          <w:tab w:val="clear" w:pos="1872"/>
          <w:tab w:val="clear" w:pos="2448"/>
          <w:tab w:val="right" w:pos="10800"/>
        </w:tabs>
        <w:spacing w:after="0" w:line="240" w:lineRule="auto"/>
        <w:rPr>
          <w:rFonts w:ascii="Arial" w:hAnsi="Arial" w:cs="Arial"/>
          <w:kern w:val="0"/>
          <w:sz w:val="16"/>
          <w:szCs w:val="16"/>
        </w:rPr>
      </w:pPr>
      <w:r>
        <w:rPr>
          <w:rFonts w:ascii="Arial" w:hAnsi="Arial"/>
          <w:sz w:val="12"/>
        </w:rPr>
        <w:tab/>
      </w:r>
      <w:r>
        <w:rPr>
          <w:rFonts w:ascii="Arial" w:hAnsi="Arial"/>
          <w:b/>
          <w:sz w:val="14"/>
        </w:rPr>
        <w:t>Дата на влизане в сила: 4 септември 2020 г.</w:t>
      </w:r>
    </w:p>
    <w:p w14:paraId="752DDB6E" w14:textId="5309ADA6" w:rsidR="006E769C" w:rsidRPr="006E769C" w:rsidRDefault="006E769C" w:rsidP="006E769C">
      <w:pPr>
        <w:tabs>
          <w:tab w:val="clear" w:pos="720"/>
          <w:tab w:val="clear" w:pos="1296"/>
          <w:tab w:val="clear" w:pos="1872"/>
          <w:tab w:val="clear" w:pos="2448"/>
          <w:tab w:val="left" w:pos="8010"/>
        </w:tabs>
        <w:sectPr w:rsidR="006E769C" w:rsidRPr="006E769C" w:rsidSect="00582BCF">
          <w:headerReference w:type="default" r:id="rId11"/>
          <w:footerReference w:type="default" r:id="rId12"/>
          <w:footnotePr>
            <w:numRestart w:val="eachSect"/>
          </w:footnotePr>
          <w:pgSz w:w="12240" w:h="15840" w:code="1"/>
          <w:pgMar w:top="360" w:right="576" w:bottom="360" w:left="864" w:header="288" w:footer="432" w:gutter="0"/>
          <w:cols w:space="0"/>
          <w:noEndnote/>
          <w:titlePg/>
          <w:docGrid w:linePitch="299"/>
        </w:sectPr>
      </w:pPr>
    </w:p>
    <w:p w14:paraId="7B47F222" w14:textId="3FAB324E" w:rsidR="00C437FE" w:rsidRPr="00872898" w:rsidRDefault="00784989" w:rsidP="00BD3948">
      <w:pPr>
        <w:pStyle w:val="Center-12B"/>
        <w:rPr>
          <w:highlight w:val="yellow"/>
        </w:rPr>
      </w:pPr>
      <w:r>
        <w:lastRenderedPageBreak/>
        <w:t>APP-GW-G0R-004</w:t>
      </w:r>
      <w:r>
        <w:br/>
        <w:t>Редакция А</w:t>
      </w:r>
    </w:p>
    <w:p w14:paraId="12210734" w14:textId="25848B1F" w:rsidR="009E5D5D" w:rsidRPr="00872898" w:rsidRDefault="009E5D5D" w:rsidP="00BD3948">
      <w:pPr>
        <w:pStyle w:val="Center-12B"/>
        <w:rPr>
          <w:highlight w:val="yellow"/>
        </w:rPr>
      </w:pPr>
    </w:p>
    <w:p w14:paraId="181E0B51" w14:textId="42C89941" w:rsidR="00C437FE" w:rsidRPr="00B43EC6" w:rsidRDefault="00F15F11" w:rsidP="00BD3948">
      <w:pPr>
        <w:pStyle w:val="Center-18B"/>
        <w:rPr>
          <w:sz w:val="22"/>
        </w:rPr>
      </w:pPr>
      <w:r>
        <w:t xml:space="preserve">Оценка на съответствието на централата AP1000® със стандартите за безопасност на МААЕ № GSR, Част 3, Радиационна защита и безопасност на източниците на </w:t>
      </w:r>
      <w:r w:rsidR="00AD07CA">
        <w:t>йонизиращи лъчения</w:t>
      </w:r>
      <w:r>
        <w:t xml:space="preserve">: Международни основни стандарти за безопасност </w:t>
      </w:r>
      <w:r>
        <w:br/>
      </w:r>
    </w:p>
    <w:p w14:paraId="53A4E975" w14:textId="22C2B361" w:rsidR="00CB0D1E" w:rsidRPr="005D7F99" w:rsidRDefault="00CB0D1E" w:rsidP="00B43EC6">
      <w:pPr>
        <w:pStyle w:val="PropStatement"/>
        <w:jc w:val="both"/>
      </w:pPr>
      <w:r>
        <w:t>AP1000 е търговска марка или регистрирана търговска марка на Уестингхаус Електрик Къмпани ООД, нейни филиали и/или дъщерни дружества в Съединените американски щати и може да бъде регистрирана в други страни по света. Всички права запазени. Неразрешеното използване е строго забранено. Други имена може да са търговски марки на съответните им собственици.</w:t>
      </w:r>
    </w:p>
    <w:p w14:paraId="3C4EFFB5" w14:textId="0DF41FCC" w:rsidR="00C437FE" w:rsidRPr="00482F96" w:rsidRDefault="00C437FE" w:rsidP="00B43EC6">
      <w:pPr>
        <w:pStyle w:val="PropStatement"/>
        <w:jc w:val="both"/>
      </w:pPr>
      <w:r>
        <w:t>Този документ е собственост на и съдържа фирмена информация, принадлежаща на Уестингхаус Електрик Къмпани ООД и/или нейни подизпълнители и доставчици. Тя Ви се предоставя поверително и Вие приемате да използвате настоящия документ в пълно съответствие с разпоредбите и условията на споразумението, по което той Ви е бил предоставен.</w:t>
      </w:r>
    </w:p>
    <w:p w14:paraId="3DB4A62F" w14:textId="77777777" w:rsidR="00582BCF" w:rsidRPr="000B753E" w:rsidRDefault="00582BCF" w:rsidP="00BD3948">
      <w:pPr>
        <w:sectPr w:rsidR="00582BCF" w:rsidRPr="000B753E" w:rsidSect="00582BCF">
          <w:headerReference w:type="even" r:id="rId13"/>
          <w:headerReference w:type="default" r:id="rId14"/>
          <w:headerReference w:type="first" r:id="rId15"/>
          <w:footerReference w:type="first" r:id="rId16"/>
          <w:footnotePr>
            <w:numRestart w:val="eachSect"/>
          </w:footnotePr>
          <w:pgSz w:w="12240" w:h="15840" w:code="1"/>
          <w:pgMar w:top="1440" w:right="1440" w:bottom="2880" w:left="1440" w:header="720" w:footer="504" w:gutter="0"/>
          <w:pgNumType w:fmt="lowerRoman" w:start="3"/>
          <w:cols w:space="0"/>
          <w:noEndnote/>
          <w:titlePg/>
        </w:sectPr>
      </w:pPr>
    </w:p>
    <w:p w14:paraId="1B34FE07" w14:textId="77777777" w:rsidR="00CB0D1E" w:rsidRPr="00526A7E" w:rsidRDefault="00CB0D1E" w:rsidP="00BD3948">
      <w:pPr>
        <w:pStyle w:val="HeadingCtr-cont"/>
        <w:rPr>
          <w:noProof/>
        </w:rPr>
      </w:pPr>
      <w:bookmarkStart w:id="0" w:name="_Toc467476782"/>
      <w:r>
        <w:lastRenderedPageBreak/>
        <w:t>СПИСЪК НА ПРОМЕНИТЕ</w:t>
      </w:r>
      <w:bookmarkEnd w:id="0"/>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101"/>
        <w:gridCol w:w="1170"/>
        <w:gridCol w:w="6085"/>
        <w:gridCol w:w="1226"/>
      </w:tblGrid>
      <w:tr w:rsidR="003D7321" w:rsidRPr="00526A7E" w14:paraId="055AFEFE" w14:textId="77777777" w:rsidTr="00893B6B">
        <w:trPr>
          <w:cantSplit/>
          <w:tblHeader/>
          <w:jc w:val="center"/>
        </w:trPr>
        <w:tc>
          <w:tcPr>
            <w:tcW w:w="1101" w:type="dxa"/>
            <w:tcMar>
              <w:left w:w="43" w:type="dxa"/>
              <w:right w:w="43" w:type="dxa"/>
            </w:tcMar>
          </w:tcPr>
          <w:p w14:paraId="5B0201D2" w14:textId="77777777" w:rsidR="003D7321" w:rsidRPr="00526A7E" w:rsidRDefault="003D7321" w:rsidP="00BD3948">
            <w:pPr>
              <w:pStyle w:val="TableHead"/>
              <w:rPr>
                <w:noProof/>
              </w:rPr>
            </w:pPr>
            <w:r>
              <w:t>Редакция</w:t>
            </w:r>
          </w:p>
        </w:tc>
        <w:tc>
          <w:tcPr>
            <w:tcW w:w="1170" w:type="dxa"/>
          </w:tcPr>
          <w:p w14:paraId="770CC6BA" w14:textId="77777777" w:rsidR="003D7321" w:rsidRPr="00526A7E" w:rsidRDefault="003D7321" w:rsidP="00BD3948">
            <w:pPr>
              <w:pStyle w:val="TableHead"/>
              <w:rPr>
                <w:noProof/>
              </w:rPr>
            </w:pPr>
            <w:r>
              <w:t>Автор</w:t>
            </w:r>
          </w:p>
        </w:tc>
        <w:tc>
          <w:tcPr>
            <w:tcW w:w="6085" w:type="dxa"/>
          </w:tcPr>
          <w:p w14:paraId="4030CDEC" w14:textId="77777777" w:rsidR="003D7321" w:rsidRPr="00526A7E" w:rsidRDefault="003D7321" w:rsidP="00BD3948">
            <w:pPr>
              <w:pStyle w:val="TableHead"/>
              <w:rPr>
                <w:noProof/>
              </w:rPr>
            </w:pPr>
            <w:r>
              <w:t>Описание</w:t>
            </w:r>
          </w:p>
        </w:tc>
        <w:tc>
          <w:tcPr>
            <w:tcW w:w="1226" w:type="dxa"/>
            <w:tcMar>
              <w:left w:w="29" w:type="dxa"/>
              <w:right w:w="29" w:type="dxa"/>
            </w:tcMar>
          </w:tcPr>
          <w:p w14:paraId="2B58B66B" w14:textId="77777777" w:rsidR="003D7321" w:rsidRPr="00526A7E" w:rsidRDefault="003D7321" w:rsidP="00BD3948">
            <w:pPr>
              <w:pStyle w:val="TableHead"/>
              <w:rPr>
                <w:noProof/>
              </w:rPr>
            </w:pPr>
            <w:r>
              <w:t>Завършено</w:t>
            </w:r>
          </w:p>
        </w:tc>
      </w:tr>
      <w:tr w:rsidR="003D7321" w:rsidRPr="00526A7E" w14:paraId="2236DD1B" w14:textId="77777777" w:rsidTr="00893B6B">
        <w:trPr>
          <w:cantSplit/>
          <w:jc w:val="center"/>
        </w:trPr>
        <w:tc>
          <w:tcPr>
            <w:tcW w:w="1101" w:type="dxa"/>
            <w:tcMar>
              <w:left w:w="43" w:type="dxa"/>
              <w:right w:w="43" w:type="dxa"/>
            </w:tcMar>
          </w:tcPr>
          <w:p w14:paraId="0EF4FAC4" w14:textId="77777777" w:rsidR="003D7321" w:rsidRPr="00D26D00" w:rsidRDefault="003D7321" w:rsidP="00BD3948">
            <w:pPr>
              <w:pStyle w:val="TableBodyCtr"/>
              <w:rPr>
                <w:sz w:val="22"/>
              </w:rPr>
            </w:pPr>
            <w:r>
              <w:rPr>
                <w:sz w:val="22"/>
              </w:rPr>
              <w:t>A</w:t>
            </w:r>
          </w:p>
        </w:tc>
        <w:tc>
          <w:tcPr>
            <w:tcW w:w="1170" w:type="dxa"/>
          </w:tcPr>
          <w:p w14:paraId="0635C3CD" w14:textId="2F6EA78D" w:rsidR="0032302C" w:rsidRPr="00D26D00" w:rsidRDefault="00872898" w:rsidP="00BD3948">
            <w:pPr>
              <w:pStyle w:val="TableBody"/>
              <w:rPr>
                <w:sz w:val="22"/>
              </w:rPr>
            </w:pPr>
            <w:r>
              <w:rPr>
                <w:sz w:val="22"/>
              </w:rPr>
              <w:t>Марчин Фьодоров</w:t>
            </w:r>
          </w:p>
        </w:tc>
        <w:tc>
          <w:tcPr>
            <w:tcW w:w="6085" w:type="dxa"/>
          </w:tcPr>
          <w:p w14:paraId="57A542A6" w14:textId="1CB9C579" w:rsidR="003D7321" w:rsidRPr="00D26D00" w:rsidRDefault="008464A4" w:rsidP="00BD3948">
            <w:pPr>
              <w:pStyle w:val="TableBody"/>
              <w:rPr>
                <w:sz w:val="22"/>
              </w:rPr>
            </w:pPr>
            <w:r>
              <w:rPr>
                <w:sz w:val="22"/>
              </w:rPr>
              <w:t>Първоначално издание</w:t>
            </w:r>
          </w:p>
        </w:tc>
        <w:tc>
          <w:tcPr>
            <w:tcW w:w="1226" w:type="dxa"/>
          </w:tcPr>
          <w:p w14:paraId="79FAB677" w14:textId="68D0916C" w:rsidR="003D7321" w:rsidRPr="00D26D00" w:rsidRDefault="0032302C" w:rsidP="00BD3948">
            <w:pPr>
              <w:pStyle w:val="TableBodyCtr"/>
              <w:rPr>
                <w:sz w:val="22"/>
              </w:rPr>
            </w:pPr>
            <w:r>
              <w:rPr>
                <w:sz w:val="22"/>
              </w:rPr>
              <w:t>Вж. PRIME</w:t>
            </w:r>
          </w:p>
        </w:tc>
      </w:tr>
      <w:tr w:rsidR="003D7321" w:rsidRPr="00526A7E" w14:paraId="4909CC04" w14:textId="77777777" w:rsidTr="00893B6B">
        <w:trPr>
          <w:cantSplit/>
          <w:jc w:val="center"/>
        </w:trPr>
        <w:tc>
          <w:tcPr>
            <w:tcW w:w="1101" w:type="dxa"/>
            <w:tcMar>
              <w:left w:w="43" w:type="dxa"/>
              <w:right w:w="43" w:type="dxa"/>
            </w:tcMar>
          </w:tcPr>
          <w:p w14:paraId="2DCD219D" w14:textId="323DADB1" w:rsidR="003D7321" w:rsidRPr="00526A7E" w:rsidRDefault="003D7321" w:rsidP="00BD3948">
            <w:pPr>
              <w:pStyle w:val="TableBodyCtr"/>
            </w:pPr>
          </w:p>
        </w:tc>
        <w:tc>
          <w:tcPr>
            <w:tcW w:w="1170" w:type="dxa"/>
          </w:tcPr>
          <w:p w14:paraId="318F3E7B" w14:textId="3DA65CAA" w:rsidR="003D7321" w:rsidRPr="00526A7E" w:rsidRDefault="003D7321" w:rsidP="00BD3948">
            <w:pPr>
              <w:pStyle w:val="TableBody"/>
            </w:pPr>
          </w:p>
        </w:tc>
        <w:tc>
          <w:tcPr>
            <w:tcW w:w="6085" w:type="dxa"/>
          </w:tcPr>
          <w:p w14:paraId="5F5CC23C" w14:textId="2C010194" w:rsidR="003D7321" w:rsidRPr="00526A7E" w:rsidRDefault="003D7321" w:rsidP="00BD3948">
            <w:pPr>
              <w:pStyle w:val="TableBody"/>
            </w:pPr>
          </w:p>
        </w:tc>
        <w:tc>
          <w:tcPr>
            <w:tcW w:w="1226" w:type="dxa"/>
          </w:tcPr>
          <w:p w14:paraId="04945191" w14:textId="7A6912BE" w:rsidR="003D7321" w:rsidRPr="00526A7E" w:rsidRDefault="003D7321" w:rsidP="00BD3948">
            <w:pPr>
              <w:pStyle w:val="TableBodyCtr"/>
            </w:pPr>
          </w:p>
        </w:tc>
      </w:tr>
    </w:tbl>
    <w:p w14:paraId="149CD493" w14:textId="77777777" w:rsidR="00CB0D1E" w:rsidRPr="00526A7E" w:rsidRDefault="00CB0D1E" w:rsidP="00BD3948"/>
    <w:p w14:paraId="5F93C7F1" w14:textId="77777777" w:rsidR="000563B4" w:rsidRPr="00526A7E" w:rsidRDefault="000563B4" w:rsidP="00BD3948">
      <w:pPr>
        <w:pStyle w:val="HeadingCtr-cont"/>
        <w:rPr>
          <w:noProof/>
        </w:rPr>
      </w:pPr>
      <w:r>
        <w:t>ОТВОРЕНИ ПОЗИЦИИ</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1158"/>
        <w:gridCol w:w="7056"/>
        <w:gridCol w:w="1368"/>
      </w:tblGrid>
      <w:tr w:rsidR="000563B4" w:rsidRPr="00526A7E" w14:paraId="2065770A" w14:textId="77777777" w:rsidTr="00893B6B">
        <w:trPr>
          <w:tblHeader/>
          <w:jc w:val="center"/>
        </w:trPr>
        <w:tc>
          <w:tcPr>
            <w:tcW w:w="1158" w:type="dxa"/>
          </w:tcPr>
          <w:p w14:paraId="436A5FC3" w14:textId="77777777" w:rsidR="000563B4" w:rsidRPr="00526A7E" w:rsidRDefault="000563B4" w:rsidP="00BD3948">
            <w:pPr>
              <w:pStyle w:val="TableHead"/>
              <w:rPr>
                <w:noProof/>
              </w:rPr>
            </w:pPr>
            <w:r>
              <w:t>Позиция</w:t>
            </w:r>
          </w:p>
        </w:tc>
        <w:tc>
          <w:tcPr>
            <w:tcW w:w="7056" w:type="dxa"/>
          </w:tcPr>
          <w:p w14:paraId="62E8954D" w14:textId="77777777" w:rsidR="000563B4" w:rsidRPr="00526A7E" w:rsidRDefault="000563B4" w:rsidP="00BD3948">
            <w:pPr>
              <w:pStyle w:val="TableHead"/>
              <w:rPr>
                <w:noProof/>
              </w:rPr>
            </w:pPr>
            <w:r>
              <w:t>Описание</w:t>
            </w:r>
          </w:p>
        </w:tc>
        <w:tc>
          <w:tcPr>
            <w:tcW w:w="1368" w:type="dxa"/>
          </w:tcPr>
          <w:p w14:paraId="0FB4A688" w14:textId="77777777" w:rsidR="000563B4" w:rsidRPr="00526A7E" w:rsidRDefault="000563B4" w:rsidP="00BD3948">
            <w:pPr>
              <w:pStyle w:val="TableHead"/>
              <w:rPr>
                <w:noProof/>
              </w:rPr>
            </w:pPr>
            <w:r>
              <w:t>Състояние</w:t>
            </w:r>
          </w:p>
        </w:tc>
      </w:tr>
      <w:tr w:rsidR="000C4DB6" w:rsidRPr="00526A7E" w14:paraId="522B0535" w14:textId="77777777" w:rsidTr="00893B6B">
        <w:trPr>
          <w:jc w:val="center"/>
        </w:trPr>
        <w:tc>
          <w:tcPr>
            <w:tcW w:w="1158" w:type="dxa"/>
          </w:tcPr>
          <w:p w14:paraId="6F9486FB" w14:textId="713C40F2" w:rsidR="000C4DB6" w:rsidRPr="00D26D00" w:rsidRDefault="000C4DB6" w:rsidP="00BD3948">
            <w:pPr>
              <w:pStyle w:val="TableBodyCtr"/>
              <w:rPr>
                <w:noProof/>
                <w:sz w:val="22"/>
              </w:rPr>
            </w:pPr>
          </w:p>
        </w:tc>
        <w:tc>
          <w:tcPr>
            <w:tcW w:w="7056" w:type="dxa"/>
          </w:tcPr>
          <w:p w14:paraId="300B4EE9" w14:textId="084EB363" w:rsidR="000C4DB6" w:rsidRPr="00D26D00" w:rsidRDefault="005A5732" w:rsidP="00BD3948">
            <w:pPr>
              <w:pStyle w:val="TableBody"/>
              <w:rPr>
                <w:noProof/>
                <w:sz w:val="22"/>
              </w:rPr>
            </w:pPr>
            <w:r>
              <w:rPr>
                <w:sz w:val="22"/>
              </w:rPr>
              <w:t>Няма</w:t>
            </w:r>
          </w:p>
        </w:tc>
        <w:tc>
          <w:tcPr>
            <w:tcW w:w="1368" w:type="dxa"/>
          </w:tcPr>
          <w:p w14:paraId="3CDF00B5" w14:textId="77777777" w:rsidR="000C4DB6" w:rsidRPr="00D26D00" w:rsidRDefault="000C4DB6" w:rsidP="00BD3948">
            <w:pPr>
              <w:pStyle w:val="TableBodyCtr"/>
              <w:rPr>
                <w:noProof/>
                <w:sz w:val="22"/>
              </w:rPr>
            </w:pPr>
          </w:p>
        </w:tc>
      </w:tr>
    </w:tbl>
    <w:p w14:paraId="577399D8" w14:textId="77777777" w:rsidR="000563B4" w:rsidRPr="00D0261B" w:rsidRDefault="000563B4" w:rsidP="00BD3948"/>
    <w:p w14:paraId="08E1DA46" w14:textId="77777777" w:rsidR="00CB0D1E" w:rsidRPr="000B753E" w:rsidRDefault="00CB0D1E" w:rsidP="00BD3948">
      <w:r>
        <w:br w:type="page"/>
      </w:r>
    </w:p>
    <w:p w14:paraId="5B7F6AFF" w14:textId="77777777" w:rsidR="00C437FE" w:rsidRPr="00F96D45" w:rsidRDefault="00C437FE" w:rsidP="00BD3948">
      <w:pPr>
        <w:pStyle w:val="Center-11B-Non"/>
      </w:pPr>
      <w:r>
        <w:lastRenderedPageBreak/>
        <w:t>СЪДЪРЖАНИЕ</w:t>
      </w:r>
    </w:p>
    <w:sdt>
      <w:sdtPr>
        <w:rPr>
          <w:rFonts w:asciiTheme="minorHAnsi" w:hAnsiTheme="minorHAnsi"/>
          <w:b w:val="0"/>
          <w:bCs w:val="0"/>
          <w:color w:val="auto"/>
          <w:kern w:val="22"/>
          <w:sz w:val="22"/>
          <w:szCs w:val="22"/>
        </w:rPr>
        <w:id w:val="381674134"/>
        <w:docPartObj>
          <w:docPartGallery w:val="Table of Contents"/>
          <w:docPartUnique/>
        </w:docPartObj>
      </w:sdtPr>
      <w:sdtEndPr>
        <w:rPr>
          <w:noProof/>
        </w:rPr>
      </w:sdtEndPr>
      <w:sdtContent>
        <w:p w14:paraId="418CE03E" w14:textId="01068124" w:rsidR="00C8793C" w:rsidRDefault="00C8793C">
          <w:pPr>
            <w:pStyle w:val="TOCHeading"/>
          </w:pPr>
        </w:p>
        <w:p w14:paraId="24A667FF" w14:textId="77777777" w:rsidR="00C469CC" w:rsidRDefault="00C8793C">
          <w:pPr>
            <w:pStyle w:val="TOC1"/>
            <w:rPr>
              <w:rFonts w:eastAsiaTheme="minorEastAsia" w:cstheme="minorBidi"/>
              <w:kern w:val="0"/>
              <w:lang w:eastAsia="bg-BG"/>
            </w:rPr>
          </w:pPr>
          <w:r>
            <w:fldChar w:fldCharType="begin"/>
          </w:r>
          <w:r>
            <w:instrText xml:space="preserve"> TOC \o "1-3" \h \z \u </w:instrText>
          </w:r>
          <w:r>
            <w:fldChar w:fldCharType="separate"/>
          </w:r>
          <w:hyperlink w:anchor="_Toc155347758" w:history="1">
            <w:r w:rsidR="00C469CC" w:rsidRPr="00785F37">
              <w:rPr>
                <w:rStyle w:val="Hyperlink"/>
              </w:rPr>
              <w:t>1</w:t>
            </w:r>
            <w:r w:rsidR="00C469CC">
              <w:rPr>
                <w:rFonts w:eastAsiaTheme="minorEastAsia" w:cstheme="minorBidi"/>
                <w:kern w:val="0"/>
                <w:lang w:eastAsia="bg-BG"/>
              </w:rPr>
              <w:tab/>
            </w:r>
            <w:r w:rsidR="00C469CC" w:rsidRPr="00785F37">
              <w:rPr>
                <w:rStyle w:val="Hyperlink"/>
              </w:rPr>
              <w:t>Въведение</w:t>
            </w:r>
            <w:r w:rsidR="00C469CC">
              <w:rPr>
                <w:webHidden/>
              </w:rPr>
              <w:tab/>
            </w:r>
            <w:r w:rsidR="00C469CC">
              <w:rPr>
                <w:webHidden/>
              </w:rPr>
              <w:fldChar w:fldCharType="begin"/>
            </w:r>
            <w:r w:rsidR="00C469CC">
              <w:rPr>
                <w:webHidden/>
              </w:rPr>
              <w:instrText xml:space="preserve"> PAGEREF _Toc155347758 \h </w:instrText>
            </w:r>
            <w:r w:rsidR="00C469CC">
              <w:rPr>
                <w:webHidden/>
              </w:rPr>
            </w:r>
            <w:r w:rsidR="00C469CC">
              <w:rPr>
                <w:webHidden/>
              </w:rPr>
              <w:fldChar w:fldCharType="separate"/>
            </w:r>
            <w:r w:rsidR="00C469CC">
              <w:rPr>
                <w:webHidden/>
              </w:rPr>
              <w:t>1-1</w:t>
            </w:r>
            <w:r w:rsidR="00C469CC">
              <w:rPr>
                <w:webHidden/>
              </w:rPr>
              <w:fldChar w:fldCharType="end"/>
            </w:r>
          </w:hyperlink>
        </w:p>
        <w:p w14:paraId="1EF06E71" w14:textId="77777777" w:rsidR="00C469CC" w:rsidRDefault="00C469CC">
          <w:pPr>
            <w:pStyle w:val="TOC2"/>
            <w:rPr>
              <w:rFonts w:eastAsiaTheme="minorEastAsia" w:cstheme="minorBidi"/>
              <w:caps w:val="0"/>
              <w:kern w:val="0"/>
              <w:lang w:eastAsia="bg-BG"/>
            </w:rPr>
          </w:pPr>
          <w:hyperlink w:anchor="_Toc155347759" w:history="1">
            <w:r w:rsidRPr="00785F37">
              <w:rPr>
                <w:rStyle w:val="Hyperlink"/>
              </w:rPr>
              <w:t>1.1</w:t>
            </w:r>
            <w:r>
              <w:rPr>
                <w:rFonts w:eastAsiaTheme="minorEastAsia" w:cstheme="minorBidi"/>
                <w:caps w:val="0"/>
                <w:kern w:val="0"/>
                <w:lang w:eastAsia="bg-BG"/>
              </w:rPr>
              <w:tab/>
            </w:r>
            <w:r w:rsidRPr="00785F37">
              <w:rPr>
                <w:rStyle w:val="Hyperlink"/>
              </w:rPr>
              <w:t>Общ преглед и предназначение на документа</w:t>
            </w:r>
            <w:r>
              <w:rPr>
                <w:webHidden/>
              </w:rPr>
              <w:tab/>
            </w:r>
            <w:r>
              <w:rPr>
                <w:webHidden/>
              </w:rPr>
              <w:fldChar w:fldCharType="begin"/>
            </w:r>
            <w:r>
              <w:rPr>
                <w:webHidden/>
              </w:rPr>
              <w:instrText xml:space="preserve"> PAGEREF _Toc155347759 \h </w:instrText>
            </w:r>
            <w:r>
              <w:rPr>
                <w:webHidden/>
              </w:rPr>
            </w:r>
            <w:r>
              <w:rPr>
                <w:webHidden/>
              </w:rPr>
              <w:fldChar w:fldCharType="separate"/>
            </w:r>
            <w:r>
              <w:rPr>
                <w:webHidden/>
              </w:rPr>
              <w:t>1-1</w:t>
            </w:r>
            <w:r>
              <w:rPr>
                <w:webHidden/>
              </w:rPr>
              <w:fldChar w:fldCharType="end"/>
            </w:r>
          </w:hyperlink>
        </w:p>
        <w:p w14:paraId="08C99F80" w14:textId="77777777" w:rsidR="00C469CC" w:rsidRDefault="00C469CC">
          <w:pPr>
            <w:pStyle w:val="TOC3"/>
            <w:rPr>
              <w:rFonts w:eastAsiaTheme="minorEastAsia" w:cstheme="minorBidi"/>
              <w:caps w:val="0"/>
              <w:kern w:val="0"/>
              <w:lang w:eastAsia="bg-BG"/>
            </w:rPr>
          </w:pPr>
          <w:hyperlink w:anchor="_Toc155347760" w:history="1">
            <w:r w:rsidRPr="00785F37">
              <w:rPr>
                <w:rStyle w:val="Hyperlink"/>
              </w:rPr>
              <w:t>1.1.1</w:t>
            </w:r>
            <w:r>
              <w:rPr>
                <w:rFonts w:eastAsiaTheme="minorEastAsia" w:cstheme="minorBidi"/>
                <w:caps w:val="0"/>
                <w:kern w:val="0"/>
                <w:lang w:eastAsia="bg-BG"/>
              </w:rPr>
              <w:tab/>
            </w:r>
            <w:r w:rsidRPr="00785F37">
              <w:rPr>
                <w:rStyle w:val="Hyperlink"/>
              </w:rPr>
              <w:t>Въведение в стандартите за безопасност на МААЕ и свързаните с тях публикации</w:t>
            </w:r>
            <w:r>
              <w:rPr>
                <w:webHidden/>
              </w:rPr>
              <w:tab/>
            </w:r>
            <w:r>
              <w:rPr>
                <w:webHidden/>
              </w:rPr>
              <w:fldChar w:fldCharType="begin"/>
            </w:r>
            <w:r>
              <w:rPr>
                <w:webHidden/>
              </w:rPr>
              <w:instrText xml:space="preserve"> PAGEREF _Toc155347760 \h </w:instrText>
            </w:r>
            <w:r>
              <w:rPr>
                <w:webHidden/>
              </w:rPr>
            </w:r>
            <w:r>
              <w:rPr>
                <w:webHidden/>
              </w:rPr>
              <w:fldChar w:fldCharType="separate"/>
            </w:r>
            <w:r>
              <w:rPr>
                <w:webHidden/>
              </w:rPr>
              <w:t>1-1</w:t>
            </w:r>
            <w:r>
              <w:rPr>
                <w:webHidden/>
              </w:rPr>
              <w:fldChar w:fldCharType="end"/>
            </w:r>
          </w:hyperlink>
        </w:p>
        <w:p w14:paraId="39F898B0" w14:textId="77777777" w:rsidR="00C469CC" w:rsidRDefault="00C469CC">
          <w:pPr>
            <w:pStyle w:val="TOC3"/>
            <w:rPr>
              <w:rFonts w:eastAsiaTheme="minorEastAsia" w:cstheme="minorBidi"/>
              <w:caps w:val="0"/>
              <w:kern w:val="0"/>
              <w:lang w:eastAsia="bg-BG"/>
            </w:rPr>
          </w:pPr>
          <w:hyperlink w:anchor="_Toc155347761" w:history="1">
            <w:r w:rsidRPr="00785F37">
              <w:rPr>
                <w:rStyle w:val="Hyperlink"/>
              </w:rPr>
              <w:t>1.1.2</w:t>
            </w:r>
            <w:r>
              <w:rPr>
                <w:rFonts w:eastAsiaTheme="minorEastAsia" w:cstheme="minorBidi"/>
                <w:caps w:val="0"/>
                <w:kern w:val="0"/>
                <w:lang w:eastAsia="bg-BG"/>
              </w:rPr>
              <w:tab/>
            </w:r>
            <w:r w:rsidRPr="00785F37">
              <w:rPr>
                <w:rStyle w:val="Hyperlink"/>
              </w:rPr>
              <w:t>Обхват на оценката на съответствието на документите на МААЕ за настоящия документ</w:t>
            </w:r>
            <w:r>
              <w:rPr>
                <w:webHidden/>
              </w:rPr>
              <w:tab/>
            </w:r>
            <w:r>
              <w:rPr>
                <w:webHidden/>
              </w:rPr>
              <w:fldChar w:fldCharType="begin"/>
            </w:r>
            <w:r>
              <w:rPr>
                <w:webHidden/>
              </w:rPr>
              <w:instrText xml:space="preserve"> PAGEREF _Toc155347761 \h </w:instrText>
            </w:r>
            <w:r>
              <w:rPr>
                <w:webHidden/>
              </w:rPr>
            </w:r>
            <w:r>
              <w:rPr>
                <w:webHidden/>
              </w:rPr>
              <w:fldChar w:fldCharType="separate"/>
            </w:r>
            <w:r>
              <w:rPr>
                <w:webHidden/>
              </w:rPr>
              <w:t>1-2</w:t>
            </w:r>
            <w:r>
              <w:rPr>
                <w:webHidden/>
              </w:rPr>
              <w:fldChar w:fldCharType="end"/>
            </w:r>
          </w:hyperlink>
        </w:p>
        <w:p w14:paraId="110671B4" w14:textId="77777777" w:rsidR="00C469CC" w:rsidRDefault="00C469CC">
          <w:pPr>
            <w:pStyle w:val="TOC3"/>
            <w:rPr>
              <w:rFonts w:eastAsiaTheme="minorEastAsia" w:cstheme="minorBidi"/>
              <w:caps w:val="0"/>
              <w:kern w:val="0"/>
              <w:lang w:eastAsia="bg-BG"/>
            </w:rPr>
          </w:pPr>
          <w:hyperlink w:anchor="_Toc155347762" w:history="1">
            <w:r w:rsidRPr="00785F37">
              <w:rPr>
                <w:rStyle w:val="Hyperlink"/>
              </w:rPr>
              <w:t>1.1.3</w:t>
            </w:r>
            <w:r>
              <w:rPr>
                <w:rFonts w:eastAsiaTheme="minorEastAsia" w:cstheme="minorBidi"/>
                <w:caps w:val="0"/>
                <w:kern w:val="0"/>
                <w:lang w:eastAsia="bg-BG"/>
              </w:rPr>
              <w:tab/>
            </w:r>
            <w:r w:rsidRPr="00785F37">
              <w:rPr>
                <w:rStyle w:val="Hyperlink"/>
              </w:rPr>
              <w:t>Други оценки на съответствието на централата AP1000 с документацията на МААЕ</w:t>
            </w:r>
            <w:r>
              <w:rPr>
                <w:webHidden/>
              </w:rPr>
              <w:tab/>
            </w:r>
            <w:r>
              <w:rPr>
                <w:webHidden/>
              </w:rPr>
              <w:fldChar w:fldCharType="begin"/>
            </w:r>
            <w:r>
              <w:rPr>
                <w:webHidden/>
              </w:rPr>
              <w:instrText xml:space="preserve"> PAGEREF _Toc155347762 \h </w:instrText>
            </w:r>
            <w:r>
              <w:rPr>
                <w:webHidden/>
              </w:rPr>
            </w:r>
            <w:r>
              <w:rPr>
                <w:webHidden/>
              </w:rPr>
              <w:fldChar w:fldCharType="separate"/>
            </w:r>
            <w:r>
              <w:rPr>
                <w:webHidden/>
              </w:rPr>
              <w:t>1-2</w:t>
            </w:r>
            <w:r>
              <w:rPr>
                <w:webHidden/>
              </w:rPr>
              <w:fldChar w:fldCharType="end"/>
            </w:r>
          </w:hyperlink>
        </w:p>
        <w:p w14:paraId="3F44D118" w14:textId="77777777" w:rsidR="00C469CC" w:rsidRDefault="00C469CC">
          <w:pPr>
            <w:pStyle w:val="TOC3"/>
            <w:rPr>
              <w:rFonts w:eastAsiaTheme="minorEastAsia" w:cstheme="minorBidi"/>
              <w:caps w:val="0"/>
              <w:kern w:val="0"/>
              <w:lang w:eastAsia="bg-BG"/>
            </w:rPr>
          </w:pPr>
          <w:hyperlink w:anchor="_Toc155347763" w:history="1">
            <w:r w:rsidRPr="00785F37">
              <w:rPr>
                <w:rStyle w:val="Hyperlink"/>
              </w:rPr>
              <w:t>1.1.4</w:t>
            </w:r>
            <w:r>
              <w:rPr>
                <w:rFonts w:eastAsiaTheme="minorEastAsia" w:cstheme="minorBidi"/>
                <w:caps w:val="0"/>
                <w:kern w:val="0"/>
                <w:lang w:eastAsia="bg-BG"/>
              </w:rPr>
              <w:tab/>
            </w:r>
            <w:r w:rsidRPr="00785F37">
              <w:rPr>
                <w:rStyle w:val="Hyperlink"/>
              </w:rPr>
              <w:t>Структура на този документ за оценки на съответствието</w:t>
            </w:r>
            <w:r>
              <w:rPr>
                <w:webHidden/>
              </w:rPr>
              <w:tab/>
            </w:r>
            <w:r>
              <w:rPr>
                <w:webHidden/>
              </w:rPr>
              <w:fldChar w:fldCharType="begin"/>
            </w:r>
            <w:r>
              <w:rPr>
                <w:webHidden/>
              </w:rPr>
              <w:instrText xml:space="preserve"> PAGEREF _Toc155347763 \h </w:instrText>
            </w:r>
            <w:r>
              <w:rPr>
                <w:webHidden/>
              </w:rPr>
            </w:r>
            <w:r>
              <w:rPr>
                <w:webHidden/>
              </w:rPr>
              <w:fldChar w:fldCharType="separate"/>
            </w:r>
            <w:r>
              <w:rPr>
                <w:webHidden/>
              </w:rPr>
              <w:t>1-3</w:t>
            </w:r>
            <w:r>
              <w:rPr>
                <w:webHidden/>
              </w:rPr>
              <w:fldChar w:fldCharType="end"/>
            </w:r>
          </w:hyperlink>
        </w:p>
        <w:p w14:paraId="4E16633B" w14:textId="77777777" w:rsidR="00C469CC" w:rsidRDefault="00C469CC">
          <w:pPr>
            <w:pStyle w:val="TOC2"/>
            <w:rPr>
              <w:rFonts w:eastAsiaTheme="minorEastAsia" w:cstheme="minorBidi"/>
              <w:caps w:val="0"/>
              <w:kern w:val="0"/>
              <w:lang w:eastAsia="bg-BG"/>
            </w:rPr>
          </w:pPr>
          <w:hyperlink w:anchor="_Toc155347764" w:history="1">
            <w:r w:rsidRPr="00785F37">
              <w:rPr>
                <w:rStyle w:val="Hyperlink"/>
              </w:rPr>
              <w:t>1.2</w:t>
            </w:r>
            <w:r>
              <w:rPr>
                <w:rFonts w:eastAsiaTheme="minorEastAsia" w:cstheme="minorBidi"/>
                <w:caps w:val="0"/>
                <w:kern w:val="0"/>
                <w:lang w:eastAsia="bg-BG"/>
              </w:rPr>
              <w:tab/>
            </w:r>
            <w:r w:rsidRPr="00785F37">
              <w:rPr>
                <w:rStyle w:val="Hyperlink"/>
              </w:rPr>
              <w:t>Основа за оценка на съответствието</w:t>
            </w:r>
            <w:r>
              <w:rPr>
                <w:webHidden/>
              </w:rPr>
              <w:tab/>
            </w:r>
            <w:r>
              <w:rPr>
                <w:webHidden/>
              </w:rPr>
              <w:fldChar w:fldCharType="begin"/>
            </w:r>
            <w:r>
              <w:rPr>
                <w:webHidden/>
              </w:rPr>
              <w:instrText xml:space="preserve"> PAGEREF _Toc155347764 \h </w:instrText>
            </w:r>
            <w:r>
              <w:rPr>
                <w:webHidden/>
              </w:rPr>
            </w:r>
            <w:r>
              <w:rPr>
                <w:webHidden/>
              </w:rPr>
              <w:fldChar w:fldCharType="separate"/>
            </w:r>
            <w:r>
              <w:rPr>
                <w:webHidden/>
              </w:rPr>
              <w:t>1-3</w:t>
            </w:r>
            <w:r>
              <w:rPr>
                <w:webHidden/>
              </w:rPr>
              <w:fldChar w:fldCharType="end"/>
            </w:r>
          </w:hyperlink>
        </w:p>
        <w:p w14:paraId="4BE99C49" w14:textId="77777777" w:rsidR="00C469CC" w:rsidRDefault="00C469CC">
          <w:pPr>
            <w:pStyle w:val="TOC2"/>
            <w:rPr>
              <w:rFonts w:eastAsiaTheme="minorEastAsia" w:cstheme="minorBidi"/>
              <w:caps w:val="0"/>
              <w:kern w:val="0"/>
              <w:lang w:eastAsia="bg-BG"/>
            </w:rPr>
          </w:pPr>
          <w:hyperlink w:anchor="_Toc155347765" w:history="1">
            <w:r w:rsidRPr="00785F37">
              <w:rPr>
                <w:rStyle w:val="Hyperlink"/>
              </w:rPr>
              <w:t>1.3</w:t>
            </w:r>
            <w:r>
              <w:rPr>
                <w:rFonts w:eastAsiaTheme="minorEastAsia" w:cstheme="minorBidi"/>
                <w:caps w:val="0"/>
                <w:kern w:val="0"/>
                <w:lang w:eastAsia="bg-BG"/>
              </w:rPr>
              <w:tab/>
            </w:r>
            <w:r w:rsidRPr="00785F37">
              <w:rPr>
                <w:rStyle w:val="Hyperlink"/>
              </w:rPr>
              <w:t>Описание на централата AP1000</w:t>
            </w:r>
            <w:r>
              <w:rPr>
                <w:webHidden/>
              </w:rPr>
              <w:tab/>
            </w:r>
            <w:r>
              <w:rPr>
                <w:webHidden/>
              </w:rPr>
              <w:fldChar w:fldCharType="begin"/>
            </w:r>
            <w:r>
              <w:rPr>
                <w:webHidden/>
              </w:rPr>
              <w:instrText xml:space="preserve"> PAGEREF _Toc155347765 \h </w:instrText>
            </w:r>
            <w:r>
              <w:rPr>
                <w:webHidden/>
              </w:rPr>
            </w:r>
            <w:r>
              <w:rPr>
                <w:webHidden/>
              </w:rPr>
              <w:fldChar w:fldCharType="separate"/>
            </w:r>
            <w:r>
              <w:rPr>
                <w:webHidden/>
              </w:rPr>
              <w:t>1-4</w:t>
            </w:r>
            <w:r>
              <w:rPr>
                <w:webHidden/>
              </w:rPr>
              <w:fldChar w:fldCharType="end"/>
            </w:r>
          </w:hyperlink>
        </w:p>
        <w:p w14:paraId="5C1D6BCB" w14:textId="77777777" w:rsidR="00C469CC" w:rsidRDefault="00C469CC">
          <w:pPr>
            <w:pStyle w:val="TOC3"/>
            <w:rPr>
              <w:rFonts w:eastAsiaTheme="minorEastAsia" w:cstheme="minorBidi"/>
              <w:caps w:val="0"/>
              <w:kern w:val="0"/>
              <w:lang w:eastAsia="bg-BG"/>
            </w:rPr>
          </w:pPr>
          <w:hyperlink w:anchor="_Toc155347766" w:history="1">
            <w:r w:rsidRPr="00785F37">
              <w:rPr>
                <w:rStyle w:val="Hyperlink"/>
              </w:rPr>
              <w:t>1.3.1</w:t>
            </w:r>
            <w:r>
              <w:rPr>
                <w:rFonts w:eastAsiaTheme="minorEastAsia" w:cstheme="minorBidi"/>
                <w:caps w:val="0"/>
                <w:kern w:val="0"/>
                <w:lang w:eastAsia="bg-BG"/>
              </w:rPr>
              <w:tab/>
            </w:r>
            <w:r w:rsidRPr="00785F37">
              <w:rPr>
                <w:rStyle w:val="Hyperlink"/>
              </w:rPr>
              <w:t>Общ преглед</w:t>
            </w:r>
            <w:r>
              <w:rPr>
                <w:webHidden/>
              </w:rPr>
              <w:tab/>
            </w:r>
            <w:r>
              <w:rPr>
                <w:webHidden/>
              </w:rPr>
              <w:fldChar w:fldCharType="begin"/>
            </w:r>
            <w:r>
              <w:rPr>
                <w:webHidden/>
              </w:rPr>
              <w:instrText xml:space="preserve"> PAGEREF _Toc155347766 \h </w:instrText>
            </w:r>
            <w:r>
              <w:rPr>
                <w:webHidden/>
              </w:rPr>
            </w:r>
            <w:r>
              <w:rPr>
                <w:webHidden/>
              </w:rPr>
              <w:fldChar w:fldCharType="separate"/>
            </w:r>
            <w:r>
              <w:rPr>
                <w:webHidden/>
              </w:rPr>
              <w:t>1-4</w:t>
            </w:r>
            <w:r>
              <w:rPr>
                <w:webHidden/>
              </w:rPr>
              <w:fldChar w:fldCharType="end"/>
            </w:r>
          </w:hyperlink>
        </w:p>
        <w:p w14:paraId="6FBD2B53" w14:textId="77777777" w:rsidR="00C469CC" w:rsidRDefault="00C469CC">
          <w:pPr>
            <w:pStyle w:val="TOC3"/>
            <w:rPr>
              <w:rFonts w:eastAsiaTheme="minorEastAsia" w:cstheme="minorBidi"/>
              <w:caps w:val="0"/>
              <w:kern w:val="0"/>
              <w:lang w:eastAsia="bg-BG"/>
            </w:rPr>
          </w:pPr>
          <w:hyperlink w:anchor="_Toc155347767" w:history="1">
            <w:r w:rsidRPr="00785F37">
              <w:rPr>
                <w:rStyle w:val="Hyperlink"/>
              </w:rPr>
              <w:t>1.3.2</w:t>
            </w:r>
            <w:r>
              <w:rPr>
                <w:rFonts w:eastAsiaTheme="minorEastAsia" w:cstheme="minorBidi"/>
                <w:caps w:val="0"/>
                <w:kern w:val="0"/>
                <w:lang w:eastAsia="bg-BG"/>
              </w:rPr>
              <w:tab/>
            </w:r>
            <w:r w:rsidRPr="00785F37">
              <w:rPr>
                <w:rStyle w:val="Hyperlink"/>
              </w:rPr>
              <w:t>Конструктивни характеристики на съоръженията за радиационна защита</w:t>
            </w:r>
            <w:r>
              <w:rPr>
                <w:webHidden/>
              </w:rPr>
              <w:tab/>
            </w:r>
            <w:r>
              <w:rPr>
                <w:webHidden/>
              </w:rPr>
              <w:fldChar w:fldCharType="begin"/>
            </w:r>
            <w:r>
              <w:rPr>
                <w:webHidden/>
              </w:rPr>
              <w:instrText xml:space="preserve"> PAGEREF _Toc155347767 \h </w:instrText>
            </w:r>
            <w:r>
              <w:rPr>
                <w:webHidden/>
              </w:rPr>
            </w:r>
            <w:r>
              <w:rPr>
                <w:webHidden/>
              </w:rPr>
              <w:fldChar w:fldCharType="separate"/>
            </w:r>
            <w:r>
              <w:rPr>
                <w:webHidden/>
              </w:rPr>
              <w:t>1-5</w:t>
            </w:r>
            <w:r>
              <w:rPr>
                <w:webHidden/>
              </w:rPr>
              <w:fldChar w:fldCharType="end"/>
            </w:r>
          </w:hyperlink>
        </w:p>
        <w:p w14:paraId="47341486" w14:textId="77777777" w:rsidR="00C469CC" w:rsidRDefault="00C469CC">
          <w:pPr>
            <w:pStyle w:val="TOC3"/>
            <w:rPr>
              <w:rFonts w:eastAsiaTheme="minorEastAsia" w:cstheme="minorBidi"/>
              <w:caps w:val="0"/>
              <w:kern w:val="0"/>
              <w:lang w:eastAsia="bg-BG"/>
            </w:rPr>
          </w:pPr>
          <w:hyperlink w:anchor="_Toc155347768" w:history="1">
            <w:r w:rsidRPr="00785F37">
              <w:rPr>
                <w:rStyle w:val="Hyperlink"/>
              </w:rPr>
              <w:t>1.3.3</w:t>
            </w:r>
            <w:r>
              <w:rPr>
                <w:rFonts w:eastAsiaTheme="minorEastAsia" w:cstheme="minorBidi"/>
                <w:caps w:val="0"/>
                <w:kern w:val="0"/>
                <w:lang w:eastAsia="bg-BG"/>
              </w:rPr>
              <w:tab/>
            </w:r>
            <w:r w:rsidRPr="00785F37">
              <w:rPr>
                <w:rStyle w:val="Hyperlink"/>
              </w:rPr>
              <w:t>Екраниране от радиационни въздействия</w:t>
            </w:r>
            <w:r>
              <w:rPr>
                <w:webHidden/>
              </w:rPr>
              <w:tab/>
            </w:r>
            <w:r>
              <w:rPr>
                <w:webHidden/>
              </w:rPr>
              <w:fldChar w:fldCharType="begin"/>
            </w:r>
            <w:r>
              <w:rPr>
                <w:webHidden/>
              </w:rPr>
              <w:instrText xml:space="preserve"> PAGEREF _Toc155347768 \h </w:instrText>
            </w:r>
            <w:r>
              <w:rPr>
                <w:webHidden/>
              </w:rPr>
            </w:r>
            <w:r>
              <w:rPr>
                <w:webHidden/>
              </w:rPr>
              <w:fldChar w:fldCharType="separate"/>
            </w:r>
            <w:r>
              <w:rPr>
                <w:webHidden/>
              </w:rPr>
              <w:t>1-5</w:t>
            </w:r>
            <w:r>
              <w:rPr>
                <w:webHidden/>
              </w:rPr>
              <w:fldChar w:fldCharType="end"/>
            </w:r>
          </w:hyperlink>
        </w:p>
        <w:p w14:paraId="34043ECF" w14:textId="77777777" w:rsidR="00C469CC" w:rsidRDefault="00C469CC">
          <w:pPr>
            <w:pStyle w:val="TOC3"/>
            <w:rPr>
              <w:rFonts w:eastAsiaTheme="minorEastAsia" w:cstheme="minorBidi"/>
              <w:caps w:val="0"/>
              <w:kern w:val="0"/>
              <w:lang w:eastAsia="bg-BG"/>
            </w:rPr>
          </w:pPr>
          <w:hyperlink w:anchor="_Toc155347769" w:history="1">
            <w:r w:rsidRPr="00785F37">
              <w:rPr>
                <w:rStyle w:val="Hyperlink"/>
              </w:rPr>
              <w:t>1.3.4</w:t>
            </w:r>
            <w:r>
              <w:rPr>
                <w:rFonts w:eastAsiaTheme="minorEastAsia" w:cstheme="minorBidi"/>
                <w:caps w:val="0"/>
                <w:kern w:val="0"/>
                <w:lang w:eastAsia="bg-BG"/>
              </w:rPr>
              <w:tab/>
            </w:r>
            <w:r w:rsidRPr="00785F37">
              <w:rPr>
                <w:rStyle w:val="Hyperlink"/>
              </w:rPr>
              <w:t>Вентилация</w:t>
            </w:r>
            <w:r>
              <w:rPr>
                <w:webHidden/>
              </w:rPr>
              <w:tab/>
            </w:r>
            <w:r>
              <w:rPr>
                <w:webHidden/>
              </w:rPr>
              <w:fldChar w:fldCharType="begin"/>
            </w:r>
            <w:r>
              <w:rPr>
                <w:webHidden/>
              </w:rPr>
              <w:instrText xml:space="preserve"> PAGEREF _Toc155347769 \h </w:instrText>
            </w:r>
            <w:r>
              <w:rPr>
                <w:webHidden/>
              </w:rPr>
            </w:r>
            <w:r>
              <w:rPr>
                <w:webHidden/>
              </w:rPr>
              <w:fldChar w:fldCharType="separate"/>
            </w:r>
            <w:r>
              <w:rPr>
                <w:webHidden/>
              </w:rPr>
              <w:t>1-6</w:t>
            </w:r>
            <w:r>
              <w:rPr>
                <w:webHidden/>
              </w:rPr>
              <w:fldChar w:fldCharType="end"/>
            </w:r>
          </w:hyperlink>
        </w:p>
        <w:p w14:paraId="21EA54C8" w14:textId="77777777" w:rsidR="00C469CC" w:rsidRDefault="00C469CC">
          <w:pPr>
            <w:pStyle w:val="TOC2"/>
            <w:rPr>
              <w:rFonts w:eastAsiaTheme="minorEastAsia" w:cstheme="minorBidi"/>
              <w:caps w:val="0"/>
              <w:kern w:val="0"/>
              <w:lang w:eastAsia="bg-BG"/>
            </w:rPr>
          </w:pPr>
          <w:hyperlink w:anchor="_Toc155347770" w:history="1">
            <w:r w:rsidRPr="00785F37">
              <w:rPr>
                <w:rStyle w:val="Hyperlink"/>
              </w:rPr>
              <w:t>1.4</w:t>
            </w:r>
            <w:r>
              <w:rPr>
                <w:rFonts w:eastAsiaTheme="minorEastAsia" w:cstheme="minorBidi"/>
                <w:caps w:val="0"/>
                <w:kern w:val="0"/>
                <w:lang w:eastAsia="bg-BG"/>
              </w:rPr>
              <w:tab/>
            </w:r>
            <w:r w:rsidRPr="00785F37">
              <w:rPr>
                <w:rStyle w:val="Hyperlink"/>
              </w:rPr>
              <w:t>Обсъждане на радиационната защита и безопасността на източниците на йонизиращи лъчения: Международен основен стандарт за безопасност в стандартния проект и референтната централа AP1000</w:t>
            </w:r>
            <w:r>
              <w:rPr>
                <w:webHidden/>
              </w:rPr>
              <w:tab/>
            </w:r>
            <w:r>
              <w:rPr>
                <w:webHidden/>
              </w:rPr>
              <w:fldChar w:fldCharType="begin"/>
            </w:r>
            <w:r>
              <w:rPr>
                <w:webHidden/>
              </w:rPr>
              <w:instrText xml:space="preserve"> PAGEREF _Toc155347770 \h </w:instrText>
            </w:r>
            <w:r>
              <w:rPr>
                <w:webHidden/>
              </w:rPr>
            </w:r>
            <w:r>
              <w:rPr>
                <w:webHidden/>
              </w:rPr>
              <w:fldChar w:fldCharType="separate"/>
            </w:r>
            <w:r>
              <w:rPr>
                <w:webHidden/>
              </w:rPr>
              <w:t>1-7</w:t>
            </w:r>
            <w:r>
              <w:rPr>
                <w:webHidden/>
              </w:rPr>
              <w:fldChar w:fldCharType="end"/>
            </w:r>
          </w:hyperlink>
        </w:p>
        <w:p w14:paraId="35C33E5F" w14:textId="77777777" w:rsidR="00C469CC" w:rsidRDefault="00C469CC">
          <w:pPr>
            <w:pStyle w:val="TOC2"/>
            <w:rPr>
              <w:rFonts w:eastAsiaTheme="minorEastAsia" w:cstheme="minorBidi"/>
              <w:caps w:val="0"/>
              <w:kern w:val="0"/>
              <w:lang w:eastAsia="bg-BG"/>
            </w:rPr>
          </w:pPr>
          <w:hyperlink w:anchor="_Toc155347771" w:history="1">
            <w:r w:rsidRPr="00785F37">
              <w:rPr>
                <w:rStyle w:val="Hyperlink"/>
              </w:rPr>
              <w:t>1.5</w:t>
            </w:r>
            <w:r>
              <w:rPr>
                <w:rFonts w:eastAsiaTheme="minorEastAsia" w:cstheme="minorBidi"/>
                <w:caps w:val="0"/>
                <w:kern w:val="0"/>
                <w:lang w:eastAsia="bg-BG"/>
              </w:rPr>
              <w:tab/>
            </w:r>
            <w:r w:rsidRPr="00785F37">
              <w:rPr>
                <w:rStyle w:val="Hyperlink"/>
              </w:rPr>
              <w:t>Резюме на резултатите от оценката на съответствието</w:t>
            </w:r>
            <w:r>
              <w:rPr>
                <w:webHidden/>
              </w:rPr>
              <w:tab/>
            </w:r>
            <w:r>
              <w:rPr>
                <w:webHidden/>
              </w:rPr>
              <w:fldChar w:fldCharType="begin"/>
            </w:r>
            <w:r>
              <w:rPr>
                <w:webHidden/>
              </w:rPr>
              <w:instrText xml:space="preserve"> PAGEREF _Toc155347771 \h </w:instrText>
            </w:r>
            <w:r>
              <w:rPr>
                <w:webHidden/>
              </w:rPr>
            </w:r>
            <w:r>
              <w:rPr>
                <w:webHidden/>
              </w:rPr>
              <w:fldChar w:fldCharType="separate"/>
            </w:r>
            <w:r>
              <w:rPr>
                <w:webHidden/>
              </w:rPr>
              <w:t>1-10</w:t>
            </w:r>
            <w:r>
              <w:rPr>
                <w:webHidden/>
              </w:rPr>
              <w:fldChar w:fldCharType="end"/>
            </w:r>
          </w:hyperlink>
        </w:p>
        <w:p w14:paraId="1E3C8174" w14:textId="77777777" w:rsidR="00C469CC" w:rsidRDefault="00C469CC">
          <w:pPr>
            <w:pStyle w:val="TOC2"/>
            <w:rPr>
              <w:rFonts w:eastAsiaTheme="minorEastAsia" w:cstheme="minorBidi"/>
              <w:caps w:val="0"/>
              <w:kern w:val="0"/>
              <w:lang w:eastAsia="bg-BG"/>
            </w:rPr>
          </w:pPr>
          <w:hyperlink w:anchor="_Toc155347772" w:history="1">
            <w:r w:rsidRPr="00785F37">
              <w:rPr>
                <w:rStyle w:val="Hyperlink"/>
              </w:rPr>
              <w:t>1.6</w:t>
            </w:r>
            <w:r>
              <w:rPr>
                <w:rFonts w:eastAsiaTheme="minorEastAsia" w:cstheme="minorBidi"/>
                <w:caps w:val="0"/>
                <w:kern w:val="0"/>
                <w:lang w:eastAsia="bg-BG"/>
              </w:rPr>
              <w:tab/>
            </w:r>
            <w:r w:rsidRPr="00785F37">
              <w:rPr>
                <w:rStyle w:val="Hyperlink"/>
              </w:rPr>
              <w:t>Изводи</w:t>
            </w:r>
            <w:r>
              <w:rPr>
                <w:webHidden/>
              </w:rPr>
              <w:tab/>
            </w:r>
            <w:r>
              <w:rPr>
                <w:webHidden/>
              </w:rPr>
              <w:fldChar w:fldCharType="begin"/>
            </w:r>
            <w:r>
              <w:rPr>
                <w:webHidden/>
              </w:rPr>
              <w:instrText xml:space="preserve"> PAGEREF _Toc155347772 \h </w:instrText>
            </w:r>
            <w:r>
              <w:rPr>
                <w:webHidden/>
              </w:rPr>
            </w:r>
            <w:r>
              <w:rPr>
                <w:webHidden/>
              </w:rPr>
              <w:fldChar w:fldCharType="separate"/>
            </w:r>
            <w:r>
              <w:rPr>
                <w:webHidden/>
              </w:rPr>
              <w:t>1-20</w:t>
            </w:r>
            <w:r>
              <w:rPr>
                <w:webHidden/>
              </w:rPr>
              <w:fldChar w:fldCharType="end"/>
            </w:r>
          </w:hyperlink>
        </w:p>
        <w:p w14:paraId="123F08CC" w14:textId="77777777" w:rsidR="00C469CC" w:rsidRDefault="00C469CC">
          <w:pPr>
            <w:pStyle w:val="TOC2"/>
            <w:rPr>
              <w:rFonts w:eastAsiaTheme="minorEastAsia" w:cstheme="minorBidi"/>
              <w:caps w:val="0"/>
              <w:kern w:val="0"/>
              <w:lang w:eastAsia="bg-BG"/>
            </w:rPr>
          </w:pPr>
          <w:hyperlink w:anchor="_Toc155347773" w:history="1">
            <w:r w:rsidRPr="00785F37">
              <w:rPr>
                <w:rStyle w:val="Hyperlink"/>
              </w:rPr>
              <w:t>1.7</w:t>
            </w:r>
            <w:r>
              <w:rPr>
                <w:rFonts w:eastAsiaTheme="minorEastAsia" w:cstheme="minorBidi"/>
                <w:caps w:val="0"/>
                <w:kern w:val="0"/>
                <w:lang w:eastAsia="bg-BG"/>
              </w:rPr>
              <w:tab/>
            </w:r>
            <w:r w:rsidRPr="00785F37">
              <w:rPr>
                <w:rStyle w:val="Hyperlink"/>
              </w:rPr>
              <w:t>Идентифицирани потенциални рискове, които трябва да се адресират</w:t>
            </w:r>
            <w:r>
              <w:rPr>
                <w:webHidden/>
              </w:rPr>
              <w:tab/>
            </w:r>
            <w:r>
              <w:rPr>
                <w:webHidden/>
              </w:rPr>
              <w:fldChar w:fldCharType="begin"/>
            </w:r>
            <w:r>
              <w:rPr>
                <w:webHidden/>
              </w:rPr>
              <w:instrText xml:space="preserve"> PAGEREF _Toc155347773 \h </w:instrText>
            </w:r>
            <w:r>
              <w:rPr>
                <w:webHidden/>
              </w:rPr>
            </w:r>
            <w:r>
              <w:rPr>
                <w:webHidden/>
              </w:rPr>
              <w:fldChar w:fldCharType="separate"/>
            </w:r>
            <w:r>
              <w:rPr>
                <w:webHidden/>
              </w:rPr>
              <w:t>1-2</w:t>
            </w:r>
            <w:r>
              <w:rPr>
                <w:webHidden/>
              </w:rPr>
              <w:fldChar w:fldCharType="end"/>
            </w:r>
          </w:hyperlink>
        </w:p>
        <w:p w14:paraId="174142CB" w14:textId="77777777" w:rsidR="00C469CC" w:rsidRDefault="00C469CC">
          <w:pPr>
            <w:pStyle w:val="TOC1"/>
            <w:rPr>
              <w:rFonts w:eastAsiaTheme="minorEastAsia" w:cstheme="minorBidi"/>
              <w:kern w:val="0"/>
              <w:lang w:eastAsia="bg-BG"/>
            </w:rPr>
          </w:pPr>
          <w:hyperlink w:anchor="_Toc155347774" w:history="1">
            <w:r w:rsidRPr="00785F37">
              <w:rPr>
                <w:rStyle w:val="Hyperlink"/>
              </w:rPr>
              <w:t>2</w:t>
            </w:r>
            <w:r>
              <w:rPr>
                <w:rFonts w:eastAsiaTheme="minorEastAsia" w:cstheme="minorBidi"/>
                <w:kern w:val="0"/>
                <w:lang w:eastAsia="bg-BG"/>
              </w:rPr>
              <w:tab/>
            </w:r>
            <w:r w:rsidRPr="00785F37">
              <w:rPr>
                <w:rStyle w:val="Hyperlink"/>
              </w:rPr>
              <w:t>Оценка на съответствието с референтните нива за безопасност на МААЕ</w:t>
            </w:r>
            <w:r>
              <w:rPr>
                <w:webHidden/>
              </w:rPr>
              <w:tab/>
            </w:r>
            <w:r>
              <w:rPr>
                <w:webHidden/>
              </w:rPr>
              <w:fldChar w:fldCharType="begin"/>
            </w:r>
            <w:r>
              <w:rPr>
                <w:webHidden/>
              </w:rPr>
              <w:instrText xml:space="preserve"> PAGEREF _Toc155347774 \h </w:instrText>
            </w:r>
            <w:r>
              <w:rPr>
                <w:webHidden/>
              </w:rPr>
            </w:r>
            <w:r>
              <w:rPr>
                <w:webHidden/>
              </w:rPr>
              <w:fldChar w:fldCharType="separate"/>
            </w:r>
            <w:r>
              <w:rPr>
                <w:webHidden/>
              </w:rPr>
              <w:t>2-1</w:t>
            </w:r>
            <w:r>
              <w:rPr>
                <w:webHidden/>
              </w:rPr>
              <w:fldChar w:fldCharType="end"/>
            </w:r>
          </w:hyperlink>
        </w:p>
        <w:p w14:paraId="3DAC2091" w14:textId="77777777" w:rsidR="00C469CC" w:rsidRDefault="00C469CC">
          <w:pPr>
            <w:pStyle w:val="TOC2"/>
            <w:rPr>
              <w:rFonts w:eastAsiaTheme="minorEastAsia" w:cstheme="minorBidi"/>
              <w:caps w:val="0"/>
              <w:kern w:val="0"/>
              <w:lang w:eastAsia="bg-BG"/>
            </w:rPr>
          </w:pPr>
          <w:hyperlink w:anchor="_Toc155347775" w:history="1">
            <w:r w:rsidRPr="00785F37">
              <w:rPr>
                <w:rStyle w:val="Hyperlink"/>
              </w:rPr>
              <w:t>2.1</w:t>
            </w:r>
            <w:r>
              <w:rPr>
                <w:rFonts w:eastAsiaTheme="minorEastAsia" w:cstheme="minorBidi"/>
                <w:caps w:val="0"/>
                <w:kern w:val="0"/>
                <w:lang w:eastAsia="bg-BG"/>
              </w:rPr>
              <w:tab/>
            </w:r>
            <w:r w:rsidRPr="00785F37">
              <w:rPr>
                <w:rStyle w:val="Hyperlink"/>
              </w:rPr>
              <w:t>Оценка на съответствието – класификационен етикет</w:t>
            </w:r>
            <w:r>
              <w:rPr>
                <w:webHidden/>
              </w:rPr>
              <w:tab/>
            </w:r>
            <w:r>
              <w:rPr>
                <w:webHidden/>
              </w:rPr>
              <w:fldChar w:fldCharType="begin"/>
            </w:r>
            <w:r>
              <w:rPr>
                <w:webHidden/>
              </w:rPr>
              <w:instrText xml:space="preserve"> PAGEREF _Toc155347775 \h </w:instrText>
            </w:r>
            <w:r>
              <w:rPr>
                <w:webHidden/>
              </w:rPr>
            </w:r>
            <w:r>
              <w:rPr>
                <w:webHidden/>
              </w:rPr>
              <w:fldChar w:fldCharType="separate"/>
            </w:r>
            <w:r>
              <w:rPr>
                <w:webHidden/>
              </w:rPr>
              <w:t>2-1</w:t>
            </w:r>
            <w:r>
              <w:rPr>
                <w:webHidden/>
              </w:rPr>
              <w:fldChar w:fldCharType="end"/>
            </w:r>
          </w:hyperlink>
        </w:p>
        <w:p w14:paraId="0F6A24B5" w14:textId="77777777" w:rsidR="00C469CC" w:rsidRDefault="00C469CC">
          <w:pPr>
            <w:pStyle w:val="TOC2"/>
            <w:rPr>
              <w:rFonts w:eastAsiaTheme="minorEastAsia" w:cstheme="minorBidi"/>
              <w:caps w:val="0"/>
              <w:kern w:val="0"/>
              <w:lang w:eastAsia="bg-BG"/>
            </w:rPr>
          </w:pPr>
          <w:hyperlink w:anchor="_Toc155347776" w:history="1">
            <w:r w:rsidRPr="00785F37">
              <w:rPr>
                <w:rStyle w:val="Hyperlink"/>
              </w:rPr>
              <w:t>2.2</w:t>
            </w:r>
            <w:r>
              <w:rPr>
                <w:rFonts w:eastAsiaTheme="minorEastAsia" w:cstheme="minorBidi"/>
                <w:caps w:val="0"/>
                <w:kern w:val="0"/>
                <w:lang w:eastAsia="bg-BG"/>
              </w:rPr>
              <w:tab/>
            </w:r>
            <w:r w:rsidRPr="00785F37">
              <w:rPr>
                <w:rStyle w:val="Hyperlink"/>
              </w:rPr>
              <w:t>Общи изисквания за защита и безопасност</w:t>
            </w:r>
            <w:r>
              <w:rPr>
                <w:webHidden/>
              </w:rPr>
              <w:tab/>
            </w:r>
            <w:r>
              <w:rPr>
                <w:webHidden/>
              </w:rPr>
              <w:fldChar w:fldCharType="begin"/>
            </w:r>
            <w:r>
              <w:rPr>
                <w:webHidden/>
              </w:rPr>
              <w:instrText xml:space="preserve"> PAGEREF _Toc155347776 \h </w:instrText>
            </w:r>
            <w:r>
              <w:rPr>
                <w:webHidden/>
              </w:rPr>
            </w:r>
            <w:r>
              <w:rPr>
                <w:webHidden/>
              </w:rPr>
              <w:fldChar w:fldCharType="separate"/>
            </w:r>
            <w:r>
              <w:rPr>
                <w:webHidden/>
              </w:rPr>
              <w:t>2-2</w:t>
            </w:r>
            <w:r>
              <w:rPr>
                <w:webHidden/>
              </w:rPr>
              <w:fldChar w:fldCharType="end"/>
            </w:r>
          </w:hyperlink>
        </w:p>
        <w:p w14:paraId="760EF8E9" w14:textId="77777777" w:rsidR="00C469CC" w:rsidRDefault="00C469CC">
          <w:pPr>
            <w:pStyle w:val="TOC3"/>
            <w:rPr>
              <w:rFonts w:eastAsiaTheme="minorEastAsia" w:cstheme="minorBidi"/>
              <w:caps w:val="0"/>
              <w:kern w:val="0"/>
              <w:lang w:eastAsia="bg-BG"/>
            </w:rPr>
          </w:pPr>
          <w:hyperlink w:anchor="_Toc155347777" w:history="1">
            <w:r w:rsidRPr="00785F37">
              <w:rPr>
                <w:rStyle w:val="Hyperlink"/>
              </w:rPr>
              <w:t>2.2.1</w:t>
            </w:r>
            <w:r>
              <w:rPr>
                <w:rFonts w:eastAsiaTheme="minorEastAsia" w:cstheme="minorBidi"/>
                <w:caps w:val="0"/>
                <w:kern w:val="0"/>
                <w:lang w:eastAsia="bg-BG"/>
              </w:rPr>
              <w:tab/>
            </w:r>
            <w:r w:rsidRPr="00785F37">
              <w:rPr>
                <w:rStyle w:val="Hyperlink"/>
              </w:rPr>
              <w:t>Изискване 1: Прилагане на принципите на радиационната защита</w:t>
            </w:r>
            <w:r>
              <w:rPr>
                <w:webHidden/>
              </w:rPr>
              <w:tab/>
            </w:r>
            <w:r>
              <w:rPr>
                <w:webHidden/>
              </w:rPr>
              <w:fldChar w:fldCharType="begin"/>
            </w:r>
            <w:r>
              <w:rPr>
                <w:webHidden/>
              </w:rPr>
              <w:instrText xml:space="preserve"> PAGEREF _Toc155347777 \h </w:instrText>
            </w:r>
            <w:r>
              <w:rPr>
                <w:webHidden/>
              </w:rPr>
            </w:r>
            <w:r>
              <w:rPr>
                <w:webHidden/>
              </w:rPr>
              <w:fldChar w:fldCharType="separate"/>
            </w:r>
            <w:r>
              <w:rPr>
                <w:webHidden/>
              </w:rPr>
              <w:t>2-2</w:t>
            </w:r>
            <w:r>
              <w:rPr>
                <w:webHidden/>
              </w:rPr>
              <w:fldChar w:fldCharType="end"/>
            </w:r>
          </w:hyperlink>
        </w:p>
        <w:p w14:paraId="376FF596" w14:textId="77777777" w:rsidR="00C469CC" w:rsidRDefault="00C469CC">
          <w:pPr>
            <w:pStyle w:val="TOC3"/>
            <w:rPr>
              <w:rFonts w:eastAsiaTheme="minorEastAsia" w:cstheme="minorBidi"/>
              <w:caps w:val="0"/>
              <w:kern w:val="0"/>
              <w:lang w:eastAsia="bg-BG"/>
            </w:rPr>
          </w:pPr>
          <w:hyperlink w:anchor="_Toc155347778" w:history="1">
            <w:r w:rsidRPr="00785F37">
              <w:rPr>
                <w:rStyle w:val="Hyperlink"/>
              </w:rPr>
              <w:t>2.2.2</w:t>
            </w:r>
            <w:r>
              <w:rPr>
                <w:rFonts w:eastAsiaTheme="minorEastAsia" w:cstheme="minorBidi"/>
                <w:caps w:val="0"/>
                <w:kern w:val="0"/>
                <w:lang w:eastAsia="bg-BG"/>
              </w:rPr>
              <w:tab/>
            </w:r>
            <w:r w:rsidRPr="00785F37">
              <w:rPr>
                <w:rStyle w:val="Hyperlink"/>
              </w:rPr>
              <w:t>Изискване 2: Създаване на правна и регулаторна рамка</w:t>
            </w:r>
            <w:r>
              <w:rPr>
                <w:webHidden/>
              </w:rPr>
              <w:tab/>
            </w:r>
            <w:r>
              <w:rPr>
                <w:webHidden/>
              </w:rPr>
              <w:fldChar w:fldCharType="begin"/>
            </w:r>
            <w:r>
              <w:rPr>
                <w:webHidden/>
              </w:rPr>
              <w:instrText xml:space="preserve"> PAGEREF _Toc155347778 \h </w:instrText>
            </w:r>
            <w:r>
              <w:rPr>
                <w:webHidden/>
              </w:rPr>
            </w:r>
            <w:r>
              <w:rPr>
                <w:webHidden/>
              </w:rPr>
              <w:fldChar w:fldCharType="separate"/>
            </w:r>
            <w:r>
              <w:rPr>
                <w:webHidden/>
              </w:rPr>
              <w:t>2-6</w:t>
            </w:r>
            <w:r>
              <w:rPr>
                <w:webHidden/>
              </w:rPr>
              <w:fldChar w:fldCharType="end"/>
            </w:r>
          </w:hyperlink>
        </w:p>
        <w:p w14:paraId="5D2D478B" w14:textId="77777777" w:rsidR="00C469CC" w:rsidRDefault="00C469CC">
          <w:pPr>
            <w:pStyle w:val="TOC3"/>
            <w:rPr>
              <w:rFonts w:eastAsiaTheme="minorEastAsia" w:cstheme="minorBidi"/>
              <w:caps w:val="0"/>
              <w:kern w:val="0"/>
              <w:lang w:eastAsia="bg-BG"/>
            </w:rPr>
          </w:pPr>
          <w:hyperlink w:anchor="_Toc155347779" w:history="1">
            <w:r w:rsidRPr="00785F37">
              <w:rPr>
                <w:rStyle w:val="Hyperlink"/>
              </w:rPr>
              <w:t>2.2.3</w:t>
            </w:r>
            <w:r>
              <w:rPr>
                <w:rFonts w:eastAsiaTheme="minorEastAsia" w:cstheme="minorBidi"/>
                <w:caps w:val="0"/>
                <w:kern w:val="0"/>
                <w:lang w:eastAsia="bg-BG"/>
              </w:rPr>
              <w:tab/>
            </w:r>
            <w:r w:rsidRPr="00785F37">
              <w:rPr>
                <w:rStyle w:val="Hyperlink"/>
              </w:rPr>
              <w:t>Изискване 3: Отговорности на регулаторния орган</w:t>
            </w:r>
            <w:r>
              <w:rPr>
                <w:webHidden/>
              </w:rPr>
              <w:tab/>
            </w:r>
            <w:r>
              <w:rPr>
                <w:webHidden/>
              </w:rPr>
              <w:fldChar w:fldCharType="begin"/>
            </w:r>
            <w:r>
              <w:rPr>
                <w:webHidden/>
              </w:rPr>
              <w:instrText xml:space="preserve"> PAGEREF _Toc155347779 \h </w:instrText>
            </w:r>
            <w:r>
              <w:rPr>
                <w:webHidden/>
              </w:rPr>
            </w:r>
            <w:r>
              <w:rPr>
                <w:webHidden/>
              </w:rPr>
              <w:fldChar w:fldCharType="separate"/>
            </w:r>
            <w:r>
              <w:rPr>
                <w:webHidden/>
              </w:rPr>
              <w:t>2-12</w:t>
            </w:r>
            <w:r>
              <w:rPr>
                <w:webHidden/>
              </w:rPr>
              <w:fldChar w:fldCharType="end"/>
            </w:r>
          </w:hyperlink>
        </w:p>
        <w:p w14:paraId="2D1E8759" w14:textId="77777777" w:rsidR="00C469CC" w:rsidRDefault="00C469CC">
          <w:pPr>
            <w:pStyle w:val="TOC3"/>
            <w:rPr>
              <w:rFonts w:eastAsiaTheme="minorEastAsia" w:cstheme="minorBidi"/>
              <w:caps w:val="0"/>
              <w:kern w:val="0"/>
              <w:lang w:eastAsia="bg-BG"/>
            </w:rPr>
          </w:pPr>
          <w:hyperlink w:anchor="_Toc155347780" w:history="1">
            <w:r w:rsidRPr="00785F37">
              <w:rPr>
                <w:rStyle w:val="Hyperlink"/>
              </w:rPr>
              <w:t>2.2.4</w:t>
            </w:r>
            <w:r>
              <w:rPr>
                <w:rFonts w:eastAsiaTheme="minorEastAsia" w:cstheme="minorBidi"/>
                <w:caps w:val="0"/>
                <w:kern w:val="0"/>
                <w:lang w:eastAsia="bg-BG"/>
              </w:rPr>
              <w:tab/>
            </w:r>
            <w:r w:rsidRPr="00785F37">
              <w:rPr>
                <w:rStyle w:val="Hyperlink"/>
              </w:rPr>
              <w:t>Изискване 4: Отговорности за защита и безопасност</w:t>
            </w:r>
            <w:r>
              <w:rPr>
                <w:webHidden/>
              </w:rPr>
              <w:tab/>
            </w:r>
            <w:r>
              <w:rPr>
                <w:webHidden/>
              </w:rPr>
              <w:fldChar w:fldCharType="begin"/>
            </w:r>
            <w:r>
              <w:rPr>
                <w:webHidden/>
              </w:rPr>
              <w:instrText xml:space="preserve"> PAGEREF _Toc155347780 \h </w:instrText>
            </w:r>
            <w:r>
              <w:rPr>
                <w:webHidden/>
              </w:rPr>
            </w:r>
            <w:r>
              <w:rPr>
                <w:webHidden/>
              </w:rPr>
              <w:fldChar w:fldCharType="separate"/>
            </w:r>
            <w:r>
              <w:rPr>
                <w:webHidden/>
              </w:rPr>
              <w:t>2-15</w:t>
            </w:r>
            <w:r>
              <w:rPr>
                <w:webHidden/>
              </w:rPr>
              <w:fldChar w:fldCharType="end"/>
            </w:r>
          </w:hyperlink>
        </w:p>
        <w:p w14:paraId="073B31BC" w14:textId="77777777" w:rsidR="00C469CC" w:rsidRDefault="00C469CC">
          <w:pPr>
            <w:pStyle w:val="TOC3"/>
            <w:rPr>
              <w:rFonts w:eastAsiaTheme="minorEastAsia" w:cstheme="minorBidi"/>
              <w:caps w:val="0"/>
              <w:kern w:val="0"/>
              <w:lang w:eastAsia="bg-BG"/>
            </w:rPr>
          </w:pPr>
          <w:hyperlink w:anchor="_Toc155347781" w:history="1">
            <w:r w:rsidRPr="00785F37">
              <w:rPr>
                <w:rStyle w:val="Hyperlink"/>
              </w:rPr>
              <w:t>2.2.5</w:t>
            </w:r>
            <w:r>
              <w:rPr>
                <w:rFonts w:eastAsiaTheme="minorEastAsia" w:cstheme="minorBidi"/>
                <w:caps w:val="0"/>
                <w:kern w:val="0"/>
                <w:lang w:eastAsia="bg-BG"/>
              </w:rPr>
              <w:tab/>
            </w:r>
            <w:r w:rsidRPr="00785F37">
              <w:rPr>
                <w:rStyle w:val="Hyperlink"/>
              </w:rPr>
              <w:t>Изискване 5: Управление за защита и безопасност</w:t>
            </w:r>
            <w:r>
              <w:rPr>
                <w:webHidden/>
              </w:rPr>
              <w:tab/>
            </w:r>
            <w:r>
              <w:rPr>
                <w:webHidden/>
              </w:rPr>
              <w:fldChar w:fldCharType="begin"/>
            </w:r>
            <w:r>
              <w:rPr>
                <w:webHidden/>
              </w:rPr>
              <w:instrText xml:space="preserve"> PAGEREF _Toc155347781 \h </w:instrText>
            </w:r>
            <w:r>
              <w:rPr>
                <w:webHidden/>
              </w:rPr>
            </w:r>
            <w:r>
              <w:rPr>
                <w:webHidden/>
              </w:rPr>
              <w:fldChar w:fldCharType="separate"/>
            </w:r>
            <w:r>
              <w:rPr>
                <w:webHidden/>
              </w:rPr>
              <w:t>2-19</w:t>
            </w:r>
            <w:r>
              <w:rPr>
                <w:webHidden/>
              </w:rPr>
              <w:fldChar w:fldCharType="end"/>
            </w:r>
          </w:hyperlink>
        </w:p>
        <w:p w14:paraId="04EFA8F5" w14:textId="77777777" w:rsidR="00C469CC" w:rsidRDefault="00C469CC">
          <w:pPr>
            <w:pStyle w:val="TOC2"/>
            <w:rPr>
              <w:rFonts w:eastAsiaTheme="minorEastAsia" w:cstheme="minorBidi"/>
              <w:caps w:val="0"/>
              <w:kern w:val="0"/>
              <w:lang w:eastAsia="bg-BG"/>
            </w:rPr>
          </w:pPr>
          <w:hyperlink w:anchor="_Toc155347782" w:history="1">
            <w:r w:rsidRPr="00785F37">
              <w:rPr>
                <w:rStyle w:val="Hyperlink"/>
              </w:rPr>
              <w:t>2.3</w:t>
            </w:r>
            <w:r>
              <w:rPr>
                <w:rFonts w:eastAsiaTheme="minorEastAsia" w:cstheme="minorBidi"/>
                <w:caps w:val="0"/>
                <w:kern w:val="0"/>
                <w:lang w:eastAsia="bg-BG"/>
              </w:rPr>
              <w:tab/>
            </w:r>
            <w:r w:rsidRPr="00785F37">
              <w:rPr>
                <w:rStyle w:val="Hyperlink"/>
              </w:rPr>
              <w:t>Ситуации на планирано облъчване</w:t>
            </w:r>
            <w:r>
              <w:rPr>
                <w:webHidden/>
              </w:rPr>
              <w:tab/>
            </w:r>
            <w:r>
              <w:rPr>
                <w:webHidden/>
              </w:rPr>
              <w:fldChar w:fldCharType="begin"/>
            </w:r>
            <w:r>
              <w:rPr>
                <w:webHidden/>
              </w:rPr>
              <w:instrText xml:space="preserve"> PAGEREF _Toc155347782 \h </w:instrText>
            </w:r>
            <w:r>
              <w:rPr>
                <w:webHidden/>
              </w:rPr>
            </w:r>
            <w:r>
              <w:rPr>
                <w:webHidden/>
              </w:rPr>
              <w:fldChar w:fldCharType="separate"/>
            </w:r>
            <w:r>
              <w:rPr>
                <w:webHidden/>
              </w:rPr>
              <w:t>2-22</w:t>
            </w:r>
            <w:r>
              <w:rPr>
                <w:webHidden/>
              </w:rPr>
              <w:fldChar w:fldCharType="end"/>
            </w:r>
          </w:hyperlink>
        </w:p>
        <w:p w14:paraId="79316032" w14:textId="77777777" w:rsidR="00C469CC" w:rsidRDefault="00C469CC">
          <w:pPr>
            <w:pStyle w:val="TOC3"/>
            <w:rPr>
              <w:rFonts w:eastAsiaTheme="minorEastAsia" w:cstheme="minorBidi"/>
              <w:caps w:val="0"/>
              <w:kern w:val="0"/>
              <w:lang w:eastAsia="bg-BG"/>
            </w:rPr>
          </w:pPr>
          <w:hyperlink w:anchor="_Toc155347783" w:history="1">
            <w:r w:rsidRPr="00785F37">
              <w:rPr>
                <w:rStyle w:val="Hyperlink"/>
              </w:rPr>
              <w:t>2.3.1</w:t>
            </w:r>
            <w:r>
              <w:rPr>
                <w:rFonts w:eastAsiaTheme="minorEastAsia" w:cstheme="minorBidi"/>
                <w:caps w:val="0"/>
                <w:kern w:val="0"/>
                <w:lang w:eastAsia="bg-BG"/>
              </w:rPr>
              <w:tab/>
            </w:r>
            <w:r w:rsidRPr="00785F37">
              <w:rPr>
                <w:rStyle w:val="Hyperlink"/>
              </w:rPr>
              <w:t>Изискване 6: Диференциран подход</w:t>
            </w:r>
            <w:r>
              <w:rPr>
                <w:webHidden/>
              </w:rPr>
              <w:tab/>
            </w:r>
            <w:r>
              <w:rPr>
                <w:webHidden/>
              </w:rPr>
              <w:fldChar w:fldCharType="begin"/>
            </w:r>
            <w:r>
              <w:rPr>
                <w:webHidden/>
              </w:rPr>
              <w:instrText xml:space="preserve"> PAGEREF _Toc155347783 \h </w:instrText>
            </w:r>
            <w:r>
              <w:rPr>
                <w:webHidden/>
              </w:rPr>
            </w:r>
            <w:r>
              <w:rPr>
                <w:webHidden/>
              </w:rPr>
              <w:fldChar w:fldCharType="separate"/>
            </w:r>
            <w:r>
              <w:rPr>
                <w:webHidden/>
              </w:rPr>
              <w:t>2-26</w:t>
            </w:r>
            <w:r>
              <w:rPr>
                <w:webHidden/>
              </w:rPr>
              <w:fldChar w:fldCharType="end"/>
            </w:r>
          </w:hyperlink>
        </w:p>
        <w:p w14:paraId="764449E8" w14:textId="77777777" w:rsidR="00C469CC" w:rsidRDefault="00C469CC">
          <w:pPr>
            <w:pStyle w:val="TOC3"/>
            <w:rPr>
              <w:rFonts w:eastAsiaTheme="minorEastAsia" w:cstheme="minorBidi"/>
              <w:caps w:val="0"/>
              <w:kern w:val="0"/>
              <w:lang w:eastAsia="bg-BG"/>
            </w:rPr>
          </w:pPr>
          <w:hyperlink w:anchor="_Toc155347784" w:history="1">
            <w:r w:rsidRPr="00785F37">
              <w:rPr>
                <w:rStyle w:val="Hyperlink"/>
              </w:rPr>
              <w:t>2.3.2</w:t>
            </w:r>
            <w:r>
              <w:rPr>
                <w:rFonts w:eastAsiaTheme="minorEastAsia" w:cstheme="minorBidi"/>
                <w:caps w:val="0"/>
                <w:kern w:val="0"/>
                <w:lang w:eastAsia="bg-BG"/>
              </w:rPr>
              <w:tab/>
            </w:r>
            <w:r w:rsidRPr="00785F37">
              <w:rPr>
                <w:rStyle w:val="Hyperlink"/>
              </w:rPr>
              <w:t>Изискване 7: Уведомление и официално разрешение</w:t>
            </w:r>
            <w:r>
              <w:rPr>
                <w:webHidden/>
              </w:rPr>
              <w:tab/>
            </w:r>
            <w:r>
              <w:rPr>
                <w:webHidden/>
              </w:rPr>
              <w:fldChar w:fldCharType="begin"/>
            </w:r>
            <w:r>
              <w:rPr>
                <w:webHidden/>
              </w:rPr>
              <w:instrText xml:space="preserve"> PAGEREF _Toc155347784 \h </w:instrText>
            </w:r>
            <w:r>
              <w:rPr>
                <w:webHidden/>
              </w:rPr>
            </w:r>
            <w:r>
              <w:rPr>
                <w:webHidden/>
              </w:rPr>
              <w:fldChar w:fldCharType="separate"/>
            </w:r>
            <w:r>
              <w:rPr>
                <w:webHidden/>
              </w:rPr>
              <w:t>2-29</w:t>
            </w:r>
            <w:r>
              <w:rPr>
                <w:webHidden/>
              </w:rPr>
              <w:fldChar w:fldCharType="end"/>
            </w:r>
          </w:hyperlink>
        </w:p>
        <w:p w14:paraId="34D45147" w14:textId="77777777" w:rsidR="00C469CC" w:rsidRDefault="00C469CC">
          <w:pPr>
            <w:pStyle w:val="TOC3"/>
            <w:rPr>
              <w:rFonts w:eastAsiaTheme="minorEastAsia" w:cstheme="minorBidi"/>
              <w:caps w:val="0"/>
              <w:kern w:val="0"/>
              <w:lang w:eastAsia="bg-BG"/>
            </w:rPr>
          </w:pPr>
          <w:hyperlink w:anchor="_Toc155347785" w:history="1">
            <w:r w:rsidRPr="00785F37">
              <w:rPr>
                <w:rStyle w:val="Hyperlink"/>
              </w:rPr>
              <w:t>2.3.3</w:t>
            </w:r>
            <w:r>
              <w:rPr>
                <w:rFonts w:eastAsiaTheme="minorEastAsia" w:cstheme="minorBidi"/>
                <w:caps w:val="0"/>
                <w:kern w:val="0"/>
                <w:lang w:eastAsia="bg-BG"/>
              </w:rPr>
              <w:tab/>
            </w:r>
            <w:r w:rsidRPr="00785F37">
              <w:rPr>
                <w:rStyle w:val="Hyperlink"/>
              </w:rPr>
              <w:t>Изискване 8: Освобождаване от регулиране и освобождаване от контрол</w:t>
            </w:r>
            <w:r>
              <w:rPr>
                <w:webHidden/>
              </w:rPr>
              <w:tab/>
            </w:r>
            <w:r>
              <w:rPr>
                <w:webHidden/>
              </w:rPr>
              <w:fldChar w:fldCharType="begin"/>
            </w:r>
            <w:r>
              <w:rPr>
                <w:webHidden/>
              </w:rPr>
              <w:instrText xml:space="preserve"> PAGEREF _Toc155347785 \h </w:instrText>
            </w:r>
            <w:r>
              <w:rPr>
                <w:webHidden/>
              </w:rPr>
            </w:r>
            <w:r>
              <w:rPr>
                <w:webHidden/>
              </w:rPr>
              <w:fldChar w:fldCharType="separate"/>
            </w:r>
            <w:r>
              <w:rPr>
                <w:webHidden/>
              </w:rPr>
              <w:t>2-31</w:t>
            </w:r>
            <w:r>
              <w:rPr>
                <w:webHidden/>
              </w:rPr>
              <w:fldChar w:fldCharType="end"/>
            </w:r>
          </w:hyperlink>
        </w:p>
        <w:p w14:paraId="503EDE58" w14:textId="77777777" w:rsidR="00C469CC" w:rsidRDefault="00C469CC">
          <w:pPr>
            <w:pStyle w:val="TOC3"/>
            <w:rPr>
              <w:rFonts w:eastAsiaTheme="minorEastAsia" w:cstheme="minorBidi"/>
              <w:caps w:val="0"/>
              <w:kern w:val="0"/>
              <w:lang w:eastAsia="bg-BG"/>
            </w:rPr>
          </w:pPr>
          <w:hyperlink w:anchor="_Toc155347786" w:history="1">
            <w:r w:rsidRPr="00785F37">
              <w:rPr>
                <w:rStyle w:val="Hyperlink"/>
              </w:rPr>
              <w:t>2.3.4</w:t>
            </w:r>
            <w:r>
              <w:rPr>
                <w:rFonts w:eastAsiaTheme="minorEastAsia" w:cstheme="minorBidi"/>
                <w:caps w:val="0"/>
                <w:kern w:val="0"/>
                <w:lang w:eastAsia="bg-BG"/>
              </w:rPr>
              <w:tab/>
            </w:r>
            <w:r w:rsidRPr="00785F37">
              <w:rPr>
                <w:rStyle w:val="Hyperlink"/>
              </w:rPr>
              <w:t>Изискване 9: Отговорности на регистрирани лица и лицензианти в ситуации на планирано облъчване</w:t>
            </w:r>
            <w:r>
              <w:rPr>
                <w:webHidden/>
              </w:rPr>
              <w:tab/>
            </w:r>
            <w:r>
              <w:rPr>
                <w:webHidden/>
              </w:rPr>
              <w:fldChar w:fldCharType="begin"/>
            </w:r>
            <w:r>
              <w:rPr>
                <w:webHidden/>
              </w:rPr>
              <w:instrText xml:space="preserve"> PAGEREF _Toc155347786 \h </w:instrText>
            </w:r>
            <w:r>
              <w:rPr>
                <w:webHidden/>
              </w:rPr>
            </w:r>
            <w:r>
              <w:rPr>
                <w:webHidden/>
              </w:rPr>
              <w:fldChar w:fldCharType="separate"/>
            </w:r>
            <w:r>
              <w:rPr>
                <w:webHidden/>
              </w:rPr>
              <w:t>2-33</w:t>
            </w:r>
            <w:r>
              <w:rPr>
                <w:webHidden/>
              </w:rPr>
              <w:fldChar w:fldCharType="end"/>
            </w:r>
          </w:hyperlink>
        </w:p>
        <w:p w14:paraId="16E4AFBC" w14:textId="77777777" w:rsidR="00C469CC" w:rsidRDefault="00C469CC">
          <w:pPr>
            <w:pStyle w:val="TOC3"/>
            <w:rPr>
              <w:rFonts w:eastAsiaTheme="minorEastAsia" w:cstheme="minorBidi"/>
              <w:caps w:val="0"/>
              <w:kern w:val="0"/>
              <w:lang w:eastAsia="bg-BG"/>
            </w:rPr>
          </w:pPr>
          <w:hyperlink w:anchor="_Toc155347787" w:history="1">
            <w:r w:rsidRPr="00785F37">
              <w:rPr>
                <w:rStyle w:val="Hyperlink"/>
              </w:rPr>
              <w:t>2.3.5</w:t>
            </w:r>
            <w:r>
              <w:rPr>
                <w:rFonts w:eastAsiaTheme="minorEastAsia" w:cstheme="minorBidi"/>
                <w:caps w:val="0"/>
                <w:kern w:val="0"/>
                <w:lang w:eastAsia="bg-BG"/>
              </w:rPr>
              <w:tab/>
            </w:r>
            <w:r w:rsidRPr="00785F37">
              <w:rPr>
                <w:rStyle w:val="Hyperlink"/>
              </w:rPr>
              <w:t>Изискване 10: Обосновка на практическите дейности</w:t>
            </w:r>
            <w:r>
              <w:rPr>
                <w:webHidden/>
              </w:rPr>
              <w:tab/>
            </w:r>
            <w:r>
              <w:rPr>
                <w:webHidden/>
              </w:rPr>
              <w:fldChar w:fldCharType="begin"/>
            </w:r>
            <w:r>
              <w:rPr>
                <w:webHidden/>
              </w:rPr>
              <w:instrText xml:space="preserve"> PAGEREF _Toc155347787 \h </w:instrText>
            </w:r>
            <w:r>
              <w:rPr>
                <w:webHidden/>
              </w:rPr>
            </w:r>
            <w:r>
              <w:rPr>
                <w:webHidden/>
              </w:rPr>
              <w:fldChar w:fldCharType="separate"/>
            </w:r>
            <w:r>
              <w:rPr>
                <w:webHidden/>
              </w:rPr>
              <w:t>2-35</w:t>
            </w:r>
            <w:r>
              <w:rPr>
                <w:webHidden/>
              </w:rPr>
              <w:fldChar w:fldCharType="end"/>
            </w:r>
          </w:hyperlink>
        </w:p>
        <w:p w14:paraId="5E368A00" w14:textId="77777777" w:rsidR="00C469CC" w:rsidRDefault="00C469CC">
          <w:pPr>
            <w:pStyle w:val="TOC3"/>
            <w:rPr>
              <w:rFonts w:eastAsiaTheme="minorEastAsia" w:cstheme="minorBidi"/>
              <w:caps w:val="0"/>
              <w:kern w:val="0"/>
              <w:lang w:eastAsia="bg-BG"/>
            </w:rPr>
          </w:pPr>
          <w:hyperlink w:anchor="_Toc155347788" w:history="1">
            <w:r w:rsidRPr="00785F37">
              <w:rPr>
                <w:rStyle w:val="Hyperlink"/>
              </w:rPr>
              <w:t>2.3.6</w:t>
            </w:r>
            <w:r>
              <w:rPr>
                <w:rFonts w:eastAsiaTheme="minorEastAsia" w:cstheme="minorBidi"/>
                <w:caps w:val="0"/>
                <w:kern w:val="0"/>
                <w:lang w:eastAsia="bg-BG"/>
              </w:rPr>
              <w:tab/>
            </w:r>
            <w:r w:rsidRPr="00785F37">
              <w:rPr>
                <w:rStyle w:val="Hyperlink"/>
              </w:rPr>
              <w:t>Изискване 11: Оптимизация на защитата и безопасността</w:t>
            </w:r>
            <w:r>
              <w:rPr>
                <w:webHidden/>
              </w:rPr>
              <w:tab/>
            </w:r>
            <w:r>
              <w:rPr>
                <w:webHidden/>
              </w:rPr>
              <w:fldChar w:fldCharType="begin"/>
            </w:r>
            <w:r>
              <w:rPr>
                <w:webHidden/>
              </w:rPr>
              <w:instrText xml:space="preserve"> PAGEREF _Toc155347788 \h </w:instrText>
            </w:r>
            <w:r>
              <w:rPr>
                <w:webHidden/>
              </w:rPr>
            </w:r>
            <w:r>
              <w:rPr>
                <w:webHidden/>
              </w:rPr>
              <w:fldChar w:fldCharType="separate"/>
            </w:r>
            <w:r>
              <w:rPr>
                <w:webHidden/>
              </w:rPr>
              <w:t>2-38</w:t>
            </w:r>
            <w:r>
              <w:rPr>
                <w:webHidden/>
              </w:rPr>
              <w:fldChar w:fldCharType="end"/>
            </w:r>
          </w:hyperlink>
        </w:p>
        <w:p w14:paraId="6D58FF82" w14:textId="77777777" w:rsidR="00C469CC" w:rsidRDefault="00C469CC">
          <w:pPr>
            <w:pStyle w:val="TOC3"/>
            <w:rPr>
              <w:rFonts w:eastAsiaTheme="minorEastAsia" w:cstheme="minorBidi"/>
              <w:caps w:val="0"/>
              <w:kern w:val="0"/>
              <w:lang w:eastAsia="bg-BG"/>
            </w:rPr>
          </w:pPr>
          <w:hyperlink w:anchor="_Toc155347789" w:history="1">
            <w:r w:rsidRPr="00785F37">
              <w:rPr>
                <w:rStyle w:val="Hyperlink"/>
              </w:rPr>
              <w:t>2.3.7</w:t>
            </w:r>
            <w:r>
              <w:rPr>
                <w:rFonts w:eastAsiaTheme="minorEastAsia" w:cstheme="minorBidi"/>
                <w:caps w:val="0"/>
                <w:kern w:val="0"/>
                <w:lang w:eastAsia="bg-BG"/>
              </w:rPr>
              <w:tab/>
            </w:r>
            <w:r w:rsidRPr="00785F37">
              <w:rPr>
                <w:rStyle w:val="Hyperlink"/>
              </w:rPr>
              <w:t>Изискване 12: Дозови ограничения</w:t>
            </w:r>
            <w:r>
              <w:rPr>
                <w:webHidden/>
              </w:rPr>
              <w:tab/>
            </w:r>
            <w:r>
              <w:rPr>
                <w:webHidden/>
              </w:rPr>
              <w:fldChar w:fldCharType="begin"/>
            </w:r>
            <w:r>
              <w:rPr>
                <w:webHidden/>
              </w:rPr>
              <w:instrText xml:space="preserve"> PAGEREF _Toc155347789 \h </w:instrText>
            </w:r>
            <w:r>
              <w:rPr>
                <w:webHidden/>
              </w:rPr>
            </w:r>
            <w:r>
              <w:rPr>
                <w:webHidden/>
              </w:rPr>
              <w:fldChar w:fldCharType="separate"/>
            </w:r>
            <w:r>
              <w:rPr>
                <w:webHidden/>
              </w:rPr>
              <w:t>2-40</w:t>
            </w:r>
            <w:r>
              <w:rPr>
                <w:webHidden/>
              </w:rPr>
              <w:fldChar w:fldCharType="end"/>
            </w:r>
          </w:hyperlink>
        </w:p>
        <w:p w14:paraId="0A4F1272" w14:textId="77777777" w:rsidR="00C469CC" w:rsidRDefault="00C469CC">
          <w:pPr>
            <w:pStyle w:val="TOC3"/>
            <w:rPr>
              <w:rFonts w:eastAsiaTheme="minorEastAsia" w:cstheme="minorBidi"/>
              <w:caps w:val="0"/>
              <w:kern w:val="0"/>
              <w:lang w:eastAsia="bg-BG"/>
            </w:rPr>
          </w:pPr>
          <w:hyperlink w:anchor="_Toc155347790" w:history="1">
            <w:r w:rsidRPr="00785F37">
              <w:rPr>
                <w:rStyle w:val="Hyperlink"/>
              </w:rPr>
              <w:t>2.3.8</w:t>
            </w:r>
            <w:r>
              <w:rPr>
                <w:rFonts w:eastAsiaTheme="minorEastAsia" w:cstheme="minorBidi"/>
                <w:caps w:val="0"/>
                <w:kern w:val="0"/>
                <w:lang w:eastAsia="bg-BG"/>
              </w:rPr>
              <w:tab/>
            </w:r>
            <w:r w:rsidRPr="00785F37">
              <w:rPr>
                <w:rStyle w:val="Hyperlink"/>
              </w:rPr>
              <w:t>Изискване 13: Оценка на безопасността</w:t>
            </w:r>
            <w:r>
              <w:rPr>
                <w:webHidden/>
              </w:rPr>
              <w:tab/>
            </w:r>
            <w:r>
              <w:rPr>
                <w:webHidden/>
              </w:rPr>
              <w:fldChar w:fldCharType="begin"/>
            </w:r>
            <w:r>
              <w:rPr>
                <w:webHidden/>
              </w:rPr>
              <w:instrText xml:space="preserve"> PAGEREF _Toc155347790 \h </w:instrText>
            </w:r>
            <w:r>
              <w:rPr>
                <w:webHidden/>
              </w:rPr>
            </w:r>
            <w:r>
              <w:rPr>
                <w:webHidden/>
              </w:rPr>
              <w:fldChar w:fldCharType="separate"/>
            </w:r>
            <w:r>
              <w:rPr>
                <w:webHidden/>
              </w:rPr>
              <w:t>2-42</w:t>
            </w:r>
            <w:r>
              <w:rPr>
                <w:webHidden/>
              </w:rPr>
              <w:fldChar w:fldCharType="end"/>
            </w:r>
          </w:hyperlink>
        </w:p>
        <w:p w14:paraId="16834867" w14:textId="77777777" w:rsidR="00C469CC" w:rsidRDefault="00C469CC">
          <w:pPr>
            <w:pStyle w:val="TOC3"/>
            <w:rPr>
              <w:rFonts w:eastAsiaTheme="minorEastAsia" w:cstheme="minorBidi"/>
              <w:caps w:val="0"/>
              <w:kern w:val="0"/>
              <w:lang w:eastAsia="bg-BG"/>
            </w:rPr>
          </w:pPr>
          <w:hyperlink w:anchor="_Toc155347791" w:history="1">
            <w:r w:rsidRPr="00785F37">
              <w:rPr>
                <w:rStyle w:val="Hyperlink"/>
              </w:rPr>
              <w:t>2.3.9</w:t>
            </w:r>
            <w:r>
              <w:rPr>
                <w:rFonts w:eastAsiaTheme="minorEastAsia" w:cstheme="minorBidi"/>
                <w:caps w:val="0"/>
                <w:kern w:val="0"/>
                <w:lang w:eastAsia="bg-BG"/>
              </w:rPr>
              <w:tab/>
            </w:r>
            <w:r w:rsidRPr="00785F37">
              <w:rPr>
                <w:rStyle w:val="Hyperlink"/>
              </w:rPr>
              <w:t>Изискване 14: Мониторинг с цел проверка на съответствията</w:t>
            </w:r>
            <w:r>
              <w:rPr>
                <w:webHidden/>
              </w:rPr>
              <w:tab/>
            </w:r>
            <w:r>
              <w:rPr>
                <w:webHidden/>
              </w:rPr>
              <w:fldChar w:fldCharType="begin"/>
            </w:r>
            <w:r>
              <w:rPr>
                <w:webHidden/>
              </w:rPr>
              <w:instrText xml:space="preserve"> PAGEREF _Toc155347791 \h </w:instrText>
            </w:r>
            <w:r>
              <w:rPr>
                <w:webHidden/>
              </w:rPr>
            </w:r>
            <w:r>
              <w:rPr>
                <w:webHidden/>
              </w:rPr>
              <w:fldChar w:fldCharType="separate"/>
            </w:r>
            <w:r>
              <w:rPr>
                <w:webHidden/>
              </w:rPr>
              <w:t>2-48</w:t>
            </w:r>
            <w:r>
              <w:rPr>
                <w:webHidden/>
              </w:rPr>
              <w:fldChar w:fldCharType="end"/>
            </w:r>
          </w:hyperlink>
        </w:p>
        <w:p w14:paraId="457D589B" w14:textId="77777777" w:rsidR="00C469CC" w:rsidRDefault="00C469CC">
          <w:pPr>
            <w:pStyle w:val="TOC3"/>
            <w:rPr>
              <w:rFonts w:eastAsiaTheme="minorEastAsia" w:cstheme="minorBidi"/>
              <w:caps w:val="0"/>
              <w:kern w:val="0"/>
              <w:lang w:eastAsia="bg-BG"/>
            </w:rPr>
          </w:pPr>
          <w:hyperlink w:anchor="_Toc155347792" w:history="1">
            <w:r w:rsidRPr="00785F37">
              <w:rPr>
                <w:rStyle w:val="Hyperlink"/>
              </w:rPr>
              <w:t>2.3.10</w:t>
            </w:r>
            <w:r>
              <w:rPr>
                <w:rFonts w:eastAsiaTheme="minorEastAsia" w:cstheme="minorBidi"/>
                <w:caps w:val="0"/>
                <w:kern w:val="0"/>
                <w:lang w:eastAsia="bg-BG"/>
              </w:rPr>
              <w:tab/>
            </w:r>
            <w:r w:rsidRPr="00785F37">
              <w:rPr>
                <w:rStyle w:val="Hyperlink"/>
              </w:rPr>
              <w:t>Изискване 15: Предотвратяване и смекчаване на последиците от аварии</w:t>
            </w:r>
            <w:r>
              <w:rPr>
                <w:webHidden/>
              </w:rPr>
              <w:tab/>
            </w:r>
            <w:r>
              <w:rPr>
                <w:webHidden/>
              </w:rPr>
              <w:fldChar w:fldCharType="begin"/>
            </w:r>
            <w:r>
              <w:rPr>
                <w:webHidden/>
              </w:rPr>
              <w:instrText xml:space="preserve"> PAGEREF _Toc155347792 \h </w:instrText>
            </w:r>
            <w:r>
              <w:rPr>
                <w:webHidden/>
              </w:rPr>
            </w:r>
            <w:r>
              <w:rPr>
                <w:webHidden/>
              </w:rPr>
              <w:fldChar w:fldCharType="separate"/>
            </w:r>
            <w:r>
              <w:rPr>
                <w:webHidden/>
              </w:rPr>
              <w:t>2-51</w:t>
            </w:r>
            <w:r>
              <w:rPr>
                <w:webHidden/>
              </w:rPr>
              <w:fldChar w:fldCharType="end"/>
            </w:r>
          </w:hyperlink>
        </w:p>
        <w:p w14:paraId="74BD0D32" w14:textId="77777777" w:rsidR="00C469CC" w:rsidRDefault="00C469CC">
          <w:pPr>
            <w:pStyle w:val="TOC3"/>
            <w:rPr>
              <w:rFonts w:eastAsiaTheme="minorEastAsia" w:cstheme="minorBidi"/>
              <w:caps w:val="0"/>
              <w:kern w:val="0"/>
              <w:lang w:eastAsia="bg-BG"/>
            </w:rPr>
          </w:pPr>
          <w:hyperlink w:anchor="_Toc155347793" w:history="1">
            <w:r w:rsidRPr="00785F37">
              <w:rPr>
                <w:rStyle w:val="Hyperlink"/>
              </w:rPr>
              <w:t>2.3.11</w:t>
            </w:r>
            <w:r>
              <w:rPr>
                <w:rFonts w:eastAsiaTheme="minorEastAsia" w:cstheme="minorBidi"/>
                <w:caps w:val="0"/>
                <w:kern w:val="0"/>
                <w:lang w:eastAsia="bg-BG"/>
              </w:rPr>
              <w:tab/>
            </w:r>
            <w:r w:rsidRPr="00785F37">
              <w:rPr>
                <w:rStyle w:val="Hyperlink"/>
              </w:rPr>
              <w:t>Изискване 16: Разследвания и обратна връзка за информация по експлоатационния опит</w:t>
            </w:r>
            <w:r>
              <w:rPr>
                <w:webHidden/>
              </w:rPr>
              <w:tab/>
            </w:r>
            <w:r>
              <w:rPr>
                <w:webHidden/>
              </w:rPr>
              <w:fldChar w:fldCharType="begin"/>
            </w:r>
            <w:r>
              <w:rPr>
                <w:webHidden/>
              </w:rPr>
              <w:instrText xml:space="preserve"> PAGEREF _Toc155347793 \h </w:instrText>
            </w:r>
            <w:r>
              <w:rPr>
                <w:webHidden/>
              </w:rPr>
            </w:r>
            <w:r>
              <w:rPr>
                <w:webHidden/>
              </w:rPr>
              <w:fldChar w:fldCharType="separate"/>
            </w:r>
            <w:r>
              <w:rPr>
                <w:webHidden/>
              </w:rPr>
              <w:t>2-59</w:t>
            </w:r>
            <w:r>
              <w:rPr>
                <w:webHidden/>
              </w:rPr>
              <w:fldChar w:fldCharType="end"/>
            </w:r>
          </w:hyperlink>
        </w:p>
        <w:p w14:paraId="13B01DAB" w14:textId="77777777" w:rsidR="00C469CC" w:rsidRDefault="00C469CC">
          <w:pPr>
            <w:pStyle w:val="TOC3"/>
            <w:rPr>
              <w:rFonts w:eastAsiaTheme="minorEastAsia" w:cstheme="minorBidi"/>
              <w:caps w:val="0"/>
              <w:kern w:val="0"/>
              <w:lang w:eastAsia="bg-BG"/>
            </w:rPr>
          </w:pPr>
          <w:hyperlink w:anchor="_Toc155347794" w:history="1">
            <w:r w:rsidRPr="00785F37">
              <w:rPr>
                <w:rStyle w:val="Hyperlink"/>
              </w:rPr>
              <w:t>2.3.12</w:t>
            </w:r>
            <w:r>
              <w:rPr>
                <w:rFonts w:eastAsiaTheme="minorEastAsia" w:cstheme="minorBidi"/>
                <w:caps w:val="0"/>
                <w:kern w:val="0"/>
                <w:lang w:eastAsia="bg-BG"/>
              </w:rPr>
              <w:tab/>
            </w:r>
            <w:r w:rsidRPr="00785F37">
              <w:rPr>
                <w:rStyle w:val="Hyperlink"/>
              </w:rPr>
              <w:t>Изискване 17: Генератори на йонизиращи лъчения и радиоактивни източници</w:t>
            </w:r>
            <w:r>
              <w:rPr>
                <w:webHidden/>
              </w:rPr>
              <w:tab/>
            </w:r>
            <w:r>
              <w:rPr>
                <w:webHidden/>
              </w:rPr>
              <w:fldChar w:fldCharType="begin"/>
            </w:r>
            <w:r>
              <w:rPr>
                <w:webHidden/>
              </w:rPr>
              <w:instrText xml:space="preserve"> PAGEREF _Toc155347794 \h </w:instrText>
            </w:r>
            <w:r>
              <w:rPr>
                <w:webHidden/>
              </w:rPr>
            </w:r>
            <w:r>
              <w:rPr>
                <w:webHidden/>
              </w:rPr>
              <w:fldChar w:fldCharType="separate"/>
            </w:r>
            <w:r>
              <w:rPr>
                <w:webHidden/>
              </w:rPr>
              <w:t>2-61</w:t>
            </w:r>
            <w:r>
              <w:rPr>
                <w:webHidden/>
              </w:rPr>
              <w:fldChar w:fldCharType="end"/>
            </w:r>
          </w:hyperlink>
        </w:p>
        <w:p w14:paraId="666EEF2D" w14:textId="77777777" w:rsidR="00C469CC" w:rsidRDefault="00C469CC">
          <w:pPr>
            <w:pStyle w:val="TOC3"/>
            <w:rPr>
              <w:rFonts w:eastAsiaTheme="minorEastAsia" w:cstheme="minorBidi"/>
              <w:caps w:val="0"/>
              <w:kern w:val="0"/>
              <w:lang w:eastAsia="bg-BG"/>
            </w:rPr>
          </w:pPr>
          <w:hyperlink w:anchor="_Toc155347795" w:history="1">
            <w:r w:rsidRPr="00785F37">
              <w:rPr>
                <w:rStyle w:val="Hyperlink"/>
              </w:rPr>
              <w:t>2.3.13</w:t>
            </w:r>
            <w:r>
              <w:rPr>
                <w:rFonts w:eastAsiaTheme="minorEastAsia" w:cstheme="minorBidi"/>
                <w:caps w:val="0"/>
                <w:kern w:val="0"/>
                <w:lang w:eastAsia="bg-BG"/>
              </w:rPr>
              <w:tab/>
            </w:r>
            <w:r w:rsidRPr="00785F37">
              <w:rPr>
                <w:rStyle w:val="Hyperlink"/>
              </w:rPr>
              <w:t>Изискване 18: Образни изследвания с използване на йонизиращи лъчения за цели, различни от медицинска диагностика, медицинско лечение или биомедицински изследвания</w:t>
            </w:r>
            <w:r>
              <w:rPr>
                <w:webHidden/>
              </w:rPr>
              <w:tab/>
            </w:r>
            <w:r>
              <w:rPr>
                <w:webHidden/>
              </w:rPr>
              <w:fldChar w:fldCharType="begin"/>
            </w:r>
            <w:r>
              <w:rPr>
                <w:webHidden/>
              </w:rPr>
              <w:instrText xml:space="preserve"> PAGEREF _Toc155347795 \h </w:instrText>
            </w:r>
            <w:r>
              <w:rPr>
                <w:webHidden/>
              </w:rPr>
            </w:r>
            <w:r>
              <w:rPr>
                <w:webHidden/>
              </w:rPr>
              <w:fldChar w:fldCharType="separate"/>
            </w:r>
            <w:r>
              <w:rPr>
                <w:webHidden/>
              </w:rPr>
              <w:t>2-66</w:t>
            </w:r>
            <w:r>
              <w:rPr>
                <w:webHidden/>
              </w:rPr>
              <w:fldChar w:fldCharType="end"/>
            </w:r>
          </w:hyperlink>
        </w:p>
        <w:p w14:paraId="48DA8B2E" w14:textId="77777777" w:rsidR="00C469CC" w:rsidRDefault="00C469CC">
          <w:pPr>
            <w:pStyle w:val="TOC3"/>
            <w:rPr>
              <w:rFonts w:eastAsiaTheme="minorEastAsia" w:cstheme="minorBidi"/>
              <w:caps w:val="0"/>
              <w:kern w:val="0"/>
              <w:lang w:eastAsia="bg-BG"/>
            </w:rPr>
          </w:pPr>
          <w:hyperlink w:anchor="_Toc155347796" w:history="1">
            <w:r w:rsidRPr="00785F37">
              <w:rPr>
                <w:rStyle w:val="Hyperlink"/>
              </w:rPr>
              <w:t>2.3.14</w:t>
            </w:r>
            <w:r>
              <w:rPr>
                <w:rFonts w:eastAsiaTheme="minorEastAsia" w:cstheme="minorBidi"/>
                <w:caps w:val="0"/>
                <w:kern w:val="0"/>
                <w:lang w:eastAsia="bg-BG"/>
              </w:rPr>
              <w:tab/>
            </w:r>
            <w:r w:rsidRPr="00785F37">
              <w:rPr>
                <w:rStyle w:val="Hyperlink"/>
              </w:rPr>
              <w:t>Изискване 19: Отговорности на регулаторния орган по отношение на професионалното облъчване.</w:t>
            </w:r>
            <w:r>
              <w:rPr>
                <w:webHidden/>
              </w:rPr>
              <w:tab/>
            </w:r>
            <w:r>
              <w:rPr>
                <w:webHidden/>
              </w:rPr>
              <w:fldChar w:fldCharType="begin"/>
            </w:r>
            <w:r>
              <w:rPr>
                <w:webHidden/>
              </w:rPr>
              <w:instrText xml:space="preserve"> PAGEREF _Toc155347796 \h </w:instrText>
            </w:r>
            <w:r>
              <w:rPr>
                <w:webHidden/>
              </w:rPr>
            </w:r>
            <w:r>
              <w:rPr>
                <w:webHidden/>
              </w:rPr>
              <w:fldChar w:fldCharType="separate"/>
            </w:r>
            <w:r>
              <w:rPr>
                <w:webHidden/>
              </w:rPr>
              <w:t>2-71</w:t>
            </w:r>
            <w:r>
              <w:rPr>
                <w:webHidden/>
              </w:rPr>
              <w:fldChar w:fldCharType="end"/>
            </w:r>
          </w:hyperlink>
        </w:p>
        <w:p w14:paraId="031A4AE4" w14:textId="77777777" w:rsidR="00C469CC" w:rsidRDefault="00C469CC">
          <w:pPr>
            <w:pStyle w:val="TOC3"/>
            <w:rPr>
              <w:rFonts w:eastAsiaTheme="minorEastAsia" w:cstheme="minorBidi"/>
              <w:caps w:val="0"/>
              <w:kern w:val="0"/>
              <w:lang w:eastAsia="bg-BG"/>
            </w:rPr>
          </w:pPr>
          <w:hyperlink w:anchor="_Toc155347797" w:history="1">
            <w:r w:rsidRPr="00785F37">
              <w:rPr>
                <w:rStyle w:val="Hyperlink"/>
              </w:rPr>
              <w:t>2.3.15</w:t>
            </w:r>
            <w:r>
              <w:rPr>
                <w:rFonts w:eastAsiaTheme="minorEastAsia" w:cstheme="minorBidi"/>
                <w:caps w:val="0"/>
                <w:kern w:val="0"/>
                <w:lang w:eastAsia="bg-BG"/>
              </w:rPr>
              <w:tab/>
            </w:r>
            <w:r w:rsidRPr="00785F37">
              <w:rPr>
                <w:rStyle w:val="Hyperlink"/>
              </w:rPr>
              <w:t>Изискване 20: Изисквания за мониторинг и регистриране на професионални облъчвания</w:t>
            </w:r>
            <w:r>
              <w:rPr>
                <w:webHidden/>
              </w:rPr>
              <w:tab/>
            </w:r>
            <w:r>
              <w:rPr>
                <w:webHidden/>
              </w:rPr>
              <w:fldChar w:fldCharType="begin"/>
            </w:r>
            <w:r>
              <w:rPr>
                <w:webHidden/>
              </w:rPr>
              <w:instrText xml:space="preserve"> PAGEREF _Toc155347797 \h </w:instrText>
            </w:r>
            <w:r>
              <w:rPr>
                <w:webHidden/>
              </w:rPr>
            </w:r>
            <w:r>
              <w:rPr>
                <w:webHidden/>
              </w:rPr>
              <w:fldChar w:fldCharType="separate"/>
            </w:r>
            <w:r>
              <w:rPr>
                <w:webHidden/>
              </w:rPr>
              <w:t>2-72</w:t>
            </w:r>
            <w:r>
              <w:rPr>
                <w:webHidden/>
              </w:rPr>
              <w:fldChar w:fldCharType="end"/>
            </w:r>
          </w:hyperlink>
        </w:p>
        <w:p w14:paraId="22B7C4E0" w14:textId="77777777" w:rsidR="00C469CC" w:rsidRDefault="00C469CC">
          <w:pPr>
            <w:pStyle w:val="TOC3"/>
            <w:rPr>
              <w:rFonts w:eastAsiaTheme="minorEastAsia" w:cstheme="minorBidi"/>
              <w:caps w:val="0"/>
              <w:kern w:val="0"/>
              <w:lang w:eastAsia="bg-BG"/>
            </w:rPr>
          </w:pPr>
          <w:hyperlink w:anchor="_Toc155347798" w:history="1">
            <w:r w:rsidRPr="00785F37">
              <w:rPr>
                <w:rStyle w:val="Hyperlink"/>
              </w:rPr>
              <w:t>2.3.16</w:t>
            </w:r>
            <w:r>
              <w:rPr>
                <w:rFonts w:eastAsiaTheme="minorEastAsia" w:cstheme="minorBidi"/>
                <w:caps w:val="0"/>
                <w:kern w:val="0"/>
                <w:lang w:eastAsia="bg-BG"/>
              </w:rPr>
              <w:tab/>
            </w:r>
            <w:r w:rsidRPr="00785F37">
              <w:rPr>
                <w:rStyle w:val="Hyperlink"/>
              </w:rPr>
              <w:t>Изискване 21: Отговорности на работодатели, регистрирани лица и лицензианти за защитата на персонала</w:t>
            </w:r>
            <w:r>
              <w:rPr>
                <w:webHidden/>
              </w:rPr>
              <w:tab/>
            </w:r>
            <w:r>
              <w:rPr>
                <w:webHidden/>
              </w:rPr>
              <w:fldChar w:fldCharType="begin"/>
            </w:r>
            <w:r>
              <w:rPr>
                <w:webHidden/>
              </w:rPr>
              <w:instrText xml:space="preserve"> PAGEREF _Toc155347798 \h </w:instrText>
            </w:r>
            <w:r>
              <w:rPr>
                <w:webHidden/>
              </w:rPr>
            </w:r>
            <w:r>
              <w:rPr>
                <w:webHidden/>
              </w:rPr>
              <w:fldChar w:fldCharType="separate"/>
            </w:r>
            <w:r>
              <w:rPr>
                <w:webHidden/>
              </w:rPr>
              <w:t>2-73</w:t>
            </w:r>
            <w:r>
              <w:rPr>
                <w:webHidden/>
              </w:rPr>
              <w:fldChar w:fldCharType="end"/>
            </w:r>
          </w:hyperlink>
        </w:p>
        <w:p w14:paraId="7F089A1E" w14:textId="77777777" w:rsidR="00C469CC" w:rsidRDefault="00C469CC">
          <w:pPr>
            <w:pStyle w:val="TOC3"/>
            <w:rPr>
              <w:rFonts w:eastAsiaTheme="minorEastAsia" w:cstheme="minorBidi"/>
              <w:caps w:val="0"/>
              <w:kern w:val="0"/>
              <w:lang w:eastAsia="bg-BG"/>
            </w:rPr>
          </w:pPr>
          <w:hyperlink w:anchor="_Toc155347799" w:history="1">
            <w:r w:rsidRPr="00785F37">
              <w:rPr>
                <w:rStyle w:val="Hyperlink"/>
              </w:rPr>
              <w:t>2.3.17</w:t>
            </w:r>
            <w:r>
              <w:rPr>
                <w:rFonts w:eastAsiaTheme="minorEastAsia" w:cstheme="minorBidi"/>
                <w:caps w:val="0"/>
                <w:kern w:val="0"/>
                <w:lang w:eastAsia="bg-BG"/>
              </w:rPr>
              <w:tab/>
            </w:r>
            <w:r w:rsidRPr="00785F37">
              <w:rPr>
                <w:rStyle w:val="Hyperlink"/>
              </w:rPr>
              <w:t>Изискване 22: Спазване на изискванията от персонала</w:t>
            </w:r>
            <w:r>
              <w:rPr>
                <w:webHidden/>
              </w:rPr>
              <w:tab/>
            </w:r>
            <w:r>
              <w:rPr>
                <w:webHidden/>
              </w:rPr>
              <w:fldChar w:fldCharType="begin"/>
            </w:r>
            <w:r>
              <w:rPr>
                <w:webHidden/>
              </w:rPr>
              <w:instrText xml:space="preserve"> PAGEREF _Toc155347799 \h </w:instrText>
            </w:r>
            <w:r>
              <w:rPr>
                <w:webHidden/>
              </w:rPr>
            </w:r>
            <w:r>
              <w:rPr>
                <w:webHidden/>
              </w:rPr>
              <w:fldChar w:fldCharType="separate"/>
            </w:r>
            <w:r>
              <w:rPr>
                <w:webHidden/>
              </w:rPr>
              <w:t>2-78</w:t>
            </w:r>
            <w:r>
              <w:rPr>
                <w:webHidden/>
              </w:rPr>
              <w:fldChar w:fldCharType="end"/>
            </w:r>
          </w:hyperlink>
        </w:p>
        <w:p w14:paraId="080D7274" w14:textId="77777777" w:rsidR="00C469CC" w:rsidRDefault="00C469CC">
          <w:pPr>
            <w:pStyle w:val="TOC3"/>
            <w:rPr>
              <w:rFonts w:eastAsiaTheme="minorEastAsia" w:cstheme="minorBidi"/>
              <w:caps w:val="0"/>
              <w:kern w:val="0"/>
              <w:lang w:eastAsia="bg-BG"/>
            </w:rPr>
          </w:pPr>
          <w:hyperlink w:anchor="_Toc155347800" w:history="1">
            <w:r w:rsidRPr="00785F37">
              <w:rPr>
                <w:rStyle w:val="Hyperlink"/>
              </w:rPr>
              <w:t>2.3.18</w:t>
            </w:r>
            <w:r>
              <w:rPr>
                <w:rFonts w:eastAsiaTheme="minorEastAsia" w:cstheme="minorBidi"/>
                <w:caps w:val="0"/>
                <w:kern w:val="0"/>
                <w:lang w:eastAsia="bg-BG"/>
              </w:rPr>
              <w:tab/>
            </w:r>
            <w:r w:rsidRPr="00785F37">
              <w:rPr>
                <w:rStyle w:val="Hyperlink"/>
              </w:rPr>
              <w:t>Изискване 23: Сътрудничество между работодатели и регистрирани лица и лицензианти</w:t>
            </w:r>
            <w:r>
              <w:rPr>
                <w:webHidden/>
              </w:rPr>
              <w:tab/>
            </w:r>
            <w:r>
              <w:rPr>
                <w:webHidden/>
              </w:rPr>
              <w:fldChar w:fldCharType="begin"/>
            </w:r>
            <w:r>
              <w:rPr>
                <w:webHidden/>
              </w:rPr>
              <w:instrText xml:space="preserve"> PAGEREF _Toc155347800 \h </w:instrText>
            </w:r>
            <w:r>
              <w:rPr>
                <w:webHidden/>
              </w:rPr>
            </w:r>
            <w:r>
              <w:rPr>
                <w:webHidden/>
              </w:rPr>
              <w:fldChar w:fldCharType="separate"/>
            </w:r>
            <w:r>
              <w:rPr>
                <w:webHidden/>
              </w:rPr>
              <w:t>2-79</w:t>
            </w:r>
            <w:r>
              <w:rPr>
                <w:webHidden/>
              </w:rPr>
              <w:fldChar w:fldCharType="end"/>
            </w:r>
          </w:hyperlink>
        </w:p>
        <w:p w14:paraId="06EC81DE" w14:textId="77777777" w:rsidR="00C469CC" w:rsidRDefault="00C469CC">
          <w:pPr>
            <w:pStyle w:val="TOC3"/>
            <w:rPr>
              <w:rFonts w:eastAsiaTheme="minorEastAsia" w:cstheme="minorBidi"/>
              <w:caps w:val="0"/>
              <w:kern w:val="0"/>
              <w:lang w:eastAsia="bg-BG"/>
            </w:rPr>
          </w:pPr>
          <w:hyperlink w:anchor="_Toc155347801" w:history="1">
            <w:r w:rsidRPr="00785F37">
              <w:rPr>
                <w:rStyle w:val="Hyperlink"/>
              </w:rPr>
              <w:t>2.3.19</w:t>
            </w:r>
            <w:r>
              <w:rPr>
                <w:rFonts w:eastAsiaTheme="minorEastAsia" w:cstheme="minorBidi"/>
                <w:caps w:val="0"/>
                <w:kern w:val="0"/>
                <w:lang w:eastAsia="bg-BG"/>
              </w:rPr>
              <w:tab/>
            </w:r>
            <w:r w:rsidRPr="00785F37">
              <w:rPr>
                <w:rStyle w:val="Hyperlink"/>
              </w:rPr>
              <w:t>Изискване 24: Мерки в рамките на програмата за радиационна защита</w:t>
            </w:r>
            <w:r>
              <w:rPr>
                <w:webHidden/>
              </w:rPr>
              <w:tab/>
            </w:r>
            <w:r>
              <w:rPr>
                <w:webHidden/>
              </w:rPr>
              <w:fldChar w:fldCharType="begin"/>
            </w:r>
            <w:r>
              <w:rPr>
                <w:webHidden/>
              </w:rPr>
              <w:instrText xml:space="preserve"> PAGEREF _Toc155347801 \h </w:instrText>
            </w:r>
            <w:r>
              <w:rPr>
                <w:webHidden/>
              </w:rPr>
            </w:r>
            <w:r>
              <w:rPr>
                <w:webHidden/>
              </w:rPr>
              <w:fldChar w:fldCharType="separate"/>
            </w:r>
            <w:r>
              <w:rPr>
                <w:webHidden/>
              </w:rPr>
              <w:t>2-81</w:t>
            </w:r>
            <w:r>
              <w:rPr>
                <w:webHidden/>
              </w:rPr>
              <w:fldChar w:fldCharType="end"/>
            </w:r>
          </w:hyperlink>
        </w:p>
        <w:p w14:paraId="3A3EDE31" w14:textId="77777777" w:rsidR="00C469CC" w:rsidRDefault="00C469CC">
          <w:pPr>
            <w:pStyle w:val="TOC3"/>
            <w:rPr>
              <w:rFonts w:eastAsiaTheme="minorEastAsia" w:cstheme="minorBidi"/>
              <w:caps w:val="0"/>
              <w:kern w:val="0"/>
              <w:lang w:eastAsia="bg-BG"/>
            </w:rPr>
          </w:pPr>
          <w:hyperlink w:anchor="_Toc155347802" w:history="1">
            <w:r w:rsidRPr="00785F37">
              <w:rPr>
                <w:rStyle w:val="Hyperlink"/>
              </w:rPr>
              <w:t>2.3.20</w:t>
            </w:r>
            <w:r>
              <w:rPr>
                <w:rFonts w:eastAsiaTheme="minorEastAsia" w:cstheme="minorBidi"/>
                <w:caps w:val="0"/>
                <w:kern w:val="0"/>
                <w:lang w:eastAsia="bg-BG"/>
              </w:rPr>
              <w:tab/>
            </w:r>
            <w:r w:rsidRPr="00785F37">
              <w:rPr>
                <w:rStyle w:val="Hyperlink"/>
              </w:rPr>
              <w:t>Изискване 25: Оценка на професионалното облъчване и наблюдение на здравето на работниците</w:t>
            </w:r>
            <w:r>
              <w:rPr>
                <w:webHidden/>
              </w:rPr>
              <w:tab/>
            </w:r>
            <w:r>
              <w:rPr>
                <w:webHidden/>
              </w:rPr>
              <w:fldChar w:fldCharType="begin"/>
            </w:r>
            <w:r>
              <w:rPr>
                <w:webHidden/>
              </w:rPr>
              <w:instrText xml:space="preserve"> PAGEREF _Toc155347802 \h </w:instrText>
            </w:r>
            <w:r>
              <w:rPr>
                <w:webHidden/>
              </w:rPr>
            </w:r>
            <w:r>
              <w:rPr>
                <w:webHidden/>
              </w:rPr>
              <w:fldChar w:fldCharType="separate"/>
            </w:r>
            <w:r>
              <w:rPr>
                <w:webHidden/>
              </w:rPr>
              <w:t>2-90</w:t>
            </w:r>
            <w:r>
              <w:rPr>
                <w:webHidden/>
              </w:rPr>
              <w:fldChar w:fldCharType="end"/>
            </w:r>
          </w:hyperlink>
        </w:p>
        <w:p w14:paraId="18DECEA7" w14:textId="77777777" w:rsidR="00C469CC" w:rsidRDefault="00C469CC">
          <w:pPr>
            <w:pStyle w:val="TOC3"/>
            <w:rPr>
              <w:rFonts w:eastAsiaTheme="minorEastAsia" w:cstheme="minorBidi"/>
              <w:caps w:val="0"/>
              <w:kern w:val="0"/>
              <w:lang w:eastAsia="bg-BG"/>
            </w:rPr>
          </w:pPr>
          <w:hyperlink w:anchor="_Toc155347803" w:history="1">
            <w:r w:rsidRPr="00785F37">
              <w:rPr>
                <w:rStyle w:val="Hyperlink"/>
              </w:rPr>
              <w:t>2.3.21</w:t>
            </w:r>
            <w:r>
              <w:rPr>
                <w:rFonts w:eastAsiaTheme="minorEastAsia" w:cstheme="minorBidi"/>
                <w:caps w:val="0"/>
                <w:kern w:val="0"/>
                <w:lang w:eastAsia="bg-BG"/>
              </w:rPr>
              <w:tab/>
            </w:r>
            <w:r w:rsidRPr="00785F37">
              <w:rPr>
                <w:rStyle w:val="Hyperlink"/>
              </w:rPr>
              <w:t>Изискване 26: Информация, инструктаж и обучение</w:t>
            </w:r>
            <w:r>
              <w:rPr>
                <w:webHidden/>
              </w:rPr>
              <w:tab/>
            </w:r>
            <w:r>
              <w:rPr>
                <w:webHidden/>
              </w:rPr>
              <w:fldChar w:fldCharType="begin"/>
            </w:r>
            <w:r>
              <w:rPr>
                <w:webHidden/>
              </w:rPr>
              <w:instrText xml:space="preserve"> PAGEREF _Toc155347803 \h </w:instrText>
            </w:r>
            <w:r>
              <w:rPr>
                <w:webHidden/>
              </w:rPr>
            </w:r>
            <w:r>
              <w:rPr>
                <w:webHidden/>
              </w:rPr>
              <w:fldChar w:fldCharType="separate"/>
            </w:r>
            <w:r>
              <w:rPr>
                <w:webHidden/>
              </w:rPr>
              <w:t>2-95</w:t>
            </w:r>
            <w:r>
              <w:rPr>
                <w:webHidden/>
              </w:rPr>
              <w:fldChar w:fldCharType="end"/>
            </w:r>
          </w:hyperlink>
        </w:p>
        <w:p w14:paraId="36AA8FC5" w14:textId="77777777" w:rsidR="00C469CC" w:rsidRDefault="00C469CC">
          <w:pPr>
            <w:pStyle w:val="TOC3"/>
            <w:rPr>
              <w:rFonts w:eastAsiaTheme="minorEastAsia" w:cstheme="minorBidi"/>
              <w:caps w:val="0"/>
              <w:kern w:val="0"/>
              <w:lang w:eastAsia="bg-BG"/>
            </w:rPr>
          </w:pPr>
          <w:hyperlink w:anchor="_Toc155347804" w:history="1">
            <w:r w:rsidRPr="00785F37">
              <w:rPr>
                <w:rStyle w:val="Hyperlink"/>
              </w:rPr>
              <w:t>2.3.22</w:t>
            </w:r>
            <w:r>
              <w:rPr>
                <w:rFonts w:eastAsiaTheme="minorEastAsia" w:cstheme="minorBidi"/>
                <w:caps w:val="0"/>
                <w:kern w:val="0"/>
                <w:lang w:eastAsia="bg-BG"/>
              </w:rPr>
              <w:tab/>
            </w:r>
            <w:r w:rsidRPr="00785F37">
              <w:rPr>
                <w:rStyle w:val="Hyperlink"/>
              </w:rPr>
              <w:t>Изискване 27: Условия на труд</w:t>
            </w:r>
            <w:r>
              <w:rPr>
                <w:webHidden/>
              </w:rPr>
              <w:tab/>
            </w:r>
            <w:r>
              <w:rPr>
                <w:webHidden/>
              </w:rPr>
              <w:fldChar w:fldCharType="begin"/>
            </w:r>
            <w:r>
              <w:rPr>
                <w:webHidden/>
              </w:rPr>
              <w:instrText xml:space="preserve"> PAGEREF _Toc155347804 \h </w:instrText>
            </w:r>
            <w:r>
              <w:rPr>
                <w:webHidden/>
              </w:rPr>
            </w:r>
            <w:r>
              <w:rPr>
                <w:webHidden/>
              </w:rPr>
              <w:fldChar w:fldCharType="separate"/>
            </w:r>
            <w:r>
              <w:rPr>
                <w:webHidden/>
              </w:rPr>
              <w:t>2-97</w:t>
            </w:r>
            <w:r>
              <w:rPr>
                <w:webHidden/>
              </w:rPr>
              <w:fldChar w:fldCharType="end"/>
            </w:r>
          </w:hyperlink>
        </w:p>
        <w:p w14:paraId="485A4DC2" w14:textId="77777777" w:rsidR="00C469CC" w:rsidRDefault="00C469CC">
          <w:pPr>
            <w:pStyle w:val="TOC3"/>
            <w:rPr>
              <w:rFonts w:eastAsiaTheme="minorEastAsia" w:cstheme="minorBidi"/>
              <w:caps w:val="0"/>
              <w:kern w:val="0"/>
              <w:lang w:eastAsia="bg-BG"/>
            </w:rPr>
          </w:pPr>
          <w:hyperlink w:anchor="_Toc155347805" w:history="1">
            <w:r w:rsidRPr="00785F37">
              <w:rPr>
                <w:rStyle w:val="Hyperlink"/>
              </w:rPr>
              <w:t>2.3.23</w:t>
            </w:r>
            <w:r>
              <w:rPr>
                <w:rFonts w:eastAsiaTheme="minorEastAsia" w:cstheme="minorBidi"/>
                <w:caps w:val="0"/>
                <w:kern w:val="0"/>
                <w:lang w:eastAsia="bg-BG"/>
              </w:rPr>
              <w:tab/>
            </w:r>
            <w:r w:rsidRPr="00785F37">
              <w:rPr>
                <w:rStyle w:val="Hyperlink"/>
              </w:rPr>
              <w:t>Изискване 28: Специални мерки за защита и безопасност на бременни и кърмещи жени и лица под 18 години, които се обучават</w:t>
            </w:r>
            <w:r>
              <w:rPr>
                <w:webHidden/>
              </w:rPr>
              <w:tab/>
            </w:r>
            <w:r>
              <w:rPr>
                <w:webHidden/>
              </w:rPr>
              <w:fldChar w:fldCharType="begin"/>
            </w:r>
            <w:r>
              <w:rPr>
                <w:webHidden/>
              </w:rPr>
              <w:instrText xml:space="preserve"> PAGEREF _Toc155347805 \h </w:instrText>
            </w:r>
            <w:r>
              <w:rPr>
                <w:webHidden/>
              </w:rPr>
            </w:r>
            <w:r>
              <w:rPr>
                <w:webHidden/>
              </w:rPr>
              <w:fldChar w:fldCharType="separate"/>
            </w:r>
            <w:r>
              <w:rPr>
                <w:webHidden/>
              </w:rPr>
              <w:t>2-98</w:t>
            </w:r>
            <w:r>
              <w:rPr>
                <w:webHidden/>
              </w:rPr>
              <w:fldChar w:fldCharType="end"/>
            </w:r>
          </w:hyperlink>
        </w:p>
        <w:p w14:paraId="4B65F979" w14:textId="77777777" w:rsidR="00C469CC" w:rsidRDefault="00C469CC">
          <w:pPr>
            <w:pStyle w:val="TOC3"/>
            <w:rPr>
              <w:rFonts w:eastAsiaTheme="minorEastAsia" w:cstheme="minorBidi"/>
              <w:caps w:val="0"/>
              <w:kern w:val="0"/>
              <w:lang w:eastAsia="bg-BG"/>
            </w:rPr>
          </w:pPr>
          <w:hyperlink w:anchor="_Toc155347806" w:history="1">
            <w:r w:rsidRPr="00785F37">
              <w:rPr>
                <w:rStyle w:val="Hyperlink"/>
              </w:rPr>
              <w:t>2.3.24</w:t>
            </w:r>
            <w:r>
              <w:rPr>
                <w:rFonts w:eastAsiaTheme="minorEastAsia" w:cstheme="minorBidi"/>
                <w:caps w:val="0"/>
                <w:kern w:val="0"/>
                <w:lang w:eastAsia="bg-BG"/>
              </w:rPr>
              <w:tab/>
            </w:r>
            <w:r w:rsidRPr="00785F37">
              <w:rPr>
                <w:rStyle w:val="Hyperlink"/>
              </w:rPr>
              <w:t>Изискване 29: Отговорности на правителството и регулаторния орган по отношение на облъчването на населението</w:t>
            </w:r>
            <w:r>
              <w:rPr>
                <w:webHidden/>
              </w:rPr>
              <w:tab/>
            </w:r>
            <w:r>
              <w:rPr>
                <w:webHidden/>
              </w:rPr>
              <w:fldChar w:fldCharType="begin"/>
            </w:r>
            <w:r>
              <w:rPr>
                <w:webHidden/>
              </w:rPr>
              <w:instrText xml:space="preserve"> PAGEREF _Toc155347806 \h </w:instrText>
            </w:r>
            <w:r>
              <w:rPr>
                <w:webHidden/>
              </w:rPr>
            </w:r>
            <w:r>
              <w:rPr>
                <w:webHidden/>
              </w:rPr>
              <w:fldChar w:fldCharType="separate"/>
            </w:r>
            <w:r>
              <w:rPr>
                <w:webHidden/>
              </w:rPr>
              <w:t>2-100</w:t>
            </w:r>
            <w:r>
              <w:rPr>
                <w:webHidden/>
              </w:rPr>
              <w:fldChar w:fldCharType="end"/>
            </w:r>
          </w:hyperlink>
        </w:p>
        <w:p w14:paraId="22206350" w14:textId="77777777" w:rsidR="00C469CC" w:rsidRDefault="00C469CC">
          <w:pPr>
            <w:pStyle w:val="TOC3"/>
            <w:rPr>
              <w:rFonts w:eastAsiaTheme="minorEastAsia" w:cstheme="minorBidi"/>
              <w:caps w:val="0"/>
              <w:kern w:val="0"/>
              <w:lang w:eastAsia="bg-BG"/>
            </w:rPr>
          </w:pPr>
          <w:hyperlink w:anchor="_Toc155347807" w:history="1">
            <w:r w:rsidRPr="00785F37">
              <w:rPr>
                <w:rStyle w:val="Hyperlink"/>
              </w:rPr>
              <w:t>2.3.25</w:t>
            </w:r>
            <w:r>
              <w:rPr>
                <w:rFonts w:eastAsiaTheme="minorEastAsia" w:cstheme="minorBidi"/>
                <w:caps w:val="0"/>
                <w:kern w:val="0"/>
                <w:lang w:eastAsia="bg-BG"/>
              </w:rPr>
              <w:tab/>
            </w:r>
            <w:r w:rsidRPr="00785F37">
              <w:rPr>
                <w:rStyle w:val="Hyperlink"/>
              </w:rPr>
              <w:t>Изискване 30: Отговорности на съответните страни по отношение на облъчването на населението</w:t>
            </w:r>
            <w:r>
              <w:rPr>
                <w:webHidden/>
              </w:rPr>
              <w:tab/>
            </w:r>
            <w:r>
              <w:rPr>
                <w:webHidden/>
              </w:rPr>
              <w:fldChar w:fldCharType="begin"/>
            </w:r>
            <w:r>
              <w:rPr>
                <w:webHidden/>
              </w:rPr>
              <w:instrText xml:space="preserve"> PAGEREF _Toc155347807 \h </w:instrText>
            </w:r>
            <w:r>
              <w:rPr>
                <w:webHidden/>
              </w:rPr>
            </w:r>
            <w:r>
              <w:rPr>
                <w:webHidden/>
              </w:rPr>
              <w:fldChar w:fldCharType="separate"/>
            </w:r>
            <w:r>
              <w:rPr>
                <w:webHidden/>
              </w:rPr>
              <w:t>2-103</w:t>
            </w:r>
            <w:r>
              <w:rPr>
                <w:webHidden/>
              </w:rPr>
              <w:fldChar w:fldCharType="end"/>
            </w:r>
          </w:hyperlink>
        </w:p>
        <w:p w14:paraId="4F8EAB0F" w14:textId="77777777" w:rsidR="00C469CC" w:rsidRDefault="00C469CC">
          <w:pPr>
            <w:pStyle w:val="TOC3"/>
            <w:rPr>
              <w:rFonts w:eastAsiaTheme="minorEastAsia" w:cstheme="minorBidi"/>
              <w:caps w:val="0"/>
              <w:kern w:val="0"/>
              <w:lang w:eastAsia="bg-BG"/>
            </w:rPr>
          </w:pPr>
          <w:hyperlink w:anchor="_Toc155347808" w:history="1">
            <w:r w:rsidRPr="00785F37">
              <w:rPr>
                <w:rStyle w:val="Hyperlink"/>
              </w:rPr>
              <w:t>2.3.26</w:t>
            </w:r>
            <w:r>
              <w:rPr>
                <w:rFonts w:eastAsiaTheme="minorEastAsia" w:cstheme="minorBidi"/>
                <w:caps w:val="0"/>
                <w:kern w:val="0"/>
                <w:lang w:eastAsia="bg-BG"/>
              </w:rPr>
              <w:tab/>
            </w:r>
            <w:r w:rsidRPr="00785F37">
              <w:rPr>
                <w:rStyle w:val="Hyperlink"/>
              </w:rPr>
              <w:t>Изискване 31: Радиоактивни отпадъци и изхвърляния</w:t>
            </w:r>
            <w:r>
              <w:rPr>
                <w:webHidden/>
              </w:rPr>
              <w:tab/>
            </w:r>
            <w:r>
              <w:rPr>
                <w:webHidden/>
              </w:rPr>
              <w:fldChar w:fldCharType="begin"/>
            </w:r>
            <w:r>
              <w:rPr>
                <w:webHidden/>
              </w:rPr>
              <w:instrText xml:space="preserve"> PAGEREF _Toc155347808 \h </w:instrText>
            </w:r>
            <w:r>
              <w:rPr>
                <w:webHidden/>
              </w:rPr>
            </w:r>
            <w:r>
              <w:rPr>
                <w:webHidden/>
              </w:rPr>
              <w:fldChar w:fldCharType="separate"/>
            </w:r>
            <w:r>
              <w:rPr>
                <w:webHidden/>
              </w:rPr>
              <w:t>2-111</w:t>
            </w:r>
            <w:r>
              <w:rPr>
                <w:webHidden/>
              </w:rPr>
              <w:fldChar w:fldCharType="end"/>
            </w:r>
          </w:hyperlink>
        </w:p>
        <w:p w14:paraId="2F4544BA" w14:textId="77777777" w:rsidR="00C469CC" w:rsidRDefault="00C469CC">
          <w:pPr>
            <w:pStyle w:val="TOC3"/>
            <w:rPr>
              <w:rFonts w:eastAsiaTheme="minorEastAsia" w:cstheme="minorBidi"/>
              <w:caps w:val="0"/>
              <w:kern w:val="0"/>
              <w:lang w:eastAsia="bg-BG"/>
            </w:rPr>
          </w:pPr>
          <w:hyperlink w:anchor="_Toc155347809" w:history="1">
            <w:r w:rsidRPr="00785F37">
              <w:rPr>
                <w:rStyle w:val="Hyperlink"/>
              </w:rPr>
              <w:t>2.3.27</w:t>
            </w:r>
            <w:r>
              <w:rPr>
                <w:rFonts w:eastAsiaTheme="minorEastAsia" w:cstheme="minorBidi"/>
                <w:caps w:val="0"/>
                <w:kern w:val="0"/>
                <w:lang w:eastAsia="bg-BG"/>
              </w:rPr>
              <w:tab/>
            </w:r>
            <w:r w:rsidRPr="00785F37">
              <w:rPr>
                <w:rStyle w:val="Hyperlink"/>
              </w:rPr>
              <w:t>Изискване 32: Мониторинг и регистрация на резултатите</w:t>
            </w:r>
            <w:r>
              <w:rPr>
                <w:webHidden/>
              </w:rPr>
              <w:tab/>
            </w:r>
            <w:r>
              <w:rPr>
                <w:webHidden/>
              </w:rPr>
              <w:fldChar w:fldCharType="begin"/>
            </w:r>
            <w:r>
              <w:rPr>
                <w:webHidden/>
              </w:rPr>
              <w:instrText xml:space="preserve"> PAGEREF _Toc155347809 \h </w:instrText>
            </w:r>
            <w:r>
              <w:rPr>
                <w:webHidden/>
              </w:rPr>
            </w:r>
            <w:r>
              <w:rPr>
                <w:webHidden/>
              </w:rPr>
              <w:fldChar w:fldCharType="separate"/>
            </w:r>
            <w:r>
              <w:rPr>
                <w:webHidden/>
              </w:rPr>
              <w:t>2-114</w:t>
            </w:r>
            <w:r>
              <w:rPr>
                <w:webHidden/>
              </w:rPr>
              <w:fldChar w:fldCharType="end"/>
            </w:r>
          </w:hyperlink>
        </w:p>
        <w:p w14:paraId="0F6A6B17" w14:textId="77777777" w:rsidR="00C469CC" w:rsidRDefault="00C469CC">
          <w:pPr>
            <w:pStyle w:val="TOC3"/>
            <w:rPr>
              <w:rFonts w:eastAsiaTheme="minorEastAsia" w:cstheme="minorBidi"/>
              <w:caps w:val="0"/>
              <w:kern w:val="0"/>
              <w:lang w:eastAsia="bg-BG"/>
            </w:rPr>
          </w:pPr>
          <w:hyperlink w:anchor="_Toc155347810" w:history="1">
            <w:r w:rsidRPr="00785F37">
              <w:rPr>
                <w:rStyle w:val="Hyperlink"/>
              </w:rPr>
              <w:t>2.3.28</w:t>
            </w:r>
            <w:r>
              <w:rPr>
                <w:rFonts w:eastAsiaTheme="minorEastAsia" w:cstheme="minorBidi"/>
                <w:caps w:val="0"/>
                <w:kern w:val="0"/>
                <w:lang w:eastAsia="bg-BG"/>
              </w:rPr>
              <w:tab/>
            </w:r>
            <w:r w:rsidRPr="00785F37">
              <w:rPr>
                <w:rStyle w:val="Hyperlink"/>
              </w:rPr>
              <w:t>Изискване 33: Потребителски продукти</w:t>
            </w:r>
            <w:r>
              <w:rPr>
                <w:webHidden/>
              </w:rPr>
              <w:tab/>
            </w:r>
            <w:r>
              <w:rPr>
                <w:webHidden/>
              </w:rPr>
              <w:fldChar w:fldCharType="begin"/>
            </w:r>
            <w:r>
              <w:rPr>
                <w:webHidden/>
              </w:rPr>
              <w:instrText xml:space="preserve"> PAGEREF _Toc155347810 \h </w:instrText>
            </w:r>
            <w:r>
              <w:rPr>
                <w:webHidden/>
              </w:rPr>
            </w:r>
            <w:r>
              <w:rPr>
                <w:webHidden/>
              </w:rPr>
              <w:fldChar w:fldCharType="separate"/>
            </w:r>
            <w:r>
              <w:rPr>
                <w:webHidden/>
              </w:rPr>
              <w:t>2-118</w:t>
            </w:r>
            <w:r>
              <w:rPr>
                <w:webHidden/>
              </w:rPr>
              <w:fldChar w:fldCharType="end"/>
            </w:r>
          </w:hyperlink>
        </w:p>
        <w:p w14:paraId="009B0AD4" w14:textId="77777777" w:rsidR="00C469CC" w:rsidRDefault="00C469CC">
          <w:pPr>
            <w:pStyle w:val="TOC3"/>
            <w:rPr>
              <w:rFonts w:eastAsiaTheme="minorEastAsia" w:cstheme="minorBidi"/>
              <w:caps w:val="0"/>
              <w:kern w:val="0"/>
              <w:lang w:eastAsia="bg-BG"/>
            </w:rPr>
          </w:pPr>
          <w:hyperlink w:anchor="_Toc155347811" w:history="1">
            <w:r w:rsidRPr="00785F37">
              <w:rPr>
                <w:rStyle w:val="Hyperlink"/>
              </w:rPr>
              <w:t>2.3.29</w:t>
            </w:r>
            <w:r>
              <w:rPr>
                <w:rFonts w:eastAsiaTheme="minorEastAsia" w:cstheme="minorBidi"/>
                <w:caps w:val="0"/>
                <w:kern w:val="0"/>
                <w:lang w:eastAsia="bg-BG"/>
              </w:rPr>
              <w:tab/>
            </w:r>
            <w:r w:rsidRPr="00785F37">
              <w:rPr>
                <w:rStyle w:val="Hyperlink"/>
              </w:rPr>
              <w:t>Изискване 34: Отговорности на правителството по отношение на медицинското облъчване</w:t>
            </w:r>
            <w:r>
              <w:rPr>
                <w:webHidden/>
              </w:rPr>
              <w:tab/>
            </w:r>
            <w:r>
              <w:rPr>
                <w:webHidden/>
              </w:rPr>
              <w:fldChar w:fldCharType="begin"/>
            </w:r>
            <w:r>
              <w:rPr>
                <w:webHidden/>
              </w:rPr>
              <w:instrText xml:space="preserve"> PAGEREF _Toc155347811 \h </w:instrText>
            </w:r>
            <w:r>
              <w:rPr>
                <w:webHidden/>
              </w:rPr>
            </w:r>
            <w:r>
              <w:rPr>
                <w:webHidden/>
              </w:rPr>
              <w:fldChar w:fldCharType="separate"/>
            </w:r>
            <w:r>
              <w:rPr>
                <w:webHidden/>
              </w:rPr>
              <w:t>2-122</w:t>
            </w:r>
            <w:r>
              <w:rPr>
                <w:webHidden/>
              </w:rPr>
              <w:fldChar w:fldCharType="end"/>
            </w:r>
          </w:hyperlink>
        </w:p>
        <w:p w14:paraId="56FB26B4" w14:textId="77777777" w:rsidR="00C469CC" w:rsidRDefault="00C469CC">
          <w:pPr>
            <w:pStyle w:val="TOC3"/>
            <w:rPr>
              <w:rFonts w:eastAsiaTheme="minorEastAsia" w:cstheme="minorBidi"/>
              <w:caps w:val="0"/>
              <w:kern w:val="0"/>
              <w:lang w:eastAsia="bg-BG"/>
            </w:rPr>
          </w:pPr>
          <w:hyperlink w:anchor="_Toc155347812" w:history="1">
            <w:r w:rsidRPr="00785F37">
              <w:rPr>
                <w:rStyle w:val="Hyperlink"/>
              </w:rPr>
              <w:t>2.3.30</w:t>
            </w:r>
            <w:r>
              <w:rPr>
                <w:rFonts w:eastAsiaTheme="minorEastAsia" w:cstheme="minorBidi"/>
                <w:caps w:val="0"/>
                <w:kern w:val="0"/>
                <w:lang w:eastAsia="bg-BG"/>
              </w:rPr>
              <w:tab/>
            </w:r>
            <w:r w:rsidRPr="00785F37">
              <w:rPr>
                <w:rStyle w:val="Hyperlink"/>
              </w:rPr>
              <w:t>Изискване 35: Отговорности на регулаторния орган по отношение на медицинското облъчване</w:t>
            </w:r>
            <w:r>
              <w:rPr>
                <w:webHidden/>
              </w:rPr>
              <w:tab/>
            </w:r>
            <w:r>
              <w:rPr>
                <w:webHidden/>
              </w:rPr>
              <w:fldChar w:fldCharType="begin"/>
            </w:r>
            <w:r>
              <w:rPr>
                <w:webHidden/>
              </w:rPr>
              <w:instrText xml:space="preserve"> PAGEREF _Toc155347812 \h </w:instrText>
            </w:r>
            <w:r>
              <w:rPr>
                <w:webHidden/>
              </w:rPr>
            </w:r>
            <w:r>
              <w:rPr>
                <w:webHidden/>
              </w:rPr>
              <w:fldChar w:fldCharType="separate"/>
            </w:r>
            <w:r>
              <w:rPr>
                <w:webHidden/>
              </w:rPr>
              <w:t>2-124</w:t>
            </w:r>
            <w:r>
              <w:rPr>
                <w:webHidden/>
              </w:rPr>
              <w:fldChar w:fldCharType="end"/>
            </w:r>
          </w:hyperlink>
        </w:p>
        <w:p w14:paraId="7C08B05D" w14:textId="77777777" w:rsidR="00C469CC" w:rsidRDefault="00C469CC">
          <w:pPr>
            <w:pStyle w:val="TOC3"/>
            <w:rPr>
              <w:rFonts w:eastAsiaTheme="minorEastAsia" w:cstheme="minorBidi"/>
              <w:caps w:val="0"/>
              <w:kern w:val="0"/>
              <w:lang w:eastAsia="bg-BG"/>
            </w:rPr>
          </w:pPr>
          <w:hyperlink w:anchor="_Toc155347813" w:history="1">
            <w:r w:rsidRPr="00785F37">
              <w:rPr>
                <w:rStyle w:val="Hyperlink"/>
              </w:rPr>
              <w:t>2.3.31</w:t>
            </w:r>
            <w:r>
              <w:rPr>
                <w:rFonts w:eastAsiaTheme="minorEastAsia" w:cstheme="minorBidi"/>
                <w:caps w:val="0"/>
                <w:kern w:val="0"/>
                <w:lang w:eastAsia="bg-BG"/>
              </w:rPr>
              <w:tab/>
            </w:r>
            <w:r w:rsidRPr="00785F37">
              <w:rPr>
                <w:rStyle w:val="Hyperlink"/>
              </w:rPr>
              <w:t>Изискване 36: Отговорности на регистрираните лица и лицензиантите по отношение на медицинското облъчване</w:t>
            </w:r>
            <w:r>
              <w:rPr>
                <w:webHidden/>
              </w:rPr>
              <w:tab/>
            </w:r>
            <w:r>
              <w:rPr>
                <w:webHidden/>
              </w:rPr>
              <w:fldChar w:fldCharType="begin"/>
            </w:r>
            <w:r>
              <w:rPr>
                <w:webHidden/>
              </w:rPr>
              <w:instrText xml:space="preserve"> PAGEREF _Toc155347813 \h </w:instrText>
            </w:r>
            <w:r>
              <w:rPr>
                <w:webHidden/>
              </w:rPr>
            </w:r>
            <w:r>
              <w:rPr>
                <w:webHidden/>
              </w:rPr>
              <w:fldChar w:fldCharType="separate"/>
            </w:r>
            <w:r>
              <w:rPr>
                <w:webHidden/>
              </w:rPr>
              <w:t>2-125</w:t>
            </w:r>
            <w:r>
              <w:rPr>
                <w:webHidden/>
              </w:rPr>
              <w:fldChar w:fldCharType="end"/>
            </w:r>
          </w:hyperlink>
        </w:p>
        <w:p w14:paraId="7462D771" w14:textId="77777777" w:rsidR="00C469CC" w:rsidRDefault="00C469CC">
          <w:pPr>
            <w:pStyle w:val="TOC3"/>
            <w:rPr>
              <w:rFonts w:eastAsiaTheme="minorEastAsia" w:cstheme="minorBidi"/>
              <w:caps w:val="0"/>
              <w:kern w:val="0"/>
              <w:lang w:eastAsia="bg-BG"/>
            </w:rPr>
          </w:pPr>
          <w:hyperlink w:anchor="_Toc155347814" w:history="1">
            <w:r w:rsidRPr="00785F37">
              <w:rPr>
                <w:rStyle w:val="Hyperlink"/>
              </w:rPr>
              <w:t>2.3.32</w:t>
            </w:r>
            <w:r>
              <w:rPr>
                <w:rFonts w:eastAsiaTheme="minorEastAsia" w:cstheme="minorBidi"/>
                <w:caps w:val="0"/>
                <w:kern w:val="0"/>
                <w:lang w:eastAsia="bg-BG"/>
              </w:rPr>
              <w:tab/>
            </w:r>
            <w:r w:rsidRPr="00785F37">
              <w:rPr>
                <w:rStyle w:val="Hyperlink"/>
              </w:rPr>
              <w:t>Изискване 37: Обосновка на медицински облъчвания</w:t>
            </w:r>
            <w:r>
              <w:rPr>
                <w:webHidden/>
              </w:rPr>
              <w:tab/>
            </w:r>
            <w:r>
              <w:rPr>
                <w:webHidden/>
              </w:rPr>
              <w:fldChar w:fldCharType="begin"/>
            </w:r>
            <w:r>
              <w:rPr>
                <w:webHidden/>
              </w:rPr>
              <w:instrText xml:space="preserve"> PAGEREF _Toc155347814 \h </w:instrText>
            </w:r>
            <w:r>
              <w:rPr>
                <w:webHidden/>
              </w:rPr>
            </w:r>
            <w:r>
              <w:rPr>
                <w:webHidden/>
              </w:rPr>
              <w:fldChar w:fldCharType="separate"/>
            </w:r>
            <w:r>
              <w:rPr>
                <w:webHidden/>
              </w:rPr>
              <w:t>2-129</w:t>
            </w:r>
            <w:r>
              <w:rPr>
                <w:webHidden/>
              </w:rPr>
              <w:fldChar w:fldCharType="end"/>
            </w:r>
          </w:hyperlink>
        </w:p>
        <w:p w14:paraId="0EF00D67" w14:textId="77777777" w:rsidR="00C469CC" w:rsidRDefault="00C469CC">
          <w:pPr>
            <w:pStyle w:val="TOC3"/>
            <w:rPr>
              <w:rFonts w:eastAsiaTheme="minorEastAsia" w:cstheme="minorBidi"/>
              <w:caps w:val="0"/>
              <w:kern w:val="0"/>
              <w:lang w:eastAsia="bg-BG"/>
            </w:rPr>
          </w:pPr>
          <w:hyperlink w:anchor="_Toc155347815" w:history="1">
            <w:r w:rsidRPr="00785F37">
              <w:rPr>
                <w:rStyle w:val="Hyperlink"/>
              </w:rPr>
              <w:t>2.3.33</w:t>
            </w:r>
            <w:r>
              <w:rPr>
                <w:rFonts w:eastAsiaTheme="minorEastAsia" w:cstheme="minorBidi"/>
                <w:caps w:val="0"/>
                <w:kern w:val="0"/>
                <w:lang w:eastAsia="bg-BG"/>
              </w:rPr>
              <w:tab/>
            </w:r>
            <w:r w:rsidRPr="00785F37">
              <w:rPr>
                <w:rStyle w:val="Hyperlink"/>
              </w:rPr>
              <w:t>Изискване 38: Оптимизация на защитата и безопасността</w:t>
            </w:r>
            <w:r>
              <w:rPr>
                <w:webHidden/>
              </w:rPr>
              <w:tab/>
            </w:r>
            <w:r>
              <w:rPr>
                <w:webHidden/>
              </w:rPr>
              <w:fldChar w:fldCharType="begin"/>
            </w:r>
            <w:r>
              <w:rPr>
                <w:webHidden/>
              </w:rPr>
              <w:instrText xml:space="preserve"> PAGEREF _Toc155347815 \h </w:instrText>
            </w:r>
            <w:r>
              <w:rPr>
                <w:webHidden/>
              </w:rPr>
            </w:r>
            <w:r>
              <w:rPr>
                <w:webHidden/>
              </w:rPr>
              <w:fldChar w:fldCharType="separate"/>
            </w:r>
            <w:r>
              <w:rPr>
                <w:webHidden/>
              </w:rPr>
              <w:t>2-132</w:t>
            </w:r>
            <w:r>
              <w:rPr>
                <w:webHidden/>
              </w:rPr>
              <w:fldChar w:fldCharType="end"/>
            </w:r>
          </w:hyperlink>
        </w:p>
        <w:p w14:paraId="2A3EEBEE" w14:textId="77777777" w:rsidR="00C469CC" w:rsidRDefault="00C469CC">
          <w:pPr>
            <w:pStyle w:val="TOC3"/>
            <w:rPr>
              <w:rFonts w:eastAsiaTheme="minorEastAsia" w:cstheme="minorBidi"/>
              <w:caps w:val="0"/>
              <w:kern w:val="0"/>
              <w:lang w:eastAsia="bg-BG"/>
            </w:rPr>
          </w:pPr>
          <w:hyperlink w:anchor="_Toc155347816" w:history="1">
            <w:r w:rsidRPr="00785F37">
              <w:rPr>
                <w:rStyle w:val="Hyperlink"/>
              </w:rPr>
              <w:t>2.3.34</w:t>
            </w:r>
            <w:r>
              <w:rPr>
                <w:rFonts w:eastAsiaTheme="minorEastAsia" w:cstheme="minorBidi"/>
                <w:caps w:val="0"/>
                <w:kern w:val="0"/>
                <w:lang w:eastAsia="bg-BG"/>
              </w:rPr>
              <w:tab/>
            </w:r>
            <w:r w:rsidRPr="00785F37">
              <w:rPr>
                <w:rStyle w:val="Hyperlink"/>
              </w:rPr>
              <w:t>Изискване 39: Бременни или кърмещи пациентки</w:t>
            </w:r>
            <w:r>
              <w:rPr>
                <w:webHidden/>
              </w:rPr>
              <w:tab/>
            </w:r>
            <w:r>
              <w:rPr>
                <w:webHidden/>
              </w:rPr>
              <w:fldChar w:fldCharType="begin"/>
            </w:r>
            <w:r>
              <w:rPr>
                <w:webHidden/>
              </w:rPr>
              <w:instrText xml:space="preserve"> PAGEREF _Toc155347816 \h </w:instrText>
            </w:r>
            <w:r>
              <w:rPr>
                <w:webHidden/>
              </w:rPr>
            </w:r>
            <w:r>
              <w:rPr>
                <w:webHidden/>
              </w:rPr>
              <w:fldChar w:fldCharType="separate"/>
            </w:r>
            <w:r>
              <w:rPr>
                <w:webHidden/>
              </w:rPr>
              <w:t>2-139</w:t>
            </w:r>
            <w:r>
              <w:rPr>
                <w:webHidden/>
              </w:rPr>
              <w:fldChar w:fldCharType="end"/>
            </w:r>
          </w:hyperlink>
        </w:p>
        <w:p w14:paraId="4AEDD630" w14:textId="77777777" w:rsidR="00C469CC" w:rsidRDefault="00C469CC">
          <w:pPr>
            <w:pStyle w:val="TOC3"/>
            <w:rPr>
              <w:rFonts w:eastAsiaTheme="minorEastAsia" w:cstheme="minorBidi"/>
              <w:caps w:val="0"/>
              <w:kern w:val="0"/>
              <w:lang w:eastAsia="bg-BG"/>
            </w:rPr>
          </w:pPr>
          <w:hyperlink w:anchor="_Toc155347817" w:history="1">
            <w:r w:rsidRPr="00785F37">
              <w:rPr>
                <w:rStyle w:val="Hyperlink"/>
              </w:rPr>
              <w:t>2.3.35</w:t>
            </w:r>
            <w:r>
              <w:rPr>
                <w:rFonts w:eastAsiaTheme="minorEastAsia" w:cstheme="minorBidi"/>
                <w:caps w:val="0"/>
                <w:kern w:val="0"/>
                <w:lang w:eastAsia="bg-BG"/>
              </w:rPr>
              <w:tab/>
            </w:r>
            <w:r w:rsidRPr="00785F37">
              <w:rPr>
                <w:rStyle w:val="Hyperlink"/>
              </w:rPr>
              <w:t>Изискване 40: Изписване на пациенти след радионуклидна терапия</w:t>
            </w:r>
            <w:r>
              <w:rPr>
                <w:webHidden/>
              </w:rPr>
              <w:tab/>
            </w:r>
            <w:r>
              <w:rPr>
                <w:webHidden/>
              </w:rPr>
              <w:fldChar w:fldCharType="begin"/>
            </w:r>
            <w:r>
              <w:rPr>
                <w:webHidden/>
              </w:rPr>
              <w:instrText xml:space="preserve"> PAGEREF _Toc155347817 \h </w:instrText>
            </w:r>
            <w:r>
              <w:rPr>
                <w:webHidden/>
              </w:rPr>
            </w:r>
            <w:r>
              <w:rPr>
                <w:webHidden/>
              </w:rPr>
              <w:fldChar w:fldCharType="separate"/>
            </w:r>
            <w:r>
              <w:rPr>
                <w:webHidden/>
              </w:rPr>
              <w:t>2-141</w:t>
            </w:r>
            <w:r>
              <w:rPr>
                <w:webHidden/>
              </w:rPr>
              <w:fldChar w:fldCharType="end"/>
            </w:r>
          </w:hyperlink>
        </w:p>
        <w:p w14:paraId="213EC947" w14:textId="77777777" w:rsidR="00C469CC" w:rsidRDefault="00C469CC">
          <w:pPr>
            <w:pStyle w:val="TOC3"/>
            <w:rPr>
              <w:rFonts w:eastAsiaTheme="minorEastAsia" w:cstheme="minorBidi"/>
              <w:caps w:val="0"/>
              <w:kern w:val="0"/>
              <w:lang w:eastAsia="bg-BG"/>
            </w:rPr>
          </w:pPr>
          <w:hyperlink w:anchor="_Toc155347818" w:history="1">
            <w:r w:rsidRPr="00785F37">
              <w:rPr>
                <w:rStyle w:val="Hyperlink"/>
              </w:rPr>
              <w:t>2.3.36</w:t>
            </w:r>
            <w:r>
              <w:rPr>
                <w:rFonts w:eastAsiaTheme="minorEastAsia" w:cstheme="minorBidi"/>
                <w:caps w:val="0"/>
                <w:kern w:val="0"/>
                <w:lang w:eastAsia="bg-BG"/>
              </w:rPr>
              <w:tab/>
            </w:r>
            <w:r w:rsidRPr="00785F37">
              <w:rPr>
                <w:rStyle w:val="Hyperlink"/>
              </w:rPr>
              <w:t>Изискване 41: Непланирано и инцидентно медицинско облъчване</w:t>
            </w:r>
            <w:r>
              <w:rPr>
                <w:webHidden/>
              </w:rPr>
              <w:tab/>
            </w:r>
            <w:r>
              <w:rPr>
                <w:webHidden/>
              </w:rPr>
              <w:fldChar w:fldCharType="begin"/>
            </w:r>
            <w:r>
              <w:rPr>
                <w:webHidden/>
              </w:rPr>
              <w:instrText xml:space="preserve"> PAGEREF _Toc155347818 \h </w:instrText>
            </w:r>
            <w:r>
              <w:rPr>
                <w:webHidden/>
              </w:rPr>
            </w:r>
            <w:r>
              <w:rPr>
                <w:webHidden/>
              </w:rPr>
              <w:fldChar w:fldCharType="separate"/>
            </w:r>
            <w:r>
              <w:rPr>
                <w:webHidden/>
              </w:rPr>
              <w:t>2-142</w:t>
            </w:r>
            <w:r>
              <w:rPr>
                <w:webHidden/>
              </w:rPr>
              <w:fldChar w:fldCharType="end"/>
            </w:r>
          </w:hyperlink>
        </w:p>
        <w:p w14:paraId="00BC7A78" w14:textId="77777777" w:rsidR="00C469CC" w:rsidRDefault="00C469CC">
          <w:pPr>
            <w:pStyle w:val="TOC3"/>
            <w:rPr>
              <w:rFonts w:eastAsiaTheme="minorEastAsia" w:cstheme="minorBidi"/>
              <w:caps w:val="0"/>
              <w:kern w:val="0"/>
              <w:lang w:eastAsia="bg-BG"/>
            </w:rPr>
          </w:pPr>
          <w:hyperlink w:anchor="_Toc155347819" w:history="1">
            <w:r w:rsidRPr="00785F37">
              <w:rPr>
                <w:rStyle w:val="Hyperlink"/>
              </w:rPr>
              <w:t>2.3.37</w:t>
            </w:r>
            <w:r>
              <w:rPr>
                <w:rFonts w:eastAsiaTheme="minorEastAsia" w:cstheme="minorBidi"/>
                <w:caps w:val="0"/>
                <w:kern w:val="0"/>
                <w:lang w:eastAsia="bg-BG"/>
              </w:rPr>
              <w:tab/>
            </w:r>
            <w:r w:rsidRPr="00785F37">
              <w:rPr>
                <w:rStyle w:val="Hyperlink"/>
              </w:rPr>
              <w:t>Изискване 42: Проверки и записи</w:t>
            </w:r>
            <w:r>
              <w:rPr>
                <w:webHidden/>
              </w:rPr>
              <w:tab/>
            </w:r>
            <w:r>
              <w:rPr>
                <w:webHidden/>
              </w:rPr>
              <w:fldChar w:fldCharType="begin"/>
            </w:r>
            <w:r>
              <w:rPr>
                <w:webHidden/>
              </w:rPr>
              <w:instrText xml:space="preserve"> PAGEREF _Toc155347819 \h </w:instrText>
            </w:r>
            <w:r>
              <w:rPr>
                <w:webHidden/>
              </w:rPr>
            </w:r>
            <w:r>
              <w:rPr>
                <w:webHidden/>
              </w:rPr>
              <w:fldChar w:fldCharType="separate"/>
            </w:r>
            <w:r>
              <w:rPr>
                <w:webHidden/>
              </w:rPr>
              <w:t>2-145</w:t>
            </w:r>
            <w:r>
              <w:rPr>
                <w:webHidden/>
              </w:rPr>
              <w:fldChar w:fldCharType="end"/>
            </w:r>
          </w:hyperlink>
        </w:p>
        <w:p w14:paraId="59B3009E" w14:textId="77777777" w:rsidR="00C469CC" w:rsidRDefault="00C469CC">
          <w:pPr>
            <w:pStyle w:val="TOC2"/>
            <w:rPr>
              <w:rFonts w:eastAsiaTheme="minorEastAsia" w:cstheme="minorBidi"/>
              <w:caps w:val="0"/>
              <w:kern w:val="0"/>
              <w:lang w:eastAsia="bg-BG"/>
            </w:rPr>
          </w:pPr>
          <w:hyperlink w:anchor="_Toc155347820" w:history="1">
            <w:r w:rsidRPr="00785F37">
              <w:rPr>
                <w:rStyle w:val="Hyperlink"/>
              </w:rPr>
              <w:t>2.4</w:t>
            </w:r>
            <w:r>
              <w:rPr>
                <w:rFonts w:eastAsiaTheme="minorEastAsia" w:cstheme="minorBidi"/>
                <w:caps w:val="0"/>
                <w:kern w:val="0"/>
                <w:lang w:eastAsia="bg-BG"/>
              </w:rPr>
              <w:tab/>
            </w:r>
            <w:r w:rsidRPr="00785F37">
              <w:rPr>
                <w:rStyle w:val="Hyperlink"/>
              </w:rPr>
              <w:t>Ситуации на аварийно облъчване</w:t>
            </w:r>
            <w:r>
              <w:rPr>
                <w:webHidden/>
              </w:rPr>
              <w:tab/>
            </w:r>
            <w:r>
              <w:rPr>
                <w:webHidden/>
              </w:rPr>
              <w:fldChar w:fldCharType="begin"/>
            </w:r>
            <w:r>
              <w:rPr>
                <w:webHidden/>
              </w:rPr>
              <w:instrText xml:space="preserve"> PAGEREF _Toc155347820 \h </w:instrText>
            </w:r>
            <w:r>
              <w:rPr>
                <w:webHidden/>
              </w:rPr>
            </w:r>
            <w:r>
              <w:rPr>
                <w:webHidden/>
              </w:rPr>
              <w:fldChar w:fldCharType="separate"/>
            </w:r>
            <w:r>
              <w:rPr>
                <w:webHidden/>
              </w:rPr>
              <w:t>2-148</w:t>
            </w:r>
            <w:r>
              <w:rPr>
                <w:webHidden/>
              </w:rPr>
              <w:fldChar w:fldCharType="end"/>
            </w:r>
          </w:hyperlink>
        </w:p>
        <w:p w14:paraId="432BA1FD" w14:textId="77777777" w:rsidR="00C469CC" w:rsidRDefault="00C469CC">
          <w:pPr>
            <w:pStyle w:val="TOC3"/>
            <w:rPr>
              <w:rFonts w:eastAsiaTheme="minorEastAsia" w:cstheme="minorBidi"/>
              <w:caps w:val="0"/>
              <w:kern w:val="0"/>
              <w:lang w:eastAsia="bg-BG"/>
            </w:rPr>
          </w:pPr>
          <w:hyperlink w:anchor="_Toc155347821" w:history="1">
            <w:r w:rsidRPr="00785F37">
              <w:rPr>
                <w:rStyle w:val="Hyperlink"/>
              </w:rPr>
              <w:t>2.4.1</w:t>
            </w:r>
            <w:r>
              <w:rPr>
                <w:rFonts w:eastAsiaTheme="minorEastAsia" w:cstheme="minorBidi"/>
                <w:caps w:val="0"/>
                <w:kern w:val="0"/>
                <w:lang w:eastAsia="bg-BG"/>
              </w:rPr>
              <w:tab/>
            </w:r>
            <w:r w:rsidRPr="00785F37">
              <w:rPr>
                <w:rStyle w:val="Hyperlink"/>
              </w:rPr>
              <w:t>Изискване 43: Система за управление на аварийни ситуации</w:t>
            </w:r>
            <w:r>
              <w:rPr>
                <w:webHidden/>
              </w:rPr>
              <w:tab/>
            </w:r>
            <w:r>
              <w:rPr>
                <w:webHidden/>
              </w:rPr>
              <w:fldChar w:fldCharType="begin"/>
            </w:r>
            <w:r>
              <w:rPr>
                <w:webHidden/>
              </w:rPr>
              <w:instrText xml:space="preserve"> PAGEREF _Toc155347821 \h </w:instrText>
            </w:r>
            <w:r>
              <w:rPr>
                <w:webHidden/>
              </w:rPr>
            </w:r>
            <w:r>
              <w:rPr>
                <w:webHidden/>
              </w:rPr>
              <w:fldChar w:fldCharType="separate"/>
            </w:r>
            <w:r>
              <w:rPr>
                <w:webHidden/>
              </w:rPr>
              <w:t>2-149</w:t>
            </w:r>
            <w:r>
              <w:rPr>
                <w:webHidden/>
              </w:rPr>
              <w:fldChar w:fldCharType="end"/>
            </w:r>
          </w:hyperlink>
        </w:p>
        <w:p w14:paraId="7BF23E20" w14:textId="77777777" w:rsidR="00C469CC" w:rsidRDefault="00C469CC">
          <w:pPr>
            <w:pStyle w:val="TOC3"/>
            <w:rPr>
              <w:rFonts w:eastAsiaTheme="minorEastAsia" w:cstheme="minorBidi"/>
              <w:caps w:val="0"/>
              <w:kern w:val="0"/>
              <w:lang w:eastAsia="bg-BG"/>
            </w:rPr>
          </w:pPr>
          <w:hyperlink w:anchor="_Toc155347822" w:history="1">
            <w:r w:rsidRPr="00785F37">
              <w:rPr>
                <w:rStyle w:val="Hyperlink"/>
              </w:rPr>
              <w:t>2.4.2</w:t>
            </w:r>
            <w:r>
              <w:rPr>
                <w:rFonts w:eastAsiaTheme="minorEastAsia" w:cstheme="minorBidi"/>
                <w:caps w:val="0"/>
                <w:kern w:val="0"/>
                <w:lang w:eastAsia="bg-BG"/>
              </w:rPr>
              <w:tab/>
            </w:r>
            <w:r w:rsidRPr="00785F37">
              <w:rPr>
                <w:rStyle w:val="Hyperlink"/>
              </w:rPr>
              <w:t>Изискване 44: Готовност и реагиране в случай на аварийна ситуация</w:t>
            </w:r>
            <w:r>
              <w:rPr>
                <w:webHidden/>
              </w:rPr>
              <w:tab/>
            </w:r>
            <w:r>
              <w:rPr>
                <w:webHidden/>
              </w:rPr>
              <w:fldChar w:fldCharType="begin"/>
            </w:r>
            <w:r>
              <w:rPr>
                <w:webHidden/>
              </w:rPr>
              <w:instrText xml:space="preserve"> PAGEREF _Toc155347822 \h </w:instrText>
            </w:r>
            <w:r>
              <w:rPr>
                <w:webHidden/>
              </w:rPr>
            </w:r>
            <w:r>
              <w:rPr>
                <w:webHidden/>
              </w:rPr>
              <w:fldChar w:fldCharType="separate"/>
            </w:r>
            <w:r>
              <w:rPr>
                <w:webHidden/>
              </w:rPr>
              <w:t>2-151</w:t>
            </w:r>
            <w:r>
              <w:rPr>
                <w:webHidden/>
              </w:rPr>
              <w:fldChar w:fldCharType="end"/>
            </w:r>
          </w:hyperlink>
        </w:p>
        <w:p w14:paraId="17463BF3" w14:textId="77777777" w:rsidR="00C469CC" w:rsidRDefault="00C469CC">
          <w:pPr>
            <w:pStyle w:val="TOC3"/>
            <w:rPr>
              <w:rFonts w:eastAsiaTheme="minorEastAsia" w:cstheme="minorBidi"/>
              <w:caps w:val="0"/>
              <w:kern w:val="0"/>
              <w:lang w:eastAsia="bg-BG"/>
            </w:rPr>
          </w:pPr>
          <w:hyperlink w:anchor="_Toc155347823" w:history="1">
            <w:r w:rsidRPr="00785F37">
              <w:rPr>
                <w:rStyle w:val="Hyperlink"/>
              </w:rPr>
              <w:t>2.4.3</w:t>
            </w:r>
            <w:r>
              <w:rPr>
                <w:rFonts w:eastAsiaTheme="minorEastAsia" w:cstheme="minorBidi"/>
                <w:caps w:val="0"/>
                <w:kern w:val="0"/>
                <w:lang w:eastAsia="bg-BG"/>
              </w:rPr>
              <w:tab/>
            </w:r>
            <w:r w:rsidRPr="00785F37">
              <w:rPr>
                <w:rStyle w:val="Hyperlink"/>
              </w:rPr>
              <w:t>Изискване 45: Мерки за контрол на облъчването на аварийни работници</w:t>
            </w:r>
            <w:r>
              <w:rPr>
                <w:webHidden/>
              </w:rPr>
              <w:tab/>
            </w:r>
            <w:r>
              <w:rPr>
                <w:webHidden/>
              </w:rPr>
              <w:fldChar w:fldCharType="begin"/>
            </w:r>
            <w:r>
              <w:rPr>
                <w:webHidden/>
              </w:rPr>
              <w:instrText xml:space="preserve"> PAGEREF _Toc155347823 \h </w:instrText>
            </w:r>
            <w:r>
              <w:rPr>
                <w:webHidden/>
              </w:rPr>
            </w:r>
            <w:r>
              <w:rPr>
                <w:webHidden/>
              </w:rPr>
              <w:fldChar w:fldCharType="separate"/>
            </w:r>
            <w:r>
              <w:rPr>
                <w:webHidden/>
              </w:rPr>
              <w:t>2-156</w:t>
            </w:r>
            <w:r>
              <w:rPr>
                <w:webHidden/>
              </w:rPr>
              <w:fldChar w:fldCharType="end"/>
            </w:r>
          </w:hyperlink>
        </w:p>
        <w:p w14:paraId="7C76A986" w14:textId="77777777" w:rsidR="00C469CC" w:rsidRDefault="00C469CC">
          <w:pPr>
            <w:pStyle w:val="TOC3"/>
            <w:rPr>
              <w:rFonts w:eastAsiaTheme="minorEastAsia" w:cstheme="minorBidi"/>
              <w:caps w:val="0"/>
              <w:kern w:val="0"/>
              <w:lang w:eastAsia="bg-BG"/>
            </w:rPr>
          </w:pPr>
          <w:hyperlink w:anchor="_Toc155347824" w:history="1">
            <w:r w:rsidRPr="00785F37">
              <w:rPr>
                <w:rStyle w:val="Hyperlink"/>
              </w:rPr>
              <w:t>2.4.4</w:t>
            </w:r>
            <w:r>
              <w:rPr>
                <w:rFonts w:eastAsiaTheme="minorEastAsia" w:cstheme="minorBidi"/>
                <w:caps w:val="0"/>
                <w:kern w:val="0"/>
                <w:lang w:eastAsia="bg-BG"/>
              </w:rPr>
              <w:tab/>
            </w:r>
            <w:r w:rsidRPr="00785F37">
              <w:rPr>
                <w:rStyle w:val="Hyperlink"/>
              </w:rPr>
              <w:t>Изискване 46: Мерки за преминаване от ситуация на аварийно облъчване към ситуация на съществуващо облъчване</w:t>
            </w:r>
            <w:r>
              <w:rPr>
                <w:webHidden/>
              </w:rPr>
              <w:tab/>
            </w:r>
            <w:r>
              <w:rPr>
                <w:webHidden/>
              </w:rPr>
              <w:fldChar w:fldCharType="begin"/>
            </w:r>
            <w:r>
              <w:rPr>
                <w:webHidden/>
              </w:rPr>
              <w:instrText xml:space="preserve"> PAGEREF _Toc155347824 \h </w:instrText>
            </w:r>
            <w:r>
              <w:rPr>
                <w:webHidden/>
              </w:rPr>
            </w:r>
            <w:r>
              <w:rPr>
                <w:webHidden/>
              </w:rPr>
              <w:fldChar w:fldCharType="separate"/>
            </w:r>
            <w:r>
              <w:rPr>
                <w:webHidden/>
              </w:rPr>
              <w:t>2-159</w:t>
            </w:r>
            <w:r>
              <w:rPr>
                <w:webHidden/>
              </w:rPr>
              <w:fldChar w:fldCharType="end"/>
            </w:r>
          </w:hyperlink>
        </w:p>
        <w:p w14:paraId="6F52681F" w14:textId="77777777" w:rsidR="00C469CC" w:rsidRDefault="00C469CC">
          <w:pPr>
            <w:pStyle w:val="TOC2"/>
            <w:rPr>
              <w:rFonts w:eastAsiaTheme="minorEastAsia" w:cstheme="minorBidi"/>
              <w:caps w:val="0"/>
              <w:kern w:val="0"/>
              <w:lang w:eastAsia="bg-BG"/>
            </w:rPr>
          </w:pPr>
          <w:hyperlink w:anchor="_Toc155347825" w:history="1">
            <w:r w:rsidRPr="00785F37">
              <w:rPr>
                <w:rStyle w:val="Hyperlink"/>
              </w:rPr>
              <w:t>2.5</w:t>
            </w:r>
            <w:r>
              <w:rPr>
                <w:rFonts w:eastAsiaTheme="minorEastAsia" w:cstheme="minorBidi"/>
                <w:caps w:val="0"/>
                <w:kern w:val="0"/>
                <w:lang w:eastAsia="bg-BG"/>
              </w:rPr>
              <w:tab/>
            </w:r>
            <w:r w:rsidRPr="00785F37">
              <w:rPr>
                <w:rStyle w:val="Hyperlink"/>
              </w:rPr>
              <w:t>Ситуации на съществуващо облъчване</w:t>
            </w:r>
            <w:r>
              <w:rPr>
                <w:webHidden/>
              </w:rPr>
              <w:tab/>
            </w:r>
            <w:r>
              <w:rPr>
                <w:webHidden/>
              </w:rPr>
              <w:fldChar w:fldCharType="begin"/>
            </w:r>
            <w:r>
              <w:rPr>
                <w:webHidden/>
              </w:rPr>
              <w:instrText xml:space="preserve"> PAGEREF _Toc155347825 \h </w:instrText>
            </w:r>
            <w:r>
              <w:rPr>
                <w:webHidden/>
              </w:rPr>
            </w:r>
            <w:r>
              <w:rPr>
                <w:webHidden/>
              </w:rPr>
              <w:fldChar w:fldCharType="separate"/>
            </w:r>
            <w:r>
              <w:rPr>
                <w:webHidden/>
              </w:rPr>
              <w:t>2-160</w:t>
            </w:r>
            <w:r>
              <w:rPr>
                <w:webHidden/>
              </w:rPr>
              <w:fldChar w:fldCharType="end"/>
            </w:r>
          </w:hyperlink>
        </w:p>
        <w:p w14:paraId="47716393" w14:textId="77777777" w:rsidR="00C469CC" w:rsidRDefault="00C469CC">
          <w:pPr>
            <w:pStyle w:val="TOC3"/>
            <w:rPr>
              <w:rFonts w:eastAsiaTheme="minorEastAsia" w:cstheme="minorBidi"/>
              <w:caps w:val="0"/>
              <w:kern w:val="0"/>
              <w:lang w:eastAsia="bg-BG"/>
            </w:rPr>
          </w:pPr>
          <w:hyperlink w:anchor="_Toc155347826" w:history="1">
            <w:r w:rsidRPr="00785F37">
              <w:rPr>
                <w:rStyle w:val="Hyperlink"/>
              </w:rPr>
              <w:t>2.5.1</w:t>
            </w:r>
            <w:r>
              <w:rPr>
                <w:rFonts w:eastAsiaTheme="minorEastAsia" w:cstheme="minorBidi"/>
                <w:caps w:val="0"/>
                <w:kern w:val="0"/>
                <w:lang w:eastAsia="bg-BG"/>
              </w:rPr>
              <w:tab/>
            </w:r>
            <w:r w:rsidRPr="00785F37">
              <w:rPr>
                <w:rStyle w:val="Hyperlink"/>
              </w:rPr>
              <w:t>Изискване 47: Отговорности на правителството по отношение на ситуации на съществуващо облъчване</w:t>
            </w:r>
            <w:r>
              <w:rPr>
                <w:webHidden/>
              </w:rPr>
              <w:tab/>
            </w:r>
            <w:r>
              <w:rPr>
                <w:webHidden/>
              </w:rPr>
              <w:fldChar w:fldCharType="begin"/>
            </w:r>
            <w:r>
              <w:rPr>
                <w:webHidden/>
              </w:rPr>
              <w:instrText xml:space="preserve"> PAGEREF _Toc155347826 \h </w:instrText>
            </w:r>
            <w:r>
              <w:rPr>
                <w:webHidden/>
              </w:rPr>
            </w:r>
            <w:r>
              <w:rPr>
                <w:webHidden/>
              </w:rPr>
              <w:fldChar w:fldCharType="separate"/>
            </w:r>
            <w:r>
              <w:rPr>
                <w:webHidden/>
              </w:rPr>
              <w:t>2-162</w:t>
            </w:r>
            <w:r>
              <w:rPr>
                <w:webHidden/>
              </w:rPr>
              <w:fldChar w:fldCharType="end"/>
            </w:r>
          </w:hyperlink>
        </w:p>
        <w:p w14:paraId="6405D10C" w14:textId="77777777" w:rsidR="00C469CC" w:rsidRDefault="00C469CC">
          <w:pPr>
            <w:pStyle w:val="TOC3"/>
            <w:rPr>
              <w:rFonts w:eastAsiaTheme="minorEastAsia" w:cstheme="minorBidi"/>
              <w:caps w:val="0"/>
              <w:kern w:val="0"/>
              <w:lang w:eastAsia="bg-BG"/>
            </w:rPr>
          </w:pPr>
          <w:hyperlink w:anchor="_Toc155347827" w:history="1">
            <w:r w:rsidRPr="00785F37">
              <w:rPr>
                <w:rStyle w:val="Hyperlink"/>
              </w:rPr>
              <w:t>2.5.2</w:t>
            </w:r>
            <w:r>
              <w:rPr>
                <w:rFonts w:eastAsiaTheme="minorEastAsia" w:cstheme="minorBidi"/>
                <w:caps w:val="0"/>
                <w:kern w:val="0"/>
                <w:lang w:eastAsia="bg-BG"/>
              </w:rPr>
              <w:tab/>
            </w:r>
            <w:r w:rsidRPr="00785F37">
              <w:rPr>
                <w:rStyle w:val="Hyperlink"/>
              </w:rPr>
              <w:t>Изискване 48: Обосновка на защитните действия и оптимизация на защитата и безопасността</w:t>
            </w:r>
            <w:r>
              <w:rPr>
                <w:webHidden/>
              </w:rPr>
              <w:tab/>
            </w:r>
            <w:r>
              <w:rPr>
                <w:webHidden/>
              </w:rPr>
              <w:fldChar w:fldCharType="begin"/>
            </w:r>
            <w:r>
              <w:rPr>
                <w:webHidden/>
              </w:rPr>
              <w:instrText xml:space="preserve"> PAGEREF _Toc155347827 \h </w:instrText>
            </w:r>
            <w:r>
              <w:rPr>
                <w:webHidden/>
              </w:rPr>
            </w:r>
            <w:r>
              <w:rPr>
                <w:webHidden/>
              </w:rPr>
              <w:fldChar w:fldCharType="separate"/>
            </w:r>
            <w:r>
              <w:rPr>
                <w:webHidden/>
              </w:rPr>
              <w:t>2-165</w:t>
            </w:r>
            <w:r>
              <w:rPr>
                <w:webHidden/>
              </w:rPr>
              <w:fldChar w:fldCharType="end"/>
            </w:r>
          </w:hyperlink>
        </w:p>
        <w:p w14:paraId="4E31A09C" w14:textId="77777777" w:rsidR="00C469CC" w:rsidRDefault="00C469CC">
          <w:pPr>
            <w:pStyle w:val="TOC3"/>
            <w:rPr>
              <w:rFonts w:eastAsiaTheme="minorEastAsia" w:cstheme="minorBidi"/>
              <w:caps w:val="0"/>
              <w:kern w:val="0"/>
              <w:lang w:eastAsia="bg-BG"/>
            </w:rPr>
          </w:pPr>
          <w:hyperlink w:anchor="_Toc155347828" w:history="1">
            <w:r w:rsidRPr="00785F37">
              <w:rPr>
                <w:rStyle w:val="Hyperlink"/>
              </w:rPr>
              <w:t>2.5.3</w:t>
            </w:r>
            <w:r>
              <w:rPr>
                <w:rFonts w:eastAsiaTheme="minorEastAsia" w:cstheme="minorBidi"/>
                <w:caps w:val="0"/>
                <w:kern w:val="0"/>
                <w:lang w:eastAsia="bg-BG"/>
              </w:rPr>
              <w:tab/>
            </w:r>
            <w:r w:rsidRPr="00785F37">
              <w:rPr>
                <w:rStyle w:val="Hyperlink"/>
              </w:rPr>
              <w:t>Изискване 49: Отговорности за възстановяване на зони с остатъчен радиоактивен материал</w:t>
            </w:r>
            <w:r>
              <w:rPr>
                <w:webHidden/>
              </w:rPr>
              <w:tab/>
            </w:r>
            <w:r>
              <w:rPr>
                <w:webHidden/>
              </w:rPr>
              <w:fldChar w:fldCharType="begin"/>
            </w:r>
            <w:r>
              <w:rPr>
                <w:webHidden/>
              </w:rPr>
              <w:instrText xml:space="preserve"> PAGEREF _Toc155347828 \h </w:instrText>
            </w:r>
            <w:r>
              <w:rPr>
                <w:webHidden/>
              </w:rPr>
            </w:r>
            <w:r>
              <w:rPr>
                <w:webHidden/>
              </w:rPr>
              <w:fldChar w:fldCharType="separate"/>
            </w:r>
            <w:r>
              <w:rPr>
                <w:webHidden/>
              </w:rPr>
              <w:t>2-166</w:t>
            </w:r>
            <w:r>
              <w:rPr>
                <w:webHidden/>
              </w:rPr>
              <w:fldChar w:fldCharType="end"/>
            </w:r>
          </w:hyperlink>
        </w:p>
        <w:p w14:paraId="60EB660C" w14:textId="77777777" w:rsidR="00C469CC" w:rsidRDefault="00C469CC">
          <w:pPr>
            <w:pStyle w:val="TOC3"/>
            <w:rPr>
              <w:rFonts w:eastAsiaTheme="minorEastAsia" w:cstheme="minorBidi"/>
              <w:caps w:val="0"/>
              <w:kern w:val="0"/>
              <w:lang w:eastAsia="bg-BG"/>
            </w:rPr>
          </w:pPr>
          <w:hyperlink w:anchor="_Toc155347829" w:history="1">
            <w:r w:rsidRPr="00785F37">
              <w:rPr>
                <w:rStyle w:val="Hyperlink"/>
              </w:rPr>
              <w:t>2.5.4</w:t>
            </w:r>
            <w:r>
              <w:rPr>
                <w:rFonts w:eastAsiaTheme="minorEastAsia" w:cstheme="minorBidi"/>
                <w:caps w:val="0"/>
                <w:kern w:val="0"/>
                <w:lang w:eastAsia="bg-BG"/>
              </w:rPr>
              <w:tab/>
            </w:r>
            <w:r w:rsidRPr="00785F37">
              <w:rPr>
                <w:rStyle w:val="Hyperlink"/>
              </w:rPr>
              <w:t>Изискване 50: Облъчване на населението, обусловено от присъствието на радон в закрити помещения</w:t>
            </w:r>
            <w:r>
              <w:rPr>
                <w:webHidden/>
              </w:rPr>
              <w:tab/>
            </w:r>
            <w:r>
              <w:rPr>
                <w:webHidden/>
              </w:rPr>
              <w:fldChar w:fldCharType="begin"/>
            </w:r>
            <w:r>
              <w:rPr>
                <w:webHidden/>
              </w:rPr>
              <w:instrText xml:space="preserve"> PAGEREF _Toc155347829 \h </w:instrText>
            </w:r>
            <w:r>
              <w:rPr>
                <w:webHidden/>
              </w:rPr>
            </w:r>
            <w:r>
              <w:rPr>
                <w:webHidden/>
              </w:rPr>
              <w:fldChar w:fldCharType="separate"/>
            </w:r>
            <w:r>
              <w:rPr>
                <w:webHidden/>
              </w:rPr>
              <w:t>2-173</w:t>
            </w:r>
            <w:r>
              <w:rPr>
                <w:webHidden/>
              </w:rPr>
              <w:fldChar w:fldCharType="end"/>
            </w:r>
          </w:hyperlink>
        </w:p>
        <w:p w14:paraId="41B6D159" w14:textId="77777777" w:rsidR="00C469CC" w:rsidRDefault="00C469CC">
          <w:pPr>
            <w:pStyle w:val="TOC3"/>
            <w:rPr>
              <w:rFonts w:eastAsiaTheme="minorEastAsia" w:cstheme="minorBidi"/>
              <w:caps w:val="0"/>
              <w:kern w:val="0"/>
              <w:lang w:eastAsia="bg-BG"/>
            </w:rPr>
          </w:pPr>
          <w:hyperlink w:anchor="_Toc155347830" w:history="1">
            <w:r w:rsidRPr="00785F37">
              <w:rPr>
                <w:rStyle w:val="Hyperlink"/>
              </w:rPr>
              <w:t>2.5.5</w:t>
            </w:r>
            <w:r>
              <w:rPr>
                <w:rFonts w:eastAsiaTheme="minorEastAsia" w:cstheme="minorBidi"/>
                <w:caps w:val="0"/>
                <w:kern w:val="0"/>
                <w:lang w:eastAsia="bg-BG"/>
              </w:rPr>
              <w:tab/>
            </w:r>
            <w:r w:rsidRPr="00785F37">
              <w:rPr>
                <w:rStyle w:val="Hyperlink"/>
              </w:rPr>
              <w:t>Изискване 51: Облъчване, обусловено от присъствието на радионуклиди в потребителски стоки</w:t>
            </w:r>
            <w:r>
              <w:rPr>
                <w:webHidden/>
              </w:rPr>
              <w:tab/>
            </w:r>
            <w:r>
              <w:rPr>
                <w:webHidden/>
              </w:rPr>
              <w:fldChar w:fldCharType="begin"/>
            </w:r>
            <w:r>
              <w:rPr>
                <w:webHidden/>
              </w:rPr>
              <w:instrText xml:space="preserve"> PAGEREF _Toc155347830 \h </w:instrText>
            </w:r>
            <w:r>
              <w:rPr>
                <w:webHidden/>
              </w:rPr>
            </w:r>
            <w:r>
              <w:rPr>
                <w:webHidden/>
              </w:rPr>
              <w:fldChar w:fldCharType="separate"/>
            </w:r>
            <w:r>
              <w:rPr>
                <w:webHidden/>
              </w:rPr>
              <w:t>2-176</w:t>
            </w:r>
            <w:r>
              <w:rPr>
                <w:webHidden/>
              </w:rPr>
              <w:fldChar w:fldCharType="end"/>
            </w:r>
          </w:hyperlink>
        </w:p>
        <w:p w14:paraId="1D8A07E5" w14:textId="77777777" w:rsidR="00C469CC" w:rsidRDefault="00C469CC">
          <w:pPr>
            <w:pStyle w:val="TOC3"/>
            <w:rPr>
              <w:rFonts w:eastAsiaTheme="minorEastAsia" w:cstheme="minorBidi"/>
              <w:caps w:val="0"/>
              <w:kern w:val="0"/>
              <w:lang w:eastAsia="bg-BG"/>
            </w:rPr>
          </w:pPr>
          <w:hyperlink w:anchor="_Toc155347831" w:history="1">
            <w:r w:rsidRPr="00785F37">
              <w:rPr>
                <w:rStyle w:val="Hyperlink"/>
              </w:rPr>
              <w:t>2.5.6</w:t>
            </w:r>
            <w:r>
              <w:rPr>
                <w:rFonts w:eastAsiaTheme="minorEastAsia" w:cstheme="minorBidi"/>
                <w:caps w:val="0"/>
                <w:kern w:val="0"/>
                <w:lang w:eastAsia="bg-BG"/>
              </w:rPr>
              <w:tab/>
            </w:r>
            <w:r w:rsidRPr="00785F37">
              <w:rPr>
                <w:rStyle w:val="Hyperlink"/>
              </w:rPr>
              <w:t>Изискване 52: Облъчване на работните места</w:t>
            </w:r>
            <w:r>
              <w:rPr>
                <w:webHidden/>
              </w:rPr>
              <w:tab/>
            </w:r>
            <w:r>
              <w:rPr>
                <w:webHidden/>
              </w:rPr>
              <w:fldChar w:fldCharType="begin"/>
            </w:r>
            <w:r>
              <w:rPr>
                <w:webHidden/>
              </w:rPr>
              <w:instrText xml:space="preserve"> PAGEREF _Toc155347831 \h </w:instrText>
            </w:r>
            <w:r>
              <w:rPr>
                <w:webHidden/>
              </w:rPr>
            </w:r>
            <w:r>
              <w:rPr>
                <w:webHidden/>
              </w:rPr>
              <w:fldChar w:fldCharType="separate"/>
            </w:r>
            <w:r>
              <w:rPr>
                <w:webHidden/>
              </w:rPr>
              <w:t>2-177</w:t>
            </w:r>
            <w:r>
              <w:rPr>
                <w:webHidden/>
              </w:rPr>
              <w:fldChar w:fldCharType="end"/>
            </w:r>
          </w:hyperlink>
        </w:p>
        <w:p w14:paraId="535D9762" w14:textId="77777777" w:rsidR="00C469CC" w:rsidRDefault="00C469CC">
          <w:pPr>
            <w:pStyle w:val="TOC1"/>
            <w:rPr>
              <w:rFonts w:eastAsiaTheme="minorEastAsia" w:cstheme="minorBidi"/>
              <w:kern w:val="0"/>
              <w:lang w:eastAsia="bg-BG"/>
            </w:rPr>
          </w:pPr>
          <w:hyperlink w:anchor="_Toc155347832" w:history="1">
            <w:r w:rsidRPr="00785F37">
              <w:rPr>
                <w:rStyle w:val="Hyperlink"/>
              </w:rPr>
              <w:t>3</w:t>
            </w:r>
            <w:r>
              <w:rPr>
                <w:rFonts w:eastAsiaTheme="minorEastAsia" w:cstheme="minorBidi"/>
                <w:kern w:val="0"/>
                <w:lang w:eastAsia="bg-BG"/>
              </w:rPr>
              <w:tab/>
            </w:r>
            <w:r w:rsidRPr="00785F37">
              <w:rPr>
                <w:rStyle w:val="Hyperlink"/>
              </w:rPr>
              <w:t>Референтни документи</w:t>
            </w:r>
            <w:r>
              <w:rPr>
                <w:webHidden/>
              </w:rPr>
              <w:tab/>
            </w:r>
            <w:r>
              <w:rPr>
                <w:webHidden/>
              </w:rPr>
              <w:fldChar w:fldCharType="begin"/>
            </w:r>
            <w:r>
              <w:rPr>
                <w:webHidden/>
              </w:rPr>
              <w:instrText xml:space="preserve"> PAGEREF _Toc155347832 \h </w:instrText>
            </w:r>
            <w:r>
              <w:rPr>
                <w:webHidden/>
              </w:rPr>
            </w:r>
            <w:r>
              <w:rPr>
                <w:webHidden/>
              </w:rPr>
              <w:fldChar w:fldCharType="separate"/>
            </w:r>
            <w:r>
              <w:rPr>
                <w:webHidden/>
              </w:rPr>
              <w:t>3-1</w:t>
            </w:r>
            <w:r>
              <w:rPr>
                <w:webHidden/>
              </w:rPr>
              <w:fldChar w:fldCharType="end"/>
            </w:r>
          </w:hyperlink>
        </w:p>
        <w:p w14:paraId="54838662" w14:textId="00B1EFDF" w:rsidR="00C8793C" w:rsidRDefault="00C8793C">
          <w:r>
            <w:rPr>
              <w:b/>
              <w:bCs/>
              <w:noProof/>
            </w:rPr>
            <w:fldChar w:fldCharType="end"/>
          </w:r>
        </w:p>
      </w:sdtContent>
    </w:sdt>
    <w:p w14:paraId="46EE779B" w14:textId="07D44F48" w:rsidR="00CC1B36" w:rsidRPr="002E1783" w:rsidRDefault="005527B6" w:rsidP="00BD3948">
      <w:pPr>
        <w:rPr>
          <w:lang w:val="en-US"/>
        </w:rPr>
      </w:pPr>
      <w:r>
        <w:fldChar w:fldCharType="begin"/>
      </w:r>
      <w:r>
        <w:instrText xml:space="preserve"> TOC \t "Heading 1,2,Heading 2,3,Heading 3,4,Heading 6,2,Center-11B,1" </w:instrText>
      </w:r>
      <w:r>
        <w:fldChar w:fldCharType="end"/>
      </w:r>
    </w:p>
    <w:p w14:paraId="456F4E66" w14:textId="77777777" w:rsidR="00CC1B36" w:rsidRDefault="00CC1B36" w:rsidP="00BD3948">
      <w:pPr>
        <w:rPr>
          <w:noProof/>
        </w:rPr>
      </w:pPr>
      <w:r>
        <w:br w:type="page"/>
      </w:r>
    </w:p>
    <w:p w14:paraId="1FE1A44C" w14:textId="77777777" w:rsidR="00CB0D1E" w:rsidRPr="00C469CC" w:rsidRDefault="000563B4" w:rsidP="00BD3948">
      <w:pPr>
        <w:pStyle w:val="Center-11B"/>
      </w:pPr>
      <w:bookmarkStart w:id="1" w:name="_GoBack"/>
      <w:bookmarkEnd w:id="1"/>
      <w:r w:rsidRPr="00C469CC">
        <w:lastRenderedPageBreak/>
        <w:t>СПИСЪК НА АКРОНИМИТЕ И СЪКРАЩЕНИЯТА</w:t>
      </w:r>
    </w:p>
    <w:p w14:paraId="02B88DFF" w14:textId="77777777" w:rsidR="00897D82" w:rsidRDefault="00897D82" w:rsidP="00897D82">
      <w:pPr>
        <w:pStyle w:val="Acronym0"/>
      </w:pPr>
    </w:p>
    <w:tbl>
      <w:tblPr>
        <w:tblStyle w:val="TableGrid1"/>
        <w:tblW w:w="0" w:type="auto"/>
        <w:tblLook w:val="04A0" w:firstRow="1" w:lastRow="0" w:firstColumn="1" w:lastColumn="0" w:noHBand="0" w:noVBand="1"/>
      </w:tblPr>
      <w:tblGrid>
        <w:gridCol w:w="1525"/>
        <w:gridCol w:w="6930"/>
      </w:tblGrid>
      <w:tr w:rsidR="005527B6" w:rsidRPr="00E375CF" w14:paraId="260B0839" w14:textId="77777777" w:rsidTr="00B723E1">
        <w:tc>
          <w:tcPr>
            <w:tcW w:w="1525" w:type="dxa"/>
          </w:tcPr>
          <w:p w14:paraId="5D3A1FF8" w14:textId="0D8F95B3" w:rsidR="005527B6" w:rsidRPr="00E375CF" w:rsidRDefault="005527B6" w:rsidP="005527B6">
            <w:pPr>
              <w:tabs>
                <w:tab w:val="clear" w:pos="720"/>
                <w:tab w:val="clear" w:pos="1296"/>
                <w:tab w:val="clear" w:pos="1872"/>
                <w:tab w:val="clear" w:pos="2448"/>
              </w:tabs>
              <w:spacing w:after="0" w:line="240" w:lineRule="auto"/>
              <w:rPr>
                <w:kern w:val="0"/>
              </w:rPr>
            </w:pPr>
            <w:bookmarkStart w:id="2" w:name="_Hlk91791993"/>
            <w:r w:rsidRPr="00736BCA">
              <w:t>AC</w:t>
            </w:r>
          </w:p>
        </w:tc>
        <w:tc>
          <w:tcPr>
            <w:tcW w:w="6930" w:type="dxa"/>
          </w:tcPr>
          <w:p w14:paraId="19E94BBB" w14:textId="586EBE0E" w:rsidR="005527B6" w:rsidRPr="00E375CF" w:rsidRDefault="005527B6" w:rsidP="005527B6">
            <w:pPr>
              <w:tabs>
                <w:tab w:val="clear" w:pos="720"/>
                <w:tab w:val="clear" w:pos="1296"/>
                <w:tab w:val="clear" w:pos="1872"/>
                <w:tab w:val="clear" w:pos="2448"/>
              </w:tabs>
              <w:spacing w:after="0" w:line="240" w:lineRule="auto"/>
              <w:rPr>
                <w:kern w:val="0"/>
              </w:rPr>
            </w:pPr>
            <w:r w:rsidRPr="00736BCA">
              <w:t>Променлив ток</w:t>
            </w:r>
          </w:p>
        </w:tc>
      </w:tr>
      <w:tr w:rsidR="005527B6" w:rsidRPr="00E375CF" w14:paraId="08E73870" w14:textId="77777777" w:rsidTr="00B723E1">
        <w:tc>
          <w:tcPr>
            <w:tcW w:w="1525" w:type="dxa"/>
          </w:tcPr>
          <w:p w14:paraId="10472A88" w14:textId="2B7E0A9C" w:rsidR="005527B6" w:rsidRPr="00E375CF" w:rsidRDefault="005527B6" w:rsidP="005527B6">
            <w:pPr>
              <w:tabs>
                <w:tab w:val="clear" w:pos="720"/>
                <w:tab w:val="clear" w:pos="1296"/>
                <w:tab w:val="clear" w:pos="1872"/>
                <w:tab w:val="clear" w:pos="2448"/>
              </w:tabs>
              <w:spacing w:after="0" w:line="240" w:lineRule="auto"/>
              <w:rPr>
                <w:kern w:val="0"/>
              </w:rPr>
            </w:pPr>
            <w:r w:rsidRPr="00736BCA">
              <w:t>ALARA</w:t>
            </w:r>
          </w:p>
        </w:tc>
        <w:tc>
          <w:tcPr>
            <w:tcW w:w="6930" w:type="dxa"/>
          </w:tcPr>
          <w:p w14:paraId="15376340" w14:textId="1D69CF40" w:rsidR="005527B6" w:rsidRPr="00E375CF" w:rsidRDefault="005527B6" w:rsidP="005527B6">
            <w:pPr>
              <w:tabs>
                <w:tab w:val="clear" w:pos="720"/>
                <w:tab w:val="clear" w:pos="1296"/>
                <w:tab w:val="clear" w:pos="1872"/>
                <w:tab w:val="clear" w:pos="2448"/>
              </w:tabs>
              <w:spacing w:after="0" w:line="240" w:lineRule="auto"/>
              <w:rPr>
                <w:kern w:val="0"/>
              </w:rPr>
            </w:pPr>
            <w:r w:rsidRPr="00736BCA">
              <w:t>Толкова ниско, колкото е разумно постижимо</w:t>
            </w:r>
          </w:p>
        </w:tc>
      </w:tr>
      <w:tr w:rsidR="005527B6" w:rsidRPr="00E375CF" w14:paraId="7961FB16" w14:textId="77777777" w:rsidTr="00B723E1">
        <w:tc>
          <w:tcPr>
            <w:tcW w:w="1525" w:type="dxa"/>
          </w:tcPr>
          <w:p w14:paraId="296CDE48" w14:textId="7F409626" w:rsidR="005527B6" w:rsidRPr="00E375CF" w:rsidRDefault="005527B6" w:rsidP="005527B6">
            <w:pPr>
              <w:tabs>
                <w:tab w:val="clear" w:pos="720"/>
                <w:tab w:val="clear" w:pos="1296"/>
                <w:tab w:val="clear" w:pos="1872"/>
                <w:tab w:val="clear" w:pos="2448"/>
              </w:tabs>
              <w:spacing w:after="0" w:line="240" w:lineRule="auto"/>
              <w:rPr>
                <w:kern w:val="0"/>
              </w:rPr>
            </w:pPr>
            <w:r w:rsidRPr="00736BCA">
              <w:t>ALWR</w:t>
            </w:r>
          </w:p>
        </w:tc>
        <w:tc>
          <w:tcPr>
            <w:tcW w:w="6930" w:type="dxa"/>
          </w:tcPr>
          <w:p w14:paraId="50982F78" w14:textId="6BCD3014" w:rsidR="005527B6" w:rsidRPr="00E375CF" w:rsidRDefault="005527B6" w:rsidP="005527B6">
            <w:pPr>
              <w:tabs>
                <w:tab w:val="clear" w:pos="720"/>
                <w:tab w:val="clear" w:pos="1296"/>
                <w:tab w:val="clear" w:pos="1872"/>
                <w:tab w:val="clear" w:pos="2448"/>
              </w:tabs>
              <w:spacing w:after="0" w:line="240" w:lineRule="auto"/>
              <w:rPr>
                <w:kern w:val="0"/>
              </w:rPr>
            </w:pPr>
            <w:r w:rsidRPr="00736BCA">
              <w:t xml:space="preserve">Усъвършенстван леководен реактор </w:t>
            </w:r>
          </w:p>
        </w:tc>
      </w:tr>
      <w:tr w:rsidR="005527B6" w:rsidRPr="00E375CF" w14:paraId="2F676021" w14:textId="77777777" w:rsidTr="00B723E1">
        <w:tc>
          <w:tcPr>
            <w:tcW w:w="1525" w:type="dxa"/>
          </w:tcPr>
          <w:p w14:paraId="3EEA7BCB" w14:textId="39BA6E45" w:rsidR="005527B6" w:rsidRPr="00E375CF" w:rsidRDefault="005527B6" w:rsidP="005527B6">
            <w:pPr>
              <w:tabs>
                <w:tab w:val="clear" w:pos="720"/>
                <w:tab w:val="clear" w:pos="1296"/>
                <w:tab w:val="clear" w:pos="1872"/>
                <w:tab w:val="clear" w:pos="2448"/>
              </w:tabs>
              <w:spacing w:after="0" w:line="240" w:lineRule="auto"/>
              <w:rPr>
                <w:kern w:val="0"/>
              </w:rPr>
            </w:pPr>
            <w:r w:rsidRPr="00736BCA">
              <w:t>ANSI</w:t>
            </w:r>
          </w:p>
        </w:tc>
        <w:tc>
          <w:tcPr>
            <w:tcW w:w="6930" w:type="dxa"/>
          </w:tcPr>
          <w:p w14:paraId="449BFDE0" w14:textId="40252269" w:rsidR="005527B6" w:rsidRPr="00E375CF" w:rsidRDefault="005527B6" w:rsidP="005527B6">
            <w:pPr>
              <w:tabs>
                <w:tab w:val="clear" w:pos="720"/>
                <w:tab w:val="clear" w:pos="1296"/>
                <w:tab w:val="clear" w:pos="1872"/>
                <w:tab w:val="clear" w:pos="2448"/>
              </w:tabs>
              <w:spacing w:after="0" w:line="240" w:lineRule="auto"/>
              <w:rPr>
                <w:kern w:val="0"/>
              </w:rPr>
            </w:pPr>
            <w:r w:rsidRPr="00736BCA">
              <w:t>Американски национален институт по стандартизация</w:t>
            </w:r>
          </w:p>
        </w:tc>
      </w:tr>
      <w:tr w:rsidR="005527B6" w:rsidRPr="00E375CF" w14:paraId="06B7A8EB" w14:textId="77777777" w:rsidTr="00B723E1">
        <w:tc>
          <w:tcPr>
            <w:tcW w:w="1525" w:type="dxa"/>
          </w:tcPr>
          <w:p w14:paraId="2BDF9F17" w14:textId="6BA5EBB6" w:rsidR="005527B6" w:rsidRPr="00E375CF" w:rsidRDefault="005527B6" w:rsidP="005527B6">
            <w:pPr>
              <w:tabs>
                <w:tab w:val="clear" w:pos="720"/>
                <w:tab w:val="clear" w:pos="1296"/>
                <w:tab w:val="clear" w:pos="1872"/>
                <w:tab w:val="clear" w:pos="2448"/>
              </w:tabs>
              <w:spacing w:after="0" w:line="240" w:lineRule="auto"/>
              <w:rPr>
                <w:kern w:val="0"/>
              </w:rPr>
            </w:pPr>
            <w:r w:rsidRPr="00736BCA">
              <w:t>AOO</w:t>
            </w:r>
          </w:p>
        </w:tc>
        <w:tc>
          <w:tcPr>
            <w:tcW w:w="6930" w:type="dxa"/>
          </w:tcPr>
          <w:p w14:paraId="3CE70BAC" w14:textId="57508F97" w:rsidR="005527B6" w:rsidRPr="00E375CF" w:rsidRDefault="005527B6" w:rsidP="005527B6">
            <w:pPr>
              <w:tabs>
                <w:tab w:val="clear" w:pos="720"/>
                <w:tab w:val="clear" w:pos="1296"/>
                <w:tab w:val="clear" w:pos="1872"/>
                <w:tab w:val="clear" w:pos="2448"/>
              </w:tabs>
              <w:spacing w:after="0" w:line="240" w:lineRule="auto"/>
              <w:rPr>
                <w:kern w:val="0"/>
              </w:rPr>
            </w:pPr>
            <w:r w:rsidRPr="00736BCA">
              <w:t>Очаквано експлоатационно събитие</w:t>
            </w:r>
          </w:p>
        </w:tc>
      </w:tr>
      <w:tr w:rsidR="005527B6" w:rsidRPr="00E375CF" w14:paraId="47CD4A2D" w14:textId="77777777" w:rsidTr="00B723E1">
        <w:tc>
          <w:tcPr>
            <w:tcW w:w="1525" w:type="dxa"/>
          </w:tcPr>
          <w:p w14:paraId="4ED7F445" w14:textId="48A1720A" w:rsidR="005527B6" w:rsidRPr="00E375CF" w:rsidRDefault="005527B6" w:rsidP="005527B6">
            <w:pPr>
              <w:tabs>
                <w:tab w:val="clear" w:pos="720"/>
                <w:tab w:val="clear" w:pos="1296"/>
                <w:tab w:val="clear" w:pos="1872"/>
                <w:tab w:val="clear" w:pos="2448"/>
              </w:tabs>
              <w:spacing w:after="0" w:line="240" w:lineRule="auto"/>
              <w:rPr>
                <w:kern w:val="0"/>
              </w:rPr>
            </w:pPr>
            <w:r w:rsidRPr="00736BCA">
              <w:t>AOP</w:t>
            </w:r>
          </w:p>
        </w:tc>
        <w:tc>
          <w:tcPr>
            <w:tcW w:w="6930" w:type="dxa"/>
          </w:tcPr>
          <w:p w14:paraId="4DC2DE0C" w14:textId="74A0CFD5" w:rsidR="005527B6" w:rsidRPr="00E375CF" w:rsidRDefault="005527B6" w:rsidP="005527B6">
            <w:pPr>
              <w:tabs>
                <w:tab w:val="clear" w:pos="720"/>
                <w:tab w:val="clear" w:pos="1296"/>
                <w:tab w:val="clear" w:pos="1872"/>
                <w:tab w:val="clear" w:pos="2448"/>
              </w:tabs>
              <w:spacing w:after="0" w:line="240" w:lineRule="auto"/>
              <w:rPr>
                <w:kern w:val="0"/>
              </w:rPr>
            </w:pPr>
            <w:r w:rsidRPr="00736BCA">
              <w:t>Експлоатационни инструкции при нарушени нормални условия на експлоатация</w:t>
            </w:r>
          </w:p>
        </w:tc>
      </w:tr>
      <w:tr w:rsidR="005527B6" w:rsidRPr="00E375CF" w14:paraId="79B41B1E" w14:textId="77777777" w:rsidTr="00B723E1">
        <w:tc>
          <w:tcPr>
            <w:tcW w:w="1525" w:type="dxa"/>
          </w:tcPr>
          <w:p w14:paraId="29A375B1" w14:textId="5852154A" w:rsidR="005527B6" w:rsidRPr="00E375CF" w:rsidRDefault="005527B6" w:rsidP="005527B6">
            <w:pPr>
              <w:tabs>
                <w:tab w:val="clear" w:pos="720"/>
                <w:tab w:val="clear" w:pos="1296"/>
                <w:tab w:val="clear" w:pos="1872"/>
                <w:tab w:val="clear" w:pos="2448"/>
              </w:tabs>
              <w:spacing w:after="0" w:line="240" w:lineRule="auto"/>
              <w:rPr>
                <w:kern w:val="0"/>
              </w:rPr>
            </w:pPr>
            <w:r w:rsidRPr="00736BCA">
              <w:t>ASME</w:t>
            </w:r>
          </w:p>
        </w:tc>
        <w:tc>
          <w:tcPr>
            <w:tcW w:w="6930" w:type="dxa"/>
          </w:tcPr>
          <w:p w14:paraId="7EE6DCDE" w14:textId="1EF5264B" w:rsidR="005527B6" w:rsidRPr="00E375CF" w:rsidRDefault="005527B6" w:rsidP="005527B6">
            <w:pPr>
              <w:tabs>
                <w:tab w:val="clear" w:pos="720"/>
                <w:tab w:val="clear" w:pos="1296"/>
                <w:tab w:val="clear" w:pos="1872"/>
                <w:tab w:val="clear" w:pos="2448"/>
              </w:tabs>
              <w:spacing w:after="0" w:line="240" w:lineRule="auto"/>
              <w:rPr>
                <w:kern w:val="0"/>
              </w:rPr>
            </w:pPr>
            <w:r w:rsidRPr="00736BCA">
              <w:t>Американско дружество на машинните инженери</w:t>
            </w:r>
          </w:p>
        </w:tc>
      </w:tr>
      <w:tr w:rsidR="005527B6" w:rsidRPr="00E375CF" w14:paraId="2A60EED2" w14:textId="77777777" w:rsidTr="00B723E1">
        <w:tc>
          <w:tcPr>
            <w:tcW w:w="1525" w:type="dxa"/>
          </w:tcPr>
          <w:p w14:paraId="0D815273" w14:textId="3DCACD42" w:rsidR="005527B6" w:rsidRPr="00E375CF" w:rsidRDefault="005527B6" w:rsidP="005527B6">
            <w:pPr>
              <w:tabs>
                <w:tab w:val="clear" w:pos="720"/>
                <w:tab w:val="clear" w:pos="1296"/>
                <w:tab w:val="clear" w:pos="1872"/>
                <w:tab w:val="clear" w:pos="2448"/>
              </w:tabs>
              <w:spacing w:after="0" w:line="240" w:lineRule="auto"/>
              <w:rPr>
                <w:kern w:val="0"/>
              </w:rPr>
            </w:pPr>
            <w:r w:rsidRPr="00736BCA">
              <w:t>ATWS</w:t>
            </w:r>
          </w:p>
        </w:tc>
        <w:tc>
          <w:tcPr>
            <w:tcW w:w="6930" w:type="dxa"/>
          </w:tcPr>
          <w:p w14:paraId="3544C5B1" w14:textId="283137CB" w:rsidR="005527B6" w:rsidRPr="00E375CF" w:rsidRDefault="005527B6" w:rsidP="005527B6">
            <w:pPr>
              <w:tabs>
                <w:tab w:val="clear" w:pos="720"/>
                <w:tab w:val="clear" w:pos="1296"/>
                <w:tab w:val="clear" w:pos="1872"/>
                <w:tab w:val="clear" w:pos="2448"/>
              </w:tabs>
              <w:spacing w:after="0" w:line="240" w:lineRule="auto"/>
              <w:rPr>
                <w:kern w:val="0"/>
              </w:rPr>
            </w:pPr>
            <w:r w:rsidRPr="00736BCA">
              <w:t>Очаквани преходни процеси без сработване на аварийната защита</w:t>
            </w:r>
          </w:p>
        </w:tc>
      </w:tr>
      <w:tr w:rsidR="005527B6" w:rsidRPr="00E375CF" w14:paraId="70E45B04" w14:textId="77777777" w:rsidTr="00B723E1">
        <w:tc>
          <w:tcPr>
            <w:tcW w:w="1525" w:type="dxa"/>
          </w:tcPr>
          <w:p w14:paraId="63B6A7C2" w14:textId="03361FEC" w:rsidR="005527B6" w:rsidRPr="00E375CF" w:rsidRDefault="005527B6" w:rsidP="005527B6">
            <w:pPr>
              <w:tabs>
                <w:tab w:val="clear" w:pos="720"/>
                <w:tab w:val="clear" w:pos="1296"/>
                <w:tab w:val="clear" w:pos="1872"/>
                <w:tab w:val="clear" w:pos="2448"/>
              </w:tabs>
              <w:spacing w:after="0" w:line="240" w:lineRule="auto"/>
              <w:rPr>
                <w:kern w:val="0"/>
              </w:rPr>
            </w:pPr>
            <w:r w:rsidRPr="00736BCA">
              <w:t>CFR</w:t>
            </w:r>
          </w:p>
        </w:tc>
        <w:tc>
          <w:tcPr>
            <w:tcW w:w="6930" w:type="dxa"/>
          </w:tcPr>
          <w:p w14:paraId="714EA387" w14:textId="3719A852" w:rsidR="005527B6" w:rsidRPr="00E375CF" w:rsidRDefault="005527B6" w:rsidP="005527B6">
            <w:pPr>
              <w:tabs>
                <w:tab w:val="clear" w:pos="720"/>
                <w:tab w:val="clear" w:pos="1296"/>
                <w:tab w:val="clear" w:pos="1872"/>
                <w:tab w:val="clear" w:pos="2448"/>
              </w:tabs>
              <w:spacing w:after="0" w:line="240" w:lineRule="auto"/>
              <w:rPr>
                <w:kern w:val="0"/>
              </w:rPr>
            </w:pPr>
            <w:r w:rsidRPr="00736BCA">
              <w:t>Кодекс на федералните наредби (САЩ)</w:t>
            </w:r>
          </w:p>
        </w:tc>
      </w:tr>
      <w:tr w:rsidR="005527B6" w:rsidRPr="00E375CF" w14:paraId="11B1D9BD" w14:textId="77777777" w:rsidTr="00B723E1">
        <w:tc>
          <w:tcPr>
            <w:tcW w:w="1525" w:type="dxa"/>
          </w:tcPr>
          <w:p w14:paraId="038494BB" w14:textId="6E5B2D20" w:rsidR="005527B6" w:rsidRPr="00E375CF" w:rsidRDefault="005527B6" w:rsidP="005527B6">
            <w:pPr>
              <w:tabs>
                <w:tab w:val="clear" w:pos="720"/>
                <w:tab w:val="clear" w:pos="1296"/>
                <w:tab w:val="clear" w:pos="1872"/>
                <w:tab w:val="clear" w:pos="2448"/>
              </w:tabs>
              <w:spacing w:after="0" w:line="240" w:lineRule="auto"/>
              <w:rPr>
                <w:kern w:val="0"/>
              </w:rPr>
            </w:pPr>
            <w:r w:rsidRPr="00736BCA">
              <w:t>COM</w:t>
            </w:r>
          </w:p>
        </w:tc>
        <w:tc>
          <w:tcPr>
            <w:tcW w:w="6930" w:type="dxa"/>
          </w:tcPr>
          <w:p w14:paraId="104A692F" w14:textId="3ADF0E93" w:rsidR="005527B6" w:rsidRPr="00E375CF" w:rsidRDefault="005527B6" w:rsidP="005527B6">
            <w:pPr>
              <w:tabs>
                <w:tab w:val="clear" w:pos="720"/>
                <w:tab w:val="clear" w:pos="1296"/>
                <w:tab w:val="clear" w:pos="1872"/>
                <w:tab w:val="clear" w:pos="2448"/>
              </w:tabs>
              <w:spacing w:after="0" w:line="240" w:lineRule="auto"/>
              <w:rPr>
                <w:kern w:val="0"/>
              </w:rPr>
            </w:pPr>
            <w:r w:rsidRPr="00736BCA">
              <w:t>Съответстващ на изискванията</w:t>
            </w:r>
          </w:p>
        </w:tc>
      </w:tr>
      <w:tr w:rsidR="005527B6" w:rsidRPr="00E375CF" w14:paraId="2196CAF2" w14:textId="77777777" w:rsidTr="00B723E1">
        <w:tc>
          <w:tcPr>
            <w:tcW w:w="1525" w:type="dxa"/>
          </w:tcPr>
          <w:p w14:paraId="6EFADAD5" w14:textId="1A3EF140" w:rsidR="005527B6" w:rsidRPr="00E375CF" w:rsidRDefault="005527B6" w:rsidP="005527B6">
            <w:pPr>
              <w:tabs>
                <w:tab w:val="clear" w:pos="720"/>
                <w:tab w:val="clear" w:pos="1296"/>
                <w:tab w:val="clear" w:pos="1872"/>
                <w:tab w:val="clear" w:pos="2448"/>
              </w:tabs>
              <w:spacing w:after="0" w:line="240" w:lineRule="auto"/>
              <w:rPr>
                <w:kern w:val="0"/>
              </w:rPr>
            </w:pPr>
            <w:r w:rsidRPr="00736BCA">
              <w:t>CWO</w:t>
            </w:r>
          </w:p>
        </w:tc>
        <w:tc>
          <w:tcPr>
            <w:tcW w:w="6930" w:type="dxa"/>
          </w:tcPr>
          <w:p w14:paraId="28AA1FE8" w14:textId="7BB9E18A" w:rsidR="005527B6" w:rsidRPr="00E375CF" w:rsidRDefault="005527B6" w:rsidP="005527B6">
            <w:pPr>
              <w:tabs>
                <w:tab w:val="clear" w:pos="720"/>
                <w:tab w:val="clear" w:pos="1296"/>
                <w:tab w:val="clear" w:pos="1872"/>
                <w:tab w:val="clear" w:pos="2448"/>
              </w:tabs>
              <w:spacing w:after="0" w:line="240" w:lineRule="auto"/>
              <w:rPr>
                <w:kern w:val="0"/>
              </w:rPr>
            </w:pPr>
            <w:r w:rsidRPr="00736BCA">
              <w:t>Съответствие с целта</w:t>
            </w:r>
          </w:p>
        </w:tc>
      </w:tr>
      <w:tr w:rsidR="005527B6" w:rsidRPr="00E375CF" w14:paraId="0E501D31" w14:textId="77777777" w:rsidTr="00B723E1">
        <w:tc>
          <w:tcPr>
            <w:tcW w:w="1525" w:type="dxa"/>
          </w:tcPr>
          <w:p w14:paraId="30F45A37" w14:textId="250E5B4D" w:rsidR="005527B6" w:rsidRPr="00E375CF" w:rsidRDefault="005527B6" w:rsidP="005527B6">
            <w:pPr>
              <w:tabs>
                <w:tab w:val="clear" w:pos="720"/>
                <w:tab w:val="clear" w:pos="1296"/>
                <w:tab w:val="clear" w:pos="1872"/>
                <w:tab w:val="clear" w:pos="2448"/>
              </w:tabs>
              <w:spacing w:after="0" w:line="240" w:lineRule="auto"/>
              <w:rPr>
                <w:kern w:val="0"/>
              </w:rPr>
            </w:pPr>
            <w:r w:rsidRPr="00736BCA">
              <w:t>DC</w:t>
            </w:r>
          </w:p>
        </w:tc>
        <w:tc>
          <w:tcPr>
            <w:tcW w:w="6930" w:type="dxa"/>
          </w:tcPr>
          <w:p w14:paraId="2935C194" w14:textId="32D16FAA" w:rsidR="005527B6" w:rsidRPr="00E375CF" w:rsidRDefault="005527B6" w:rsidP="005527B6">
            <w:pPr>
              <w:tabs>
                <w:tab w:val="clear" w:pos="720"/>
                <w:tab w:val="clear" w:pos="1296"/>
                <w:tab w:val="clear" w:pos="1872"/>
                <w:tab w:val="clear" w:pos="2448"/>
              </w:tabs>
              <w:spacing w:after="0" w:line="240" w:lineRule="auto"/>
              <w:rPr>
                <w:kern w:val="0"/>
              </w:rPr>
            </w:pPr>
            <w:r w:rsidRPr="00736BCA">
              <w:t>Постоянен ток</w:t>
            </w:r>
          </w:p>
        </w:tc>
      </w:tr>
      <w:tr w:rsidR="005527B6" w:rsidRPr="00E375CF" w14:paraId="6395068D" w14:textId="77777777" w:rsidTr="00B723E1">
        <w:tc>
          <w:tcPr>
            <w:tcW w:w="1525" w:type="dxa"/>
          </w:tcPr>
          <w:p w14:paraId="327C8CC9" w14:textId="27B5ACAB" w:rsidR="005527B6" w:rsidRPr="00E375CF" w:rsidRDefault="005527B6" w:rsidP="005527B6">
            <w:pPr>
              <w:tabs>
                <w:tab w:val="clear" w:pos="720"/>
                <w:tab w:val="clear" w:pos="1296"/>
                <w:tab w:val="clear" w:pos="1872"/>
                <w:tab w:val="clear" w:pos="2448"/>
              </w:tabs>
              <w:spacing w:after="0" w:line="240" w:lineRule="auto"/>
              <w:rPr>
                <w:kern w:val="0"/>
              </w:rPr>
            </w:pPr>
            <w:r w:rsidRPr="00736BCA">
              <w:t>ECS</w:t>
            </w:r>
          </w:p>
        </w:tc>
        <w:tc>
          <w:tcPr>
            <w:tcW w:w="6930" w:type="dxa"/>
          </w:tcPr>
          <w:p w14:paraId="6F31C665" w14:textId="7FADE2C6" w:rsidR="005527B6" w:rsidRPr="00E375CF" w:rsidRDefault="005527B6" w:rsidP="005527B6">
            <w:pPr>
              <w:tabs>
                <w:tab w:val="clear" w:pos="720"/>
                <w:tab w:val="clear" w:pos="1296"/>
                <w:tab w:val="clear" w:pos="1872"/>
                <w:tab w:val="clear" w:pos="2448"/>
              </w:tabs>
              <w:spacing w:after="0" w:line="240" w:lineRule="auto"/>
              <w:rPr>
                <w:kern w:val="0"/>
              </w:rPr>
            </w:pPr>
            <w:r w:rsidRPr="00736BCA">
              <w:t>Основна система за захранване с променлив ток, различна от клас 1E</w:t>
            </w:r>
          </w:p>
        </w:tc>
      </w:tr>
      <w:tr w:rsidR="005527B6" w:rsidRPr="00E375CF" w14:paraId="0D2BA5FC" w14:textId="77777777" w:rsidTr="00B723E1">
        <w:tc>
          <w:tcPr>
            <w:tcW w:w="1525" w:type="dxa"/>
          </w:tcPr>
          <w:p w14:paraId="672944C8" w14:textId="4CE1D125" w:rsidR="005527B6" w:rsidRPr="00E375CF" w:rsidRDefault="005527B6" w:rsidP="005527B6">
            <w:pPr>
              <w:tabs>
                <w:tab w:val="clear" w:pos="720"/>
                <w:tab w:val="clear" w:pos="1296"/>
                <w:tab w:val="clear" w:pos="1872"/>
                <w:tab w:val="clear" w:pos="2448"/>
              </w:tabs>
              <w:spacing w:after="0" w:line="240" w:lineRule="auto"/>
              <w:rPr>
                <w:kern w:val="0"/>
              </w:rPr>
            </w:pPr>
            <w:r w:rsidRPr="00736BCA">
              <w:t>EDS</w:t>
            </w:r>
          </w:p>
        </w:tc>
        <w:tc>
          <w:tcPr>
            <w:tcW w:w="6930" w:type="dxa"/>
          </w:tcPr>
          <w:p w14:paraId="3540ACA2" w14:textId="0E21652A" w:rsidR="005527B6" w:rsidRPr="00E375CF" w:rsidRDefault="005527B6" w:rsidP="005527B6">
            <w:pPr>
              <w:tabs>
                <w:tab w:val="clear" w:pos="720"/>
                <w:tab w:val="clear" w:pos="1296"/>
                <w:tab w:val="clear" w:pos="1872"/>
                <w:tab w:val="clear" w:pos="2448"/>
              </w:tabs>
              <w:spacing w:after="0" w:line="240" w:lineRule="auto"/>
              <w:rPr>
                <w:kern w:val="0"/>
              </w:rPr>
            </w:pPr>
            <w:r w:rsidRPr="00736BCA">
              <w:t>Захранваща система и UPS, различни от клас 1E</w:t>
            </w:r>
          </w:p>
        </w:tc>
      </w:tr>
      <w:tr w:rsidR="005527B6" w:rsidRPr="00E375CF" w14:paraId="354B6C34" w14:textId="77777777" w:rsidTr="00B723E1">
        <w:tc>
          <w:tcPr>
            <w:tcW w:w="1525" w:type="dxa"/>
          </w:tcPr>
          <w:p w14:paraId="5E8B73EF" w14:textId="3232C53D" w:rsidR="005527B6" w:rsidRPr="00E375CF" w:rsidRDefault="005527B6" w:rsidP="005527B6">
            <w:pPr>
              <w:tabs>
                <w:tab w:val="clear" w:pos="720"/>
                <w:tab w:val="clear" w:pos="1296"/>
                <w:tab w:val="clear" w:pos="1872"/>
                <w:tab w:val="clear" w:pos="2448"/>
              </w:tabs>
              <w:spacing w:after="0" w:line="240" w:lineRule="auto"/>
              <w:rPr>
                <w:kern w:val="0"/>
              </w:rPr>
            </w:pPr>
            <w:r w:rsidRPr="00736BCA">
              <w:t>EOF</w:t>
            </w:r>
          </w:p>
        </w:tc>
        <w:tc>
          <w:tcPr>
            <w:tcW w:w="6930" w:type="dxa"/>
          </w:tcPr>
          <w:p w14:paraId="26EB8B4A" w14:textId="15930A1B" w:rsidR="005527B6" w:rsidRPr="00E375CF" w:rsidRDefault="005527B6" w:rsidP="005527B6">
            <w:pPr>
              <w:tabs>
                <w:tab w:val="clear" w:pos="720"/>
                <w:tab w:val="clear" w:pos="1296"/>
                <w:tab w:val="clear" w:pos="1872"/>
                <w:tab w:val="clear" w:pos="2448"/>
              </w:tabs>
              <w:spacing w:after="0" w:line="240" w:lineRule="auto"/>
              <w:rPr>
                <w:kern w:val="0"/>
              </w:rPr>
            </w:pPr>
            <w:r w:rsidRPr="00736BCA">
              <w:t>Авариен команден пункт, предназначен за работа в аварийни ситуации</w:t>
            </w:r>
          </w:p>
        </w:tc>
      </w:tr>
      <w:tr w:rsidR="005527B6" w:rsidRPr="00E375CF" w14:paraId="766738AE" w14:textId="77777777" w:rsidTr="00B723E1">
        <w:tc>
          <w:tcPr>
            <w:tcW w:w="1525" w:type="dxa"/>
          </w:tcPr>
          <w:p w14:paraId="2982C3F5" w14:textId="44F77477" w:rsidR="005527B6" w:rsidRPr="00E375CF" w:rsidRDefault="005527B6" w:rsidP="005527B6">
            <w:pPr>
              <w:tabs>
                <w:tab w:val="clear" w:pos="720"/>
                <w:tab w:val="clear" w:pos="1296"/>
                <w:tab w:val="clear" w:pos="1872"/>
                <w:tab w:val="clear" w:pos="2448"/>
              </w:tabs>
              <w:spacing w:after="0" w:line="240" w:lineRule="auto"/>
              <w:rPr>
                <w:kern w:val="0"/>
              </w:rPr>
            </w:pPr>
            <w:r w:rsidRPr="00736BCA">
              <w:t>EP</w:t>
            </w:r>
          </w:p>
        </w:tc>
        <w:tc>
          <w:tcPr>
            <w:tcW w:w="6930" w:type="dxa"/>
          </w:tcPr>
          <w:p w14:paraId="18A46945" w14:textId="643BDE15" w:rsidR="005527B6" w:rsidRPr="00E375CF" w:rsidRDefault="005527B6" w:rsidP="005527B6">
            <w:pPr>
              <w:tabs>
                <w:tab w:val="clear" w:pos="720"/>
                <w:tab w:val="clear" w:pos="1296"/>
                <w:tab w:val="clear" w:pos="1872"/>
                <w:tab w:val="clear" w:pos="2448"/>
              </w:tabs>
              <w:spacing w:after="0" w:line="240" w:lineRule="auto"/>
              <w:rPr>
                <w:kern w:val="0"/>
              </w:rPr>
            </w:pPr>
            <w:r w:rsidRPr="00736BCA">
              <w:t>Външна страна</w:t>
            </w:r>
          </w:p>
        </w:tc>
      </w:tr>
      <w:tr w:rsidR="005527B6" w:rsidRPr="00E375CF" w14:paraId="0944FA22" w14:textId="77777777" w:rsidTr="00B723E1">
        <w:tc>
          <w:tcPr>
            <w:tcW w:w="1525" w:type="dxa"/>
          </w:tcPr>
          <w:p w14:paraId="70F66963" w14:textId="67C3B833" w:rsidR="005527B6" w:rsidRPr="00E375CF" w:rsidRDefault="005527B6" w:rsidP="005527B6">
            <w:pPr>
              <w:tabs>
                <w:tab w:val="clear" w:pos="720"/>
                <w:tab w:val="clear" w:pos="1296"/>
                <w:tab w:val="clear" w:pos="1872"/>
                <w:tab w:val="clear" w:pos="2448"/>
              </w:tabs>
              <w:spacing w:after="0" w:line="240" w:lineRule="auto"/>
              <w:rPr>
                <w:kern w:val="0"/>
              </w:rPr>
            </w:pPr>
            <w:r w:rsidRPr="00736BCA">
              <w:t>EUR</w:t>
            </w:r>
          </w:p>
        </w:tc>
        <w:tc>
          <w:tcPr>
            <w:tcW w:w="6930" w:type="dxa"/>
          </w:tcPr>
          <w:p w14:paraId="3835F6AC" w14:textId="5A7E5DEF" w:rsidR="005527B6" w:rsidRPr="00E375CF" w:rsidRDefault="005527B6" w:rsidP="005527B6">
            <w:pPr>
              <w:tabs>
                <w:tab w:val="clear" w:pos="720"/>
                <w:tab w:val="clear" w:pos="1296"/>
                <w:tab w:val="clear" w:pos="1872"/>
                <w:tab w:val="clear" w:pos="2448"/>
              </w:tabs>
              <w:spacing w:after="0" w:line="240" w:lineRule="auto"/>
              <w:rPr>
                <w:kern w:val="0"/>
              </w:rPr>
            </w:pPr>
            <w:r w:rsidRPr="00736BCA">
              <w:t>Изисквания на европейските експлоатиращи организации за АЕЦ с леководни реактори</w:t>
            </w:r>
          </w:p>
        </w:tc>
      </w:tr>
      <w:tr w:rsidR="005527B6" w:rsidRPr="00E375CF" w14:paraId="34EE7FDE" w14:textId="77777777" w:rsidTr="00B723E1">
        <w:tc>
          <w:tcPr>
            <w:tcW w:w="1525" w:type="dxa"/>
          </w:tcPr>
          <w:p w14:paraId="363C8F11" w14:textId="3CE678C2" w:rsidR="005527B6" w:rsidRPr="00E375CF" w:rsidRDefault="005527B6" w:rsidP="005527B6">
            <w:pPr>
              <w:tabs>
                <w:tab w:val="clear" w:pos="720"/>
                <w:tab w:val="clear" w:pos="1296"/>
                <w:tab w:val="clear" w:pos="1872"/>
                <w:tab w:val="clear" w:pos="2448"/>
              </w:tabs>
              <w:spacing w:after="0" w:line="240" w:lineRule="auto"/>
              <w:rPr>
                <w:kern w:val="0"/>
              </w:rPr>
            </w:pPr>
            <w:r w:rsidRPr="00736BCA">
              <w:t>FEED</w:t>
            </w:r>
          </w:p>
        </w:tc>
        <w:tc>
          <w:tcPr>
            <w:tcW w:w="6930" w:type="dxa"/>
          </w:tcPr>
          <w:p w14:paraId="4C49592A" w14:textId="70B389A2" w:rsidR="005527B6" w:rsidRPr="00E375CF" w:rsidRDefault="005527B6" w:rsidP="005527B6">
            <w:pPr>
              <w:tabs>
                <w:tab w:val="clear" w:pos="720"/>
                <w:tab w:val="clear" w:pos="1296"/>
                <w:tab w:val="clear" w:pos="1872"/>
                <w:tab w:val="clear" w:pos="2448"/>
              </w:tabs>
              <w:spacing w:after="0" w:line="240" w:lineRule="auto"/>
              <w:rPr>
                <w:kern w:val="0"/>
              </w:rPr>
            </w:pPr>
            <w:r w:rsidRPr="00736BCA">
              <w:t xml:space="preserve">Предварителен инженеринг и проектиране </w:t>
            </w:r>
          </w:p>
        </w:tc>
      </w:tr>
      <w:tr w:rsidR="005527B6" w:rsidRPr="00E375CF" w14:paraId="7AC845B3" w14:textId="77777777" w:rsidTr="00B723E1">
        <w:tc>
          <w:tcPr>
            <w:tcW w:w="1525" w:type="dxa"/>
          </w:tcPr>
          <w:p w14:paraId="3CAC38CC" w14:textId="32B3FFEB" w:rsidR="005527B6" w:rsidRPr="00E375CF" w:rsidRDefault="005527B6" w:rsidP="005527B6">
            <w:pPr>
              <w:tabs>
                <w:tab w:val="clear" w:pos="720"/>
                <w:tab w:val="clear" w:pos="1296"/>
                <w:tab w:val="clear" w:pos="1872"/>
                <w:tab w:val="clear" w:pos="2448"/>
              </w:tabs>
              <w:spacing w:after="0" w:line="240" w:lineRule="auto"/>
              <w:rPr>
                <w:kern w:val="0"/>
              </w:rPr>
            </w:pPr>
            <w:r w:rsidRPr="00736BCA">
              <w:t>GDA</w:t>
            </w:r>
          </w:p>
        </w:tc>
        <w:tc>
          <w:tcPr>
            <w:tcW w:w="6930" w:type="dxa"/>
          </w:tcPr>
          <w:p w14:paraId="360BB916" w14:textId="3E6D9BC9" w:rsidR="005527B6" w:rsidRPr="00E375CF" w:rsidRDefault="005527B6" w:rsidP="005527B6">
            <w:pPr>
              <w:tabs>
                <w:tab w:val="clear" w:pos="720"/>
                <w:tab w:val="clear" w:pos="1296"/>
                <w:tab w:val="clear" w:pos="1872"/>
                <w:tab w:val="clear" w:pos="2448"/>
              </w:tabs>
              <w:spacing w:after="0" w:line="240" w:lineRule="auto"/>
              <w:rPr>
                <w:kern w:val="0"/>
              </w:rPr>
            </w:pPr>
            <w:r w:rsidRPr="00736BCA">
              <w:t>Обща оценка на проекта</w:t>
            </w:r>
          </w:p>
        </w:tc>
      </w:tr>
      <w:tr w:rsidR="005527B6" w:rsidRPr="00E375CF" w14:paraId="7A8C10A7" w14:textId="77777777" w:rsidTr="00B723E1">
        <w:tc>
          <w:tcPr>
            <w:tcW w:w="1525" w:type="dxa"/>
          </w:tcPr>
          <w:p w14:paraId="7026D385" w14:textId="0DFE3774" w:rsidR="005527B6" w:rsidRPr="00E375CF" w:rsidRDefault="005527B6" w:rsidP="005527B6">
            <w:pPr>
              <w:tabs>
                <w:tab w:val="clear" w:pos="720"/>
                <w:tab w:val="clear" w:pos="1296"/>
                <w:tab w:val="clear" w:pos="1872"/>
                <w:tab w:val="clear" w:pos="2448"/>
              </w:tabs>
              <w:spacing w:after="0" w:line="240" w:lineRule="auto"/>
              <w:rPr>
                <w:kern w:val="0"/>
              </w:rPr>
            </w:pPr>
            <w:r w:rsidRPr="00736BCA">
              <w:t>HCLPF</w:t>
            </w:r>
          </w:p>
        </w:tc>
        <w:tc>
          <w:tcPr>
            <w:tcW w:w="6930" w:type="dxa"/>
          </w:tcPr>
          <w:p w14:paraId="1C8D79F3" w14:textId="6CA210EA" w:rsidR="005527B6" w:rsidRPr="00E375CF" w:rsidRDefault="005527B6" w:rsidP="005527B6">
            <w:pPr>
              <w:tabs>
                <w:tab w:val="clear" w:pos="720"/>
                <w:tab w:val="clear" w:pos="1296"/>
                <w:tab w:val="clear" w:pos="1872"/>
                <w:tab w:val="clear" w:pos="2448"/>
              </w:tabs>
              <w:spacing w:after="0" w:line="240" w:lineRule="auto"/>
              <w:rPr>
                <w:kern w:val="0"/>
              </w:rPr>
            </w:pPr>
            <w:r w:rsidRPr="00736BCA">
              <w:t>Висока сигурност за ниска вероятност за отказ</w:t>
            </w:r>
          </w:p>
        </w:tc>
      </w:tr>
      <w:tr w:rsidR="005527B6" w:rsidRPr="00E375CF" w14:paraId="4E505B6F" w14:textId="77777777" w:rsidTr="00B723E1">
        <w:tc>
          <w:tcPr>
            <w:tcW w:w="1525" w:type="dxa"/>
          </w:tcPr>
          <w:p w14:paraId="6A67CB67" w14:textId="206FCE8E" w:rsidR="005527B6" w:rsidRPr="00E375CF" w:rsidRDefault="005527B6" w:rsidP="005527B6">
            <w:pPr>
              <w:tabs>
                <w:tab w:val="clear" w:pos="720"/>
                <w:tab w:val="clear" w:pos="1296"/>
                <w:tab w:val="clear" w:pos="1872"/>
                <w:tab w:val="clear" w:pos="2448"/>
              </w:tabs>
              <w:spacing w:after="0" w:line="240" w:lineRule="auto"/>
              <w:rPr>
                <w:kern w:val="0"/>
              </w:rPr>
            </w:pPr>
            <w:r w:rsidRPr="00736BCA">
              <w:t>HX</w:t>
            </w:r>
          </w:p>
        </w:tc>
        <w:tc>
          <w:tcPr>
            <w:tcW w:w="6930" w:type="dxa"/>
          </w:tcPr>
          <w:p w14:paraId="2AF32E9F" w14:textId="7C53E6A3" w:rsidR="005527B6" w:rsidRPr="00E375CF" w:rsidRDefault="005527B6" w:rsidP="005527B6">
            <w:pPr>
              <w:tabs>
                <w:tab w:val="clear" w:pos="720"/>
                <w:tab w:val="clear" w:pos="1296"/>
                <w:tab w:val="clear" w:pos="1872"/>
                <w:tab w:val="clear" w:pos="2448"/>
              </w:tabs>
              <w:spacing w:after="0" w:line="240" w:lineRule="auto"/>
              <w:rPr>
                <w:kern w:val="0"/>
              </w:rPr>
            </w:pPr>
            <w:r w:rsidRPr="00736BCA">
              <w:t>Топлообменник</w:t>
            </w:r>
          </w:p>
        </w:tc>
      </w:tr>
      <w:tr w:rsidR="005527B6" w:rsidRPr="00E375CF" w14:paraId="13FF5782" w14:textId="77777777" w:rsidTr="00B723E1">
        <w:tc>
          <w:tcPr>
            <w:tcW w:w="1525" w:type="dxa"/>
          </w:tcPr>
          <w:p w14:paraId="7BD08AB6" w14:textId="39C3FF3D" w:rsidR="005527B6" w:rsidRPr="00E375CF" w:rsidRDefault="005527B6" w:rsidP="005527B6">
            <w:pPr>
              <w:tabs>
                <w:tab w:val="clear" w:pos="720"/>
                <w:tab w:val="clear" w:pos="1296"/>
                <w:tab w:val="clear" w:pos="1872"/>
                <w:tab w:val="clear" w:pos="2448"/>
              </w:tabs>
              <w:spacing w:after="0" w:line="240" w:lineRule="auto"/>
              <w:rPr>
                <w:kern w:val="0"/>
              </w:rPr>
            </w:pPr>
            <w:r w:rsidRPr="00736BCA">
              <w:t>IDS</w:t>
            </w:r>
          </w:p>
        </w:tc>
        <w:tc>
          <w:tcPr>
            <w:tcW w:w="6930" w:type="dxa"/>
          </w:tcPr>
          <w:p w14:paraId="0A665CB6" w14:textId="0534CB0E" w:rsidR="005527B6" w:rsidRPr="00E375CF" w:rsidRDefault="005527B6" w:rsidP="005527B6">
            <w:pPr>
              <w:tabs>
                <w:tab w:val="clear" w:pos="720"/>
                <w:tab w:val="clear" w:pos="1296"/>
                <w:tab w:val="clear" w:pos="1872"/>
                <w:tab w:val="clear" w:pos="2448"/>
              </w:tabs>
              <w:spacing w:after="0" w:line="240" w:lineRule="auto"/>
              <w:rPr>
                <w:kern w:val="0"/>
              </w:rPr>
            </w:pPr>
            <w:r w:rsidRPr="00736BCA">
              <w:t>Захранваща система DC и UPS от Клас 1E</w:t>
            </w:r>
          </w:p>
        </w:tc>
      </w:tr>
      <w:tr w:rsidR="005527B6" w:rsidRPr="00E375CF" w14:paraId="31C61173" w14:textId="77777777" w:rsidTr="00B723E1">
        <w:tc>
          <w:tcPr>
            <w:tcW w:w="1525" w:type="dxa"/>
          </w:tcPr>
          <w:p w14:paraId="45CCE234" w14:textId="555E8AD0" w:rsidR="005527B6" w:rsidRPr="00E375CF" w:rsidRDefault="005527B6" w:rsidP="005527B6">
            <w:pPr>
              <w:tabs>
                <w:tab w:val="clear" w:pos="720"/>
                <w:tab w:val="clear" w:pos="1296"/>
                <w:tab w:val="clear" w:pos="1872"/>
                <w:tab w:val="clear" w:pos="2448"/>
              </w:tabs>
              <w:spacing w:after="0" w:line="240" w:lineRule="auto"/>
              <w:rPr>
                <w:kern w:val="0"/>
              </w:rPr>
            </w:pPr>
            <w:r w:rsidRPr="00736BCA">
              <w:t>IEEE</w:t>
            </w:r>
          </w:p>
        </w:tc>
        <w:tc>
          <w:tcPr>
            <w:tcW w:w="6930" w:type="dxa"/>
          </w:tcPr>
          <w:p w14:paraId="600EC5C5" w14:textId="27002648" w:rsidR="005527B6" w:rsidRPr="00E375CF" w:rsidRDefault="005527B6" w:rsidP="005527B6">
            <w:pPr>
              <w:tabs>
                <w:tab w:val="clear" w:pos="720"/>
                <w:tab w:val="clear" w:pos="1296"/>
                <w:tab w:val="clear" w:pos="1872"/>
                <w:tab w:val="clear" w:pos="2448"/>
              </w:tabs>
              <w:spacing w:after="0" w:line="240" w:lineRule="auto"/>
              <w:rPr>
                <w:kern w:val="0"/>
              </w:rPr>
            </w:pPr>
            <w:r w:rsidRPr="00736BCA">
              <w:t>Институт на инженерите по електротехника и електроника</w:t>
            </w:r>
          </w:p>
        </w:tc>
      </w:tr>
      <w:tr w:rsidR="005527B6" w:rsidRPr="00E375CF" w14:paraId="270A570E" w14:textId="77777777" w:rsidTr="00B723E1">
        <w:tc>
          <w:tcPr>
            <w:tcW w:w="1525" w:type="dxa"/>
          </w:tcPr>
          <w:p w14:paraId="16983E6C" w14:textId="4BC94E08" w:rsidR="005527B6" w:rsidRPr="00E375CF" w:rsidRDefault="005527B6" w:rsidP="005527B6">
            <w:pPr>
              <w:tabs>
                <w:tab w:val="clear" w:pos="720"/>
                <w:tab w:val="clear" w:pos="1296"/>
                <w:tab w:val="clear" w:pos="1872"/>
                <w:tab w:val="clear" w:pos="2448"/>
              </w:tabs>
              <w:spacing w:after="0" w:line="240" w:lineRule="auto"/>
              <w:rPr>
                <w:kern w:val="0"/>
              </w:rPr>
            </w:pPr>
            <w:r w:rsidRPr="00736BCA">
              <w:t>LOCA</w:t>
            </w:r>
          </w:p>
        </w:tc>
        <w:tc>
          <w:tcPr>
            <w:tcW w:w="6930" w:type="dxa"/>
          </w:tcPr>
          <w:p w14:paraId="699F804F" w14:textId="04C35364" w:rsidR="005527B6" w:rsidRPr="00E375CF" w:rsidRDefault="005527B6" w:rsidP="005527B6">
            <w:pPr>
              <w:tabs>
                <w:tab w:val="clear" w:pos="720"/>
                <w:tab w:val="clear" w:pos="1296"/>
                <w:tab w:val="clear" w:pos="1872"/>
                <w:tab w:val="clear" w:pos="2448"/>
              </w:tabs>
              <w:spacing w:after="0" w:line="240" w:lineRule="auto"/>
              <w:rPr>
                <w:kern w:val="0"/>
              </w:rPr>
            </w:pPr>
            <w:r w:rsidRPr="00736BCA">
              <w:t>Авария със загуба на топлоносител</w:t>
            </w:r>
          </w:p>
        </w:tc>
      </w:tr>
      <w:tr w:rsidR="005527B6" w:rsidRPr="00E375CF" w14:paraId="28430685" w14:textId="77777777" w:rsidTr="00B723E1">
        <w:tc>
          <w:tcPr>
            <w:tcW w:w="1525" w:type="dxa"/>
          </w:tcPr>
          <w:p w14:paraId="52BA6D55" w14:textId="5462C592" w:rsidR="005527B6" w:rsidRPr="00E375CF" w:rsidRDefault="005527B6" w:rsidP="005527B6">
            <w:pPr>
              <w:tabs>
                <w:tab w:val="clear" w:pos="720"/>
                <w:tab w:val="clear" w:pos="1296"/>
                <w:tab w:val="clear" w:pos="1872"/>
                <w:tab w:val="clear" w:pos="2448"/>
              </w:tabs>
              <w:spacing w:after="0" w:line="240" w:lineRule="auto"/>
              <w:rPr>
                <w:kern w:val="0"/>
              </w:rPr>
            </w:pPr>
            <w:r w:rsidRPr="00736BCA">
              <w:t>NAN</w:t>
            </w:r>
          </w:p>
        </w:tc>
        <w:tc>
          <w:tcPr>
            <w:tcW w:w="6930" w:type="dxa"/>
          </w:tcPr>
          <w:p w14:paraId="55012706" w14:textId="6C424C40" w:rsidR="005527B6" w:rsidRPr="00E375CF" w:rsidRDefault="005527B6" w:rsidP="005527B6">
            <w:pPr>
              <w:tabs>
                <w:tab w:val="clear" w:pos="720"/>
                <w:tab w:val="clear" w:pos="1296"/>
                <w:tab w:val="clear" w:pos="1872"/>
                <w:tab w:val="clear" w:pos="2448"/>
              </w:tabs>
              <w:spacing w:after="0" w:line="240" w:lineRule="auto"/>
              <w:rPr>
                <w:kern w:val="0"/>
              </w:rPr>
            </w:pPr>
            <w:r w:rsidRPr="00736BCA">
              <w:t>Не може да се оцени сега</w:t>
            </w:r>
          </w:p>
        </w:tc>
      </w:tr>
      <w:tr w:rsidR="005527B6" w:rsidRPr="00E375CF" w14:paraId="129DB51E" w14:textId="77777777" w:rsidTr="00B723E1">
        <w:tc>
          <w:tcPr>
            <w:tcW w:w="1525" w:type="dxa"/>
          </w:tcPr>
          <w:p w14:paraId="2E5DE107" w14:textId="467427C3" w:rsidR="005527B6" w:rsidRPr="00E375CF" w:rsidRDefault="005527B6" w:rsidP="005527B6">
            <w:pPr>
              <w:tabs>
                <w:tab w:val="clear" w:pos="720"/>
                <w:tab w:val="clear" w:pos="1296"/>
                <w:tab w:val="clear" w:pos="1872"/>
                <w:tab w:val="clear" w:pos="2448"/>
              </w:tabs>
              <w:spacing w:after="0" w:line="240" w:lineRule="auto"/>
              <w:rPr>
                <w:kern w:val="0"/>
              </w:rPr>
            </w:pPr>
            <w:r w:rsidRPr="00736BCA">
              <w:t>NAP</w:t>
            </w:r>
          </w:p>
        </w:tc>
        <w:tc>
          <w:tcPr>
            <w:tcW w:w="6930" w:type="dxa"/>
          </w:tcPr>
          <w:p w14:paraId="628E92AC" w14:textId="71264F0F" w:rsidR="005527B6" w:rsidRPr="00E375CF" w:rsidRDefault="005527B6" w:rsidP="005527B6">
            <w:pPr>
              <w:tabs>
                <w:tab w:val="clear" w:pos="720"/>
                <w:tab w:val="clear" w:pos="1296"/>
                <w:tab w:val="clear" w:pos="1872"/>
                <w:tab w:val="clear" w:pos="2448"/>
              </w:tabs>
              <w:spacing w:after="0" w:line="240" w:lineRule="auto"/>
              <w:rPr>
                <w:kern w:val="0"/>
              </w:rPr>
            </w:pPr>
            <w:r w:rsidRPr="00736BCA">
              <w:t>Неприложимо</w:t>
            </w:r>
          </w:p>
        </w:tc>
      </w:tr>
      <w:tr w:rsidR="005527B6" w:rsidRPr="00E375CF" w14:paraId="01A8846C" w14:textId="77777777" w:rsidTr="00B723E1">
        <w:tc>
          <w:tcPr>
            <w:tcW w:w="1525" w:type="dxa"/>
          </w:tcPr>
          <w:p w14:paraId="4739F133" w14:textId="65B3EFE1" w:rsidR="005527B6" w:rsidRPr="00E375CF" w:rsidRDefault="005527B6" w:rsidP="005527B6">
            <w:pPr>
              <w:tabs>
                <w:tab w:val="clear" w:pos="720"/>
                <w:tab w:val="clear" w:pos="1296"/>
                <w:tab w:val="clear" w:pos="1872"/>
                <w:tab w:val="clear" w:pos="2448"/>
              </w:tabs>
              <w:spacing w:after="0" w:line="240" w:lineRule="auto"/>
              <w:rPr>
                <w:kern w:val="0"/>
              </w:rPr>
            </w:pPr>
            <w:r w:rsidRPr="00736BCA">
              <w:t>NEI</w:t>
            </w:r>
          </w:p>
        </w:tc>
        <w:tc>
          <w:tcPr>
            <w:tcW w:w="6930" w:type="dxa"/>
          </w:tcPr>
          <w:p w14:paraId="14E71F4D" w14:textId="43066746" w:rsidR="005527B6" w:rsidRPr="00E375CF" w:rsidRDefault="005527B6" w:rsidP="005527B6">
            <w:pPr>
              <w:tabs>
                <w:tab w:val="clear" w:pos="720"/>
                <w:tab w:val="clear" w:pos="1296"/>
                <w:tab w:val="clear" w:pos="1872"/>
                <w:tab w:val="clear" w:pos="2448"/>
              </w:tabs>
              <w:spacing w:after="0" w:line="240" w:lineRule="auto"/>
              <w:rPr>
                <w:kern w:val="0"/>
              </w:rPr>
            </w:pPr>
            <w:r w:rsidRPr="00736BCA">
              <w:t>Институт за ядрена енергия</w:t>
            </w:r>
          </w:p>
        </w:tc>
      </w:tr>
      <w:tr w:rsidR="005527B6" w:rsidRPr="00E375CF" w14:paraId="74673C0E" w14:textId="77777777" w:rsidTr="00B723E1">
        <w:tc>
          <w:tcPr>
            <w:tcW w:w="1525" w:type="dxa"/>
          </w:tcPr>
          <w:p w14:paraId="38ECE698" w14:textId="67B4CEC8" w:rsidR="005527B6" w:rsidRPr="00E375CF" w:rsidRDefault="005527B6" w:rsidP="005527B6">
            <w:pPr>
              <w:tabs>
                <w:tab w:val="clear" w:pos="720"/>
                <w:tab w:val="clear" w:pos="1296"/>
                <w:tab w:val="clear" w:pos="1872"/>
                <w:tab w:val="clear" w:pos="2448"/>
              </w:tabs>
              <w:spacing w:after="0" w:line="240" w:lineRule="auto"/>
              <w:rPr>
                <w:kern w:val="0"/>
              </w:rPr>
            </w:pPr>
            <w:r w:rsidRPr="00736BCA">
              <w:t>NOC</w:t>
            </w:r>
          </w:p>
        </w:tc>
        <w:tc>
          <w:tcPr>
            <w:tcW w:w="6930" w:type="dxa"/>
          </w:tcPr>
          <w:p w14:paraId="73573A5F" w14:textId="1E6DAD25" w:rsidR="005527B6" w:rsidRPr="00E375CF" w:rsidRDefault="005527B6" w:rsidP="005527B6">
            <w:pPr>
              <w:tabs>
                <w:tab w:val="clear" w:pos="720"/>
                <w:tab w:val="clear" w:pos="1296"/>
                <w:tab w:val="clear" w:pos="1872"/>
                <w:tab w:val="clear" w:pos="2448"/>
              </w:tabs>
              <w:spacing w:after="0" w:line="240" w:lineRule="auto"/>
              <w:rPr>
                <w:kern w:val="0"/>
              </w:rPr>
            </w:pPr>
            <w:r w:rsidRPr="00736BCA">
              <w:t>Несъответствие</w:t>
            </w:r>
          </w:p>
        </w:tc>
      </w:tr>
      <w:tr w:rsidR="005527B6" w:rsidRPr="00E375CF" w14:paraId="6DDB6E56" w14:textId="77777777" w:rsidTr="00B723E1">
        <w:tc>
          <w:tcPr>
            <w:tcW w:w="1525" w:type="dxa"/>
          </w:tcPr>
          <w:p w14:paraId="3777D481" w14:textId="709819CA" w:rsidR="005527B6" w:rsidRPr="00E375CF" w:rsidRDefault="005527B6" w:rsidP="005527B6">
            <w:pPr>
              <w:tabs>
                <w:tab w:val="clear" w:pos="720"/>
                <w:tab w:val="clear" w:pos="1296"/>
                <w:tab w:val="clear" w:pos="1872"/>
                <w:tab w:val="clear" w:pos="2448"/>
              </w:tabs>
              <w:spacing w:after="0" w:line="240" w:lineRule="auto"/>
              <w:rPr>
                <w:kern w:val="0"/>
              </w:rPr>
            </w:pPr>
            <w:r w:rsidRPr="00736BCA">
              <w:t>NR</w:t>
            </w:r>
          </w:p>
        </w:tc>
        <w:tc>
          <w:tcPr>
            <w:tcW w:w="6930" w:type="dxa"/>
          </w:tcPr>
          <w:p w14:paraId="0B20369A" w14:textId="162240D0" w:rsidR="005527B6" w:rsidRPr="00E375CF" w:rsidRDefault="005527B6" w:rsidP="005527B6">
            <w:pPr>
              <w:tabs>
                <w:tab w:val="clear" w:pos="720"/>
                <w:tab w:val="clear" w:pos="1296"/>
                <w:tab w:val="clear" w:pos="1872"/>
                <w:tab w:val="clear" w:pos="2448"/>
              </w:tabs>
              <w:spacing w:after="0" w:line="240" w:lineRule="auto"/>
              <w:rPr>
                <w:kern w:val="0"/>
              </w:rPr>
            </w:pPr>
            <w:r w:rsidRPr="00736BCA">
              <w:t>Не е изискване</w:t>
            </w:r>
          </w:p>
        </w:tc>
      </w:tr>
      <w:tr w:rsidR="005527B6" w:rsidRPr="00E375CF" w14:paraId="523B38D2" w14:textId="77777777" w:rsidTr="00B723E1">
        <w:tc>
          <w:tcPr>
            <w:tcW w:w="1525" w:type="dxa"/>
          </w:tcPr>
          <w:p w14:paraId="1CF28EBD" w14:textId="3B1D2ABA" w:rsidR="005527B6" w:rsidRPr="00E375CF" w:rsidRDefault="005527B6" w:rsidP="005527B6">
            <w:pPr>
              <w:tabs>
                <w:tab w:val="clear" w:pos="720"/>
                <w:tab w:val="clear" w:pos="1296"/>
                <w:tab w:val="clear" w:pos="1872"/>
                <w:tab w:val="clear" w:pos="2448"/>
              </w:tabs>
              <w:spacing w:after="0" w:line="240" w:lineRule="auto"/>
              <w:rPr>
                <w:kern w:val="0"/>
              </w:rPr>
            </w:pPr>
            <w:r w:rsidRPr="00736BCA">
              <w:t>NRC</w:t>
            </w:r>
          </w:p>
        </w:tc>
        <w:tc>
          <w:tcPr>
            <w:tcW w:w="6930" w:type="dxa"/>
          </w:tcPr>
          <w:p w14:paraId="205AB0BE" w14:textId="68FD0021" w:rsidR="005527B6" w:rsidRPr="00E375CF" w:rsidRDefault="005527B6" w:rsidP="005527B6">
            <w:pPr>
              <w:tabs>
                <w:tab w:val="clear" w:pos="720"/>
                <w:tab w:val="clear" w:pos="1296"/>
                <w:tab w:val="clear" w:pos="1872"/>
                <w:tab w:val="clear" w:pos="2448"/>
              </w:tabs>
              <w:spacing w:after="0" w:line="240" w:lineRule="auto"/>
              <w:rPr>
                <w:kern w:val="0"/>
              </w:rPr>
            </w:pPr>
            <w:r w:rsidRPr="00736BCA">
              <w:t>Комисия за ядрено регулиране (САЩ)</w:t>
            </w:r>
          </w:p>
        </w:tc>
      </w:tr>
      <w:tr w:rsidR="005527B6" w:rsidRPr="00E375CF" w14:paraId="1332BEB6" w14:textId="77777777" w:rsidTr="00B723E1">
        <w:tc>
          <w:tcPr>
            <w:tcW w:w="1525" w:type="dxa"/>
          </w:tcPr>
          <w:p w14:paraId="1624C285" w14:textId="4CFAD4AB" w:rsidR="005527B6" w:rsidRPr="00E375CF" w:rsidRDefault="005527B6" w:rsidP="005527B6">
            <w:pPr>
              <w:tabs>
                <w:tab w:val="clear" w:pos="720"/>
                <w:tab w:val="clear" w:pos="1296"/>
                <w:tab w:val="clear" w:pos="1872"/>
                <w:tab w:val="clear" w:pos="2448"/>
              </w:tabs>
              <w:spacing w:after="0" w:line="240" w:lineRule="auto"/>
              <w:rPr>
                <w:kern w:val="0"/>
              </w:rPr>
            </w:pPr>
            <w:r w:rsidRPr="00736BCA">
              <w:t>OR</w:t>
            </w:r>
          </w:p>
        </w:tc>
        <w:tc>
          <w:tcPr>
            <w:tcW w:w="6930" w:type="dxa"/>
          </w:tcPr>
          <w:p w14:paraId="1B4723BD" w14:textId="4DBD866D" w:rsidR="005527B6" w:rsidRPr="00E375CF" w:rsidRDefault="005527B6" w:rsidP="005527B6">
            <w:pPr>
              <w:tabs>
                <w:tab w:val="clear" w:pos="720"/>
                <w:tab w:val="clear" w:pos="1296"/>
                <w:tab w:val="clear" w:pos="1872"/>
                <w:tab w:val="clear" w:pos="2448"/>
              </w:tabs>
              <w:spacing w:after="0" w:line="240" w:lineRule="auto"/>
              <w:rPr>
                <w:kern w:val="0"/>
              </w:rPr>
            </w:pPr>
            <w:r w:rsidRPr="00736BCA">
              <w:t>Собственик</w:t>
            </w:r>
          </w:p>
        </w:tc>
      </w:tr>
      <w:tr w:rsidR="005527B6" w:rsidRPr="00E375CF" w14:paraId="2709D98B" w14:textId="77777777" w:rsidTr="00B723E1">
        <w:tc>
          <w:tcPr>
            <w:tcW w:w="1525" w:type="dxa"/>
          </w:tcPr>
          <w:p w14:paraId="1CCB16AC" w14:textId="7ADAE96C" w:rsidR="005527B6" w:rsidRPr="00E375CF" w:rsidRDefault="005527B6" w:rsidP="005527B6">
            <w:pPr>
              <w:tabs>
                <w:tab w:val="clear" w:pos="720"/>
                <w:tab w:val="clear" w:pos="1296"/>
                <w:tab w:val="clear" w:pos="1872"/>
                <w:tab w:val="clear" w:pos="2448"/>
              </w:tabs>
              <w:spacing w:after="0" w:line="240" w:lineRule="auto"/>
              <w:rPr>
                <w:kern w:val="0"/>
              </w:rPr>
            </w:pPr>
            <w:r w:rsidRPr="00736BCA">
              <w:t>PCCAWST</w:t>
            </w:r>
          </w:p>
        </w:tc>
        <w:tc>
          <w:tcPr>
            <w:tcW w:w="6930" w:type="dxa"/>
          </w:tcPr>
          <w:p w14:paraId="3631940F" w14:textId="33BA4878" w:rsidR="005527B6" w:rsidRPr="00E375CF" w:rsidRDefault="005527B6" w:rsidP="005527B6">
            <w:pPr>
              <w:tabs>
                <w:tab w:val="clear" w:pos="720"/>
                <w:tab w:val="clear" w:pos="1296"/>
                <w:tab w:val="clear" w:pos="1872"/>
                <w:tab w:val="clear" w:pos="2448"/>
              </w:tabs>
              <w:spacing w:after="0" w:line="240" w:lineRule="auto"/>
              <w:rPr>
                <w:kern w:val="0"/>
              </w:rPr>
            </w:pPr>
            <w:r w:rsidRPr="00736BCA">
              <w:t>Допълнителен резервоар за съхранение на вода за пасивно охлаждане в херметичната зона</w:t>
            </w:r>
          </w:p>
        </w:tc>
      </w:tr>
      <w:tr w:rsidR="005527B6" w:rsidRPr="00E375CF" w14:paraId="0556B3E9" w14:textId="77777777" w:rsidTr="00B723E1">
        <w:tc>
          <w:tcPr>
            <w:tcW w:w="1525" w:type="dxa"/>
          </w:tcPr>
          <w:p w14:paraId="3FEB7805" w14:textId="0C7AEEFA" w:rsidR="005527B6" w:rsidRPr="00E375CF" w:rsidRDefault="005527B6" w:rsidP="005527B6">
            <w:pPr>
              <w:tabs>
                <w:tab w:val="clear" w:pos="720"/>
                <w:tab w:val="clear" w:pos="1296"/>
                <w:tab w:val="clear" w:pos="1872"/>
                <w:tab w:val="clear" w:pos="2448"/>
              </w:tabs>
              <w:spacing w:after="0" w:line="240" w:lineRule="auto"/>
              <w:rPr>
                <w:kern w:val="0"/>
              </w:rPr>
            </w:pPr>
            <w:r w:rsidRPr="00736BCA">
              <w:t>PCCWST</w:t>
            </w:r>
          </w:p>
        </w:tc>
        <w:tc>
          <w:tcPr>
            <w:tcW w:w="6930" w:type="dxa"/>
          </w:tcPr>
          <w:p w14:paraId="47683F71" w14:textId="632E95F4" w:rsidR="005527B6" w:rsidRPr="00E375CF" w:rsidRDefault="005527B6" w:rsidP="005527B6">
            <w:pPr>
              <w:tabs>
                <w:tab w:val="clear" w:pos="720"/>
                <w:tab w:val="clear" w:pos="1296"/>
                <w:tab w:val="clear" w:pos="1872"/>
                <w:tab w:val="clear" w:pos="2448"/>
              </w:tabs>
              <w:spacing w:after="0" w:line="240" w:lineRule="auto"/>
              <w:rPr>
                <w:kern w:val="0"/>
              </w:rPr>
            </w:pPr>
            <w:r w:rsidRPr="00736BCA">
              <w:t>Резервоар за съхранение на вода за пасивно охлаждане в херметичната зона</w:t>
            </w:r>
          </w:p>
        </w:tc>
      </w:tr>
      <w:tr w:rsidR="005527B6" w:rsidRPr="00E375CF" w14:paraId="7F87C756" w14:textId="77777777" w:rsidTr="00B723E1">
        <w:tc>
          <w:tcPr>
            <w:tcW w:w="1525" w:type="dxa"/>
          </w:tcPr>
          <w:p w14:paraId="314010EA" w14:textId="0D3BA722" w:rsidR="005527B6" w:rsidRPr="00E375CF" w:rsidRDefault="005527B6" w:rsidP="005527B6">
            <w:pPr>
              <w:tabs>
                <w:tab w:val="clear" w:pos="720"/>
                <w:tab w:val="clear" w:pos="1296"/>
                <w:tab w:val="clear" w:pos="1872"/>
                <w:tab w:val="clear" w:pos="2448"/>
              </w:tabs>
              <w:spacing w:after="0" w:line="240" w:lineRule="auto"/>
              <w:rPr>
                <w:kern w:val="0"/>
              </w:rPr>
            </w:pPr>
            <w:r w:rsidRPr="00736BCA">
              <w:t>POS</w:t>
            </w:r>
          </w:p>
        </w:tc>
        <w:tc>
          <w:tcPr>
            <w:tcW w:w="6930" w:type="dxa"/>
          </w:tcPr>
          <w:p w14:paraId="01D5BB86" w14:textId="1AD2811B" w:rsidR="005527B6" w:rsidRPr="00E375CF" w:rsidRDefault="005527B6" w:rsidP="005527B6">
            <w:pPr>
              <w:tabs>
                <w:tab w:val="clear" w:pos="720"/>
                <w:tab w:val="clear" w:pos="1296"/>
                <w:tab w:val="clear" w:pos="1872"/>
                <w:tab w:val="clear" w:pos="2448"/>
              </w:tabs>
              <w:spacing w:after="0" w:line="240" w:lineRule="auto"/>
              <w:rPr>
                <w:kern w:val="0"/>
              </w:rPr>
            </w:pPr>
            <w:r w:rsidRPr="00736BCA">
              <w:t>Специфичен за проекта, собственика или площадката</w:t>
            </w:r>
          </w:p>
        </w:tc>
      </w:tr>
      <w:tr w:rsidR="005527B6" w:rsidRPr="00E375CF" w14:paraId="64FA3CBF" w14:textId="77777777" w:rsidTr="00B723E1">
        <w:tc>
          <w:tcPr>
            <w:tcW w:w="1525" w:type="dxa"/>
          </w:tcPr>
          <w:p w14:paraId="6A40ADA9" w14:textId="18AFA7D3" w:rsidR="005527B6" w:rsidRPr="00E375CF" w:rsidRDefault="005527B6" w:rsidP="005527B6">
            <w:pPr>
              <w:tabs>
                <w:tab w:val="clear" w:pos="720"/>
                <w:tab w:val="clear" w:pos="1296"/>
                <w:tab w:val="clear" w:pos="1872"/>
                <w:tab w:val="clear" w:pos="2448"/>
              </w:tabs>
              <w:spacing w:after="0" w:line="240" w:lineRule="auto"/>
              <w:rPr>
                <w:kern w:val="0"/>
              </w:rPr>
            </w:pPr>
            <w:r w:rsidRPr="00736BCA">
              <w:t>PWR</w:t>
            </w:r>
          </w:p>
        </w:tc>
        <w:tc>
          <w:tcPr>
            <w:tcW w:w="6930" w:type="dxa"/>
          </w:tcPr>
          <w:p w14:paraId="4E531931" w14:textId="25C61A47" w:rsidR="005527B6" w:rsidRPr="00E375CF" w:rsidRDefault="005527B6" w:rsidP="005527B6">
            <w:pPr>
              <w:tabs>
                <w:tab w:val="clear" w:pos="720"/>
                <w:tab w:val="clear" w:pos="1296"/>
                <w:tab w:val="clear" w:pos="1872"/>
                <w:tab w:val="clear" w:pos="2448"/>
              </w:tabs>
              <w:spacing w:after="0" w:line="240" w:lineRule="auto"/>
              <w:rPr>
                <w:kern w:val="0"/>
              </w:rPr>
            </w:pPr>
            <w:r w:rsidRPr="00736BCA">
              <w:t>Реактор с вода под налягане</w:t>
            </w:r>
          </w:p>
        </w:tc>
      </w:tr>
      <w:tr w:rsidR="005527B6" w:rsidRPr="00E375CF" w14:paraId="0C13621E" w14:textId="77777777" w:rsidTr="00B723E1">
        <w:tc>
          <w:tcPr>
            <w:tcW w:w="1525" w:type="dxa"/>
          </w:tcPr>
          <w:p w14:paraId="6EF96452" w14:textId="3BEADA5A" w:rsidR="005527B6" w:rsidRPr="00E375CF" w:rsidRDefault="005527B6" w:rsidP="005527B6">
            <w:pPr>
              <w:tabs>
                <w:tab w:val="clear" w:pos="720"/>
                <w:tab w:val="clear" w:pos="1296"/>
                <w:tab w:val="clear" w:pos="1872"/>
                <w:tab w:val="clear" w:pos="2448"/>
              </w:tabs>
              <w:spacing w:after="0" w:line="240" w:lineRule="auto"/>
              <w:rPr>
                <w:kern w:val="0"/>
              </w:rPr>
            </w:pPr>
            <w:r w:rsidRPr="00736BCA">
              <w:t>RCCA</w:t>
            </w:r>
          </w:p>
        </w:tc>
        <w:tc>
          <w:tcPr>
            <w:tcW w:w="6930" w:type="dxa"/>
          </w:tcPr>
          <w:p w14:paraId="708A7E12" w14:textId="3BC79041" w:rsidR="005527B6" w:rsidRPr="00E375CF" w:rsidRDefault="005527B6" w:rsidP="005527B6">
            <w:pPr>
              <w:tabs>
                <w:tab w:val="clear" w:pos="720"/>
                <w:tab w:val="clear" w:pos="1296"/>
                <w:tab w:val="clear" w:pos="1872"/>
                <w:tab w:val="clear" w:pos="2448"/>
              </w:tabs>
              <w:spacing w:after="0" w:line="240" w:lineRule="auto"/>
              <w:rPr>
                <w:kern w:val="0"/>
              </w:rPr>
            </w:pPr>
            <w:r w:rsidRPr="00736BCA">
              <w:t>Клъстерна сборка на СУЗ</w:t>
            </w:r>
          </w:p>
        </w:tc>
      </w:tr>
      <w:tr w:rsidR="005527B6" w:rsidRPr="00E375CF" w14:paraId="6E70B2A2" w14:textId="77777777" w:rsidTr="00B723E1">
        <w:tc>
          <w:tcPr>
            <w:tcW w:w="1525" w:type="dxa"/>
          </w:tcPr>
          <w:p w14:paraId="7325C967" w14:textId="71F5D41E" w:rsidR="005527B6" w:rsidRPr="00E375CF" w:rsidRDefault="005527B6" w:rsidP="005527B6">
            <w:pPr>
              <w:tabs>
                <w:tab w:val="clear" w:pos="720"/>
                <w:tab w:val="clear" w:pos="1296"/>
                <w:tab w:val="clear" w:pos="1872"/>
                <w:tab w:val="clear" w:pos="2448"/>
              </w:tabs>
              <w:spacing w:after="0" w:line="240" w:lineRule="auto"/>
              <w:rPr>
                <w:kern w:val="0"/>
              </w:rPr>
            </w:pPr>
            <w:r w:rsidRPr="00736BCA">
              <w:t>RG</w:t>
            </w:r>
          </w:p>
        </w:tc>
        <w:tc>
          <w:tcPr>
            <w:tcW w:w="6930" w:type="dxa"/>
          </w:tcPr>
          <w:p w14:paraId="0BAC5CCC" w14:textId="2C5D332A" w:rsidR="005527B6" w:rsidRPr="00E375CF" w:rsidRDefault="005527B6" w:rsidP="005527B6">
            <w:pPr>
              <w:tabs>
                <w:tab w:val="clear" w:pos="720"/>
                <w:tab w:val="clear" w:pos="1296"/>
                <w:tab w:val="clear" w:pos="1872"/>
                <w:tab w:val="clear" w:pos="2448"/>
              </w:tabs>
              <w:spacing w:after="0" w:line="240" w:lineRule="auto"/>
              <w:rPr>
                <w:kern w:val="0"/>
              </w:rPr>
            </w:pPr>
            <w:r w:rsidRPr="00736BCA">
              <w:t>Регулаторно ръководство</w:t>
            </w:r>
          </w:p>
        </w:tc>
      </w:tr>
      <w:tr w:rsidR="005527B6" w:rsidRPr="00E375CF" w14:paraId="1303B46B" w14:textId="77777777" w:rsidTr="00B723E1">
        <w:tc>
          <w:tcPr>
            <w:tcW w:w="1525" w:type="dxa"/>
          </w:tcPr>
          <w:p w14:paraId="6595E008" w14:textId="0E808CA1" w:rsidR="005527B6" w:rsidRPr="00E375CF" w:rsidRDefault="005527B6" w:rsidP="005527B6">
            <w:pPr>
              <w:tabs>
                <w:tab w:val="clear" w:pos="720"/>
                <w:tab w:val="clear" w:pos="1296"/>
                <w:tab w:val="clear" w:pos="1872"/>
                <w:tab w:val="clear" w:pos="2448"/>
              </w:tabs>
              <w:spacing w:after="0" w:line="240" w:lineRule="auto"/>
              <w:rPr>
                <w:kern w:val="0"/>
              </w:rPr>
            </w:pPr>
            <w:r w:rsidRPr="00736BCA">
              <w:lastRenderedPageBreak/>
              <w:t>RTNSS</w:t>
            </w:r>
          </w:p>
        </w:tc>
        <w:tc>
          <w:tcPr>
            <w:tcW w:w="6930" w:type="dxa"/>
          </w:tcPr>
          <w:p w14:paraId="41C08D90" w14:textId="749FC311" w:rsidR="005527B6" w:rsidRPr="00E375CF" w:rsidRDefault="005527B6" w:rsidP="005527B6">
            <w:pPr>
              <w:tabs>
                <w:tab w:val="clear" w:pos="720"/>
                <w:tab w:val="clear" w:pos="1296"/>
                <w:tab w:val="clear" w:pos="1872"/>
                <w:tab w:val="clear" w:pos="2448"/>
              </w:tabs>
              <w:spacing w:after="0" w:line="240" w:lineRule="auto"/>
              <w:rPr>
                <w:kern w:val="0"/>
              </w:rPr>
            </w:pPr>
            <w:r w:rsidRPr="00736BCA">
              <w:t>Регулаторно третиране на несвързани с безопасността системи</w:t>
            </w:r>
          </w:p>
        </w:tc>
      </w:tr>
      <w:tr w:rsidR="005527B6" w:rsidRPr="00E375CF" w14:paraId="3FBCD3F7" w14:textId="77777777" w:rsidTr="00B723E1">
        <w:tc>
          <w:tcPr>
            <w:tcW w:w="1525" w:type="dxa"/>
          </w:tcPr>
          <w:p w14:paraId="5EA7C9D3" w14:textId="300B676D" w:rsidR="005527B6" w:rsidRPr="00E375CF" w:rsidRDefault="005527B6" w:rsidP="005527B6">
            <w:pPr>
              <w:tabs>
                <w:tab w:val="clear" w:pos="720"/>
                <w:tab w:val="clear" w:pos="1296"/>
                <w:tab w:val="clear" w:pos="1872"/>
                <w:tab w:val="clear" w:pos="2448"/>
              </w:tabs>
              <w:spacing w:after="0" w:line="240" w:lineRule="auto"/>
              <w:rPr>
                <w:kern w:val="0"/>
              </w:rPr>
            </w:pPr>
            <w:r w:rsidRPr="00736BCA">
              <w:t>SAMG</w:t>
            </w:r>
          </w:p>
        </w:tc>
        <w:tc>
          <w:tcPr>
            <w:tcW w:w="6930" w:type="dxa"/>
          </w:tcPr>
          <w:p w14:paraId="65F694F1" w14:textId="408B8B00" w:rsidR="005527B6" w:rsidRPr="00E375CF" w:rsidRDefault="005527B6" w:rsidP="005527B6">
            <w:pPr>
              <w:tabs>
                <w:tab w:val="clear" w:pos="720"/>
                <w:tab w:val="clear" w:pos="1296"/>
                <w:tab w:val="clear" w:pos="1872"/>
                <w:tab w:val="clear" w:pos="2448"/>
              </w:tabs>
              <w:spacing w:after="0" w:line="240" w:lineRule="auto"/>
              <w:rPr>
                <w:kern w:val="0"/>
              </w:rPr>
            </w:pPr>
            <w:r w:rsidRPr="00736BCA">
              <w:t>Ръководни принципи за управление на тежки аварии</w:t>
            </w:r>
          </w:p>
        </w:tc>
      </w:tr>
      <w:tr w:rsidR="005527B6" w:rsidRPr="00E375CF" w14:paraId="6475C70F" w14:textId="77777777" w:rsidTr="00B723E1">
        <w:tc>
          <w:tcPr>
            <w:tcW w:w="1525" w:type="dxa"/>
          </w:tcPr>
          <w:p w14:paraId="4A1C9295" w14:textId="44606700" w:rsidR="005527B6" w:rsidRPr="00E375CF" w:rsidRDefault="005527B6" w:rsidP="005527B6">
            <w:pPr>
              <w:tabs>
                <w:tab w:val="clear" w:pos="720"/>
                <w:tab w:val="clear" w:pos="1296"/>
                <w:tab w:val="clear" w:pos="1872"/>
                <w:tab w:val="clear" w:pos="2448"/>
              </w:tabs>
              <w:spacing w:after="0" w:line="240" w:lineRule="auto"/>
              <w:rPr>
                <w:kern w:val="0"/>
              </w:rPr>
            </w:pPr>
            <w:r w:rsidRPr="00736BCA">
              <w:t>URD</w:t>
            </w:r>
          </w:p>
        </w:tc>
        <w:tc>
          <w:tcPr>
            <w:tcW w:w="6930" w:type="dxa"/>
          </w:tcPr>
          <w:p w14:paraId="45302E87" w14:textId="415C4956" w:rsidR="005527B6" w:rsidRPr="00E375CF" w:rsidRDefault="005527B6" w:rsidP="005527B6">
            <w:pPr>
              <w:tabs>
                <w:tab w:val="clear" w:pos="720"/>
                <w:tab w:val="clear" w:pos="1296"/>
                <w:tab w:val="clear" w:pos="1872"/>
                <w:tab w:val="clear" w:pos="2448"/>
              </w:tabs>
              <w:spacing w:after="0" w:line="240" w:lineRule="auto"/>
              <w:rPr>
                <w:kern w:val="0"/>
              </w:rPr>
            </w:pPr>
            <w:r w:rsidRPr="00736BCA">
              <w:t>Документ с изисквания към АЕЦ с леководни реактори</w:t>
            </w:r>
          </w:p>
        </w:tc>
      </w:tr>
      <w:tr w:rsidR="005527B6" w:rsidRPr="00E375CF" w14:paraId="7B0CC7AB" w14:textId="77777777" w:rsidTr="00B723E1">
        <w:tc>
          <w:tcPr>
            <w:tcW w:w="1525" w:type="dxa"/>
          </w:tcPr>
          <w:p w14:paraId="1562785F" w14:textId="0C763605" w:rsidR="005527B6" w:rsidRPr="00E375CF" w:rsidRDefault="005527B6" w:rsidP="005527B6">
            <w:pPr>
              <w:tabs>
                <w:tab w:val="clear" w:pos="720"/>
                <w:tab w:val="clear" w:pos="1296"/>
                <w:tab w:val="clear" w:pos="1872"/>
                <w:tab w:val="clear" w:pos="2448"/>
              </w:tabs>
              <w:spacing w:after="0" w:line="240" w:lineRule="auto"/>
              <w:rPr>
                <w:kern w:val="0"/>
              </w:rPr>
            </w:pPr>
            <w:r w:rsidRPr="00736BCA">
              <w:t>WENRA</w:t>
            </w:r>
          </w:p>
        </w:tc>
        <w:tc>
          <w:tcPr>
            <w:tcW w:w="6930" w:type="dxa"/>
          </w:tcPr>
          <w:p w14:paraId="7DB099E4" w14:textId="2E032620" w:rsidR="005527B6" w:rsidRPr="00E375CF" w:rsidRDefault="005527B6" w:rsidP="005527B6">
            <w:pPr>
              <w:tabs>
                <w:tab w:val="clear" w:pos="720"/>
                <w:tab w:val="clear" w:pos="1296"/>
                <w:tab w:val="clear" w:pos="1872"/>
                <w:tab w:val="clear" w:pos="2448"/>
              </w:tabs>
              <w:spacing w:after="0" w:line="240" w:lineRule="auto"/>
              <w:rPr>
                <w:kern w:val="0"/>
              </w:rPr>
            </w:pPr>
            <w:r w:rsidRPr="00736BCA">
              <w:t xml:space="preserve">Асоциация на западноевропейските органи за ядрено регулиране </w:t>
            </w:r>
          </w:p>
        </w:tc>
      </w:tr>
      <w:tr w:rsidR="005527B6" w:rsidRPr="00E375CF" w14:paraId="18BC7A34" w14:textId="77777777" w:rsidTr="00B723E1">
        <w:tc>
          <w:tcPr>
            <w:tcW w:w="1525" w:type="dxa"/>
          </w:tcPr>
          <w:p w14:paraId="3454F776" w14:textId="49DA57F7" w:rsidR="005527B6" w:rsidRPr="00E375CF" w:rsidRDefault="005527B6" w:rsidP="005527B6">
            <w:pPr>
              <w:tabs>
                <w:tab w:val="clear" w:pos="720"/>
                <w:tab w:val="clear" w:pos="1296"/>
                <w:tab w:val="clear" w:pos="1872"/>
                <w:tab w:val="clear" w:pos="2448"/>
              </w:tabs>
              <w:spacing w:after="0" w:line="240" w:lineRule="auto"/>
              <w:rPr>
                <w:kern w:val="0"/>
              </w:rPr>
            </w:pPr>
            <w:r w:rsidRPr="00736BCA">
              <w:t>АСПН</w:t>
            </w:r>
          </w:p>
        </w:tc>
        <w:tc>
          <w:tcPr>
            <w:tcW w:w="6930" w:type="dxa"/>
          </w:tcPr>
          <w:p w14:paraId="3AA64BF3" w14:textId="7B6F426E" w:rsidR="005527B6" w:rsidRPr="00E375CF" w:rsidRDefault="005527B6" w:rsidP="005527B6">
            <w:pPr>
              <w:tabs>
                <w:tab w:val="clear" w:pos="720"/>
                <w:tab w:val="clear" w:pos="1296"/>
                <w:tab w:val="clear" w:pos="1872"/>
                <w:tab w:val="clear" w:pos="2448"/>
              </w:tabs>
              <w:spacing w:after="0" w:line="240" w:lineRule="auto"/>
              <w:rPr>
                <w:kern w:val="0"/>
              </w:rPr>
            </w:pPr>
            <w:r w:rsidRPr="00736BCA">
              <w:t>Автоматична система за понижаване на налягането</w:t>
            </w:r>
          </w:p>
        </w:tc>
      </w:tr>
      <w:tr w:rsidR="005527B6" w:rsidRPr="00E375CF" w14:paraId="098BF30F" w14:textId="77777777" w:rsidTr="00B723E1">
        <w:tc>
          <w:tcPr>
            <w:tcW w:w="1525" w:type="dxa"/>
          </w:tcPr>
          <w:p w14:paraId="11A8D6F7" w14:textId="76547A82" w:rsidR="005527B6" w:rsidRPr="00E375CF" w:rsidRDefault="005527B6" w:rsidP="005527B6">
            <w:pPr>
              <w:tabs>
                <w:tab w:val="clear" w:pos="720"/>
                <w:tab w:val="clear" w:pos="1296"/>
                <w:tab w:val="clear" w:pos="1872"/>
                <w:tab w:val="clear" w:pos="2448"/>
              </w:tabs>
              <w:spacing w:after="0" w:line="240" w:lineRule="auto"/>
              <w:rPr>
                <w:kern w:val="0"/>
              </w:rPr>
            </w:pPr>
            <w:r w:rsidRPr="00736BCA">
              <w:t>БОК</w:t>
            </w:r>
          </w:p>
        </w:tc>
        <w:tc>
          <w:tcPr>
            <w:tcW w:w="6930" w:type="dxa"/>
          </w:tcPr>
          <w:p w14:paraId="154B6C71" w14:textId="21ECB381" w:rsidR="005527B6" w:rsidRPr="00E375CF" w:rsidRDefault="005527B6" w:rsidP="005527B6">
            <w:pPr>
              <w:tabs>
                <w:tab w:val="clear" w:pos="720"/>
                <w:tab w:val="clear" w:pos="1296"/>
                <w:tab w:val="clear" w:pos="1872"/>
                <w:tab w:val="clear" w:pos="2448"/>
              </w:tabs>
              <w:spacing w:after="0" w:line="240" w:lineRule="auto"/>
              <w:rPr>
                <w:kern w:val="0"/>
              </w:rPr>
            </w:pPr>
            <w:r w:rsidRPr="00736BCA">
              <w:t>Басейн за отлежаване на касети</w:t>
            </w:r>
          </w:p>
        </w:tc>
      </w:tr>
      <w:tr w:rsidR="005527B6" w:rsidRPr="00E375CF" w14:paraId="10B4E3CC" w14:textId="77777777" w:rsidTr="00B723E1">
        <w:tc>
          <w:tcPr>
            <w:tcW w:w="1525" w:type="dxa"/>
          </w:tcPr>
          <w:p w14:paraId="58F84F47" w14:textId="10AF3375" w:rsidR="005527B6" w:rsidRPr="00E375CF" w:rsidRDefault="005527B6" w:rsidP="005527B6">
            <w:pPr>
              <w:tabs>
                <w:tab w:val="clear" w:pos="720"/>
                <w:tab w:val="clear" w:pos="1296"/>
                <w:tab w:val="clear" w:pos="1872"/>
                <w:tab w:val="clear" w:pos="2448"/>
              </w:tabs>
              <w:spacing w:after="0" w:line="240" w:lineRule="auto"/>
              <w:rPr>
                <w:kern w:val="0"/>
              </w:rPr>
            </w:pPr>
            <w:r w:rsidRPr="00736BCA">
              <w:t>БПАЗ</w:t>
            </w:r>
          </w:p>
        </w:tc>
        <w:tc>
          <w:tcPr>
            <w:tcW w:w="6930" w:type="dxa"/>
          </w:tcPr>
          <w:p w14:paraId="490645E9" w14:textId="2C55CFF2" w:rsidR="005527B6" w:rsidRPr="00E375CF" w:rsidRDefault="005527B6" w:rsidP="005527B6">
            <w:pPr>
              <w:tabs>
                <w:tab w:val="clear" w:pos="720"/>
                <w:tab w:val="clear" w:pos="1296"/>
                <w:tab w:val="clear" w:pos="1872"/>
                <w:tab w:val="clear" w:pos="2448"/>
              </w:tabs>
              <w:spacing w:after="0" w:line="240" w:lineRule="auto"/>
              <w:rPr>
                <w:kern w:val="0"/>
              </w:rPr>
            </w:pPr>
            <w:r w:rsidRPr="00736BCA">
              <w:t>Бак за подпитка на активната зона</w:t>
            </w:r>
          </w:p>
        </w:tc>
      </w:tr>
      <w:tr w:rsidR="005527B6" w:rsidRPr="00E375CF" w14:paraId="2BA21DC1" w14:textId="77777777" w:rsidTr="00B723E1">
        <w:tc>
          <w:tcPr>
            <w:tcW w:w="1525" w:type="dxa"/>
          </w:tcPr>
          <w:p w14:paraId="0693CF05" w14:textId="7317327B" w:rsidR="005527B6" w:rsidRPr="00E375CF" w:rsidRDefault="005527B6" w:rsidP="005527B6">
            <w:pPr>
              <w:tabs>
                <w:tab w:val="clear" w:pos="720"/>
                <w:tab w:val="clear" w:pos="1296"/>
                <w:tab w:val="clear" w:pos="1872"/>
                <w:tab w:val="clear" w:pos="2448"/>
              </w:tabs>
              <w:spacing w:after="0" w:line="240" w:lineRule="auto"/>
              <w:rPr>
                <w:kern w:val="0"/>
              </w:rPr>
            </w:pPr>
            <w:r w:rsidRPr="00736BCA">
              <w:t>БЩУ</w:t>
            </w:r>
          </w:p>
        </w:tc>
        <w:tc>
          <w:tcPr>
            <w:tcW w:w="6930" w:type="dxa"/>
          </w:tcPr>
          <w:p w14:paraId="6F79B859" w14:textId="5BF88208" w:rsidR="005527B6" w:rsidRPr="00E375CF" w:rsidRDefault="005527B6" w:rsidP="005527B6">
            <w:pPr>
              <w:tabs>
                <w:tab w:val="clear" w:pos="720"/>
                <w:tab w:val="clear" w:pos="1296"/>
                <w:tab w:val="clear" w:pos="1872"/>
                <w:tab w:val="clear" w:pos="2448"/>
              </w:tabs>
              <w:spacing w:after="0" w:line="240" w:lineRule="auto"/>
              <w:rPr>
                <w:kern w:val="0"/>
              </w:rPr>
            </w:pPr>
            <w:r w:rsidRPr="00736BCA">
              <w:t>Блочен щит за управление</w:t>
            </w:r>
          </w:p>
        </w:tc>
      </w:tr>
      <w:tr w:rsidR="005527B6" w:rsidRPr="00E375CF" w14:paraId="371E68BF" w14:textId="77777777" w:rsidTr="00B723E1">
        <w:tc>
          <w:tcPr>
            <w:tcW w:w="1525" w:type="dxa"/>
          </w:tcPr>
          <w:p w14:paraId="055C2C7D" w14:textId="67A155BB" w:rsidR="005527B6" w:rsidRPr="00E375CF" w:rsidRDefault="005527B6" w:rsidP="005527B6">
            <w:pPr>
              <w:tabs>
                <w:tab w:val="clear" w:pos="720"/>
                <w:tab w:val="clear" w:pos="1296"/>
                <w:tab w:val="clear" w:pos="1872"/>
                <w:tab w:val="clear" w:pos="2448"/>
              </w:tabs>
              <w:spacing w:after="0" w:line="240" w:lineRule="auto"/>
              <w:rPr>
                <w:kern w:val="0"/>
              </w:rPr>
            </w:pPr>
            <w:r w:rsidRPr="00736BCA">
              <w:t>ВАБ</w:t>
            </w:r>
          </w:p>
        </w:tc>
        <w:tc>
          <w:tcPr>
            <w:tcW w:w="6930" w:type="dxa"/>
          </w:tcPr>
          <w:p w14:paraId="3C2373CE" w14:textId="3362C532" w:rsidR="005527B6" w:rsidRPr="00E375CF" w:rsidRDefault="005527B6" w:rsidP="005527B6">
            <w:pPr>
              <w:tabs>
                <w:tab w:val="clear" w:pos="720"/>
                <w:tab w:val="clear" w:pos="1296"/>
                <w:tab w:val="clear" w:pos="1872"/>
                <w:tab w:val="clear" w:pos="2448"/>
              </w:tabs>
              <w:spacing w:after="0" w:line="240" w:lineRule="auto"/>
              <w:rPr>
                <w:kern w:val="0"/>
              </w:rPr>
            </w:pPr>
            <w:r w:rsidRPr="00736BCA">
              <w:t>Вероятностен анализ на безопасността</w:t>
            </w:r>
          </w:p>
        </w:tc>
      </w:tr>
      <w:tr w:rsidR="005527B6" w:rsidRPr="00E375CF" w14:paraId="23E403EF" w14:textId="77777777" w:rsidTr="00B723E1">
        <w:tc>
          <w:tcPr>
            <w:tcW w:w="1525" w:type="dxa"/>
          </w:tcPr>
          <w:p w14:paraId="24A54918" w14:textId="6F33D5F8" w:rsidR="005527B6" w:rsidRPr="00E375CF" w:rsidRDefault="005527B6" w:rsidP="005527B6">
            <w:pPr>
              <w:tabs>
                <w:tab w:val="clear" w:pos="720"/>
                <w:tab w:val="clear" w:pos="1296"/>
                <w:tab w:val="clear" w:pos="1872"/>
                <w:tab w:val="clear" w:pos="2448"/>
              </w:tabs>
              <w:spacing w:after="0" w:line="240" w:lineRule="auto"/>
              <w:rPr>
                <w:kern w:val="0"/>
              </w:rPr>
            </w:pPr>
            <w:r w:rsidRPr="00736BCA">
              <w:t>ВАБ</w:t>
            </w:r>
          </w:p>
        </w:tc>
        <w:tc>
          <w:tcPr>
            <w:tcW w:w="6930" w:type="dxa"/>
          </w:tcPr>
          <w:p w14:paraId="73F1F229" w14:textId="32A47DE3" w:rsidR="005527B6" w:rsidRPr="00E375CF" w:rsidRDefault="005527B6" w:rsidP="005527B6">
            <w:pPr>
              <w:tabs>
                <w:tab w:val="clear" w:pos="720"/>
                <w:tab w:val="clear" w:pos="1296"/>
                <w:tab w:val="clear" w:pos="1872"/>
                <w:tab w:val="clear" w:pos="2448"/>
              </w:tabs>
              <w:spacing w:after="0" w:line="240" w:lineRule="auto"/>
              <w:rPr>
                <w:kern w:val="0"/>
              </w:rPr>
            </w:pPr>
            <w:r w:rsidRPr="00736BCA">
              <w:t>Вероятностен анализ на безопасността</w:t>
            </w:r>
          </w:p>
        </w:tc>
      </w:tr>
      <w:tr w:rsidR="005527B6" w:rsidRPr="00E375CF" w14:paraId="442A34CF" w14:textId="77777777" w:rsidTr="00B723E1">
        <w:tc>
          <w:tcPr>
            <w:tcW w:w="1525" w:type="dxa"/>
          </w:tcPr>
          <w:p w14:paraId="7D77B72B" w14:textId="6B7E2B6E" w:rsidR="005527B6" w:rsidRPr="00E375CF" w:rsidRDefault="005527B6" w:rsidP="005527B6">
            <w:pPr>
              <w:tabs>
                <w:tab w:val="clear" w:pos="720"/>
                <w:tab w:val="clear" w:pos="1296"/>
                <w:tab w:val="clear" w:pos="1872"/>
                <w:tab w:val="clear" w:pos="2448"/>
              </w:tabs>
              <w:spacing w:after="0" w:line="240" w:lineRule="auto"/>
              <w:rPr>
                <w:kern w:val="0"/>
              </w:rPr>
            </w:pPr>
            <w:r w:rsidRPr="00736BCA">
              <w:t>ВКЗ</w:t>
            </w:r>
          </w:p>
        </w:tc>
        <w:tc>
          <w:tcPr>
            <w:tcW w:w="6930" w:type="dxa"/>
          </w:tcPr>
          <w:p w14:paraId="74BAFA88" w14:textId="6254FD1E" w:rsidR="005527B6" w:rsidRPr="00E375CF" w:rsidRDefault="005527B6" w:rsidP="005527B6">
            <w:pPr>
              <w:tabs>
                <w:tab w:val="clear" w:pos="720"/>
                <w:tab w:val="clear" w:pos="1296"/>
                <w:tab w:val="clear" w:pos="1872"/>
                <w:tab w:val="clear" w:pos="2448"/>
              </w:tabs>
              <w:spacing w:after="0" w:line="240" w:lineRule="auto"/>
              <w:rPr>
                <w:kern w:val="0"/>
              </w:rPr>
            </w:pPr>
            <w:r w:rsidRPr="00736BCA">
              <w:t>Вътрешнокорпусно задържане</w:t>
            </w:r>
          </w:p>
        </w:tc>
      </w:tr>
      <w:tr w:rsidR="005527B6" w:rsidRPr="00E375CF" w14:paraId="1FF18AC9" w14:textId="77777777" w:rsidTr="00B723E1">
        <w:tc>
          <w:tcPr>
            <w:tcW w:w="1525" w:type="dxa"/>
          </w:tcPr>
          <w:p w14:paraId="2238B75A" w14:textId="717F3FF0" w:rsidR="005527B6" w:rsidRPr="00E375CF" w:rsidRDefault="005527B6" w:rsidP="005527B6">
            <w:pPr>
              <w:tabs>
                <w:tab w:val="clear" w:pos="720"/>
                <w:tab w:val="clear" w:pos="1296"/>
                <w:tab w:val="clear" w:pos="1872"/>
                <w:tab w:val="clear" w:pos="2448"/>
              </w:tabs>
              <w:spacing w:after="0" w:line="240" w:lineRule="auto"/>
              <w:rPr>
                <w:kern w:val="0"/>
              </w:rPr>
            </w:pPr>
            <w:r w:rsidRPr="00736BCA">
              <w:t>ВНУ</w:t>
            </w:r>
          </w:p>
        </w:tc>
        <w:tc>
          <w:tcPr>
            <w:tcW w:w="6930" w:type="dxa"/>
          </w:tcPr>
          <w:p w14:paraId="74DEBC7A" w14:textId="4CB0C60B" w:rsidR="005527B6" w:rsidRPr="00E375CF" w:rsidRDefault="005527B6" w:rsidP="005527B6">
            <w:pPr>
              <w:tabs>
                <w:tab w:val="clear" w:pos="720"/>
                <w:tab w:val="clear" w:pos="1296"/>
                <w:tab w:val="clear" w:pos="1872"/>
                <w:tab w:val="clear" w:pos="2448"/>
              </w:tabs>
              <w:spacing w:after="0" w:line="240" w:lineRule="auto"/>
              <w:rPr>
                <w:kern w:val="0"/>
              </w:rPr>
            </w:pPr>
            <w:r w:rsidRPr="00736BCA">
              <w:t>Върховно наземно ускорение</w:t>
            </w:r>
          </w:p>
        </w:tc>
      </w:tr>
      <w:tr w:rsidR="005527B6" w:rsidRPr="00E375CF" w14:paraId="5C916F59" w14:textId="77777777" w:rsidTr="00B723E1">
        <w:tc>
          <w:tcPr>
            <w:tcW w:w="1525" w:type="dxa"/>
          </w:tcPr>
          <w:p w14:paraId="3C02CB3E" w14:textId="34AA672B" w:rsidR="005527B6" w:rsidRPr="00E375CF" w:rsidRDefault="005527B6" w:rsidP="005527B6">
            <w:pPr>
              <w:tabs>
                <w:tab w:val="clear" w:pos="720"/>
                <w:tab w:val="clear" w:pos="1296"/>
                <w:tab w:val="clear" w:pos="1872"/>
                <w:tab w:val="clear" w:pos="2448"/>
              </w:tabs>
              <w:spacing w:after="0" w:line="240" w:lineRule="auto"/>
              <w:rPr>
                <w:kern w:val="0"/>
              </w:rPr>
            </w:pPr>
            <w:r w:rsidRPr="00736BCA">
              <w:t>ВСН</w:t>
            </w:r>
          </w:p>
        </w:tc>
        <w:tc>
          <w:tcPr>
            <w:tcW w:w="6930" w:type="dxa"/>
          </w:tcPr>
          <w:p w14:paraId="523BD619" w14:textId="0844A7EE" w:rsidR="005527B6" w:rsidRPr="00E375CF" w:rsidRDefault="005527B6" w:rsidP="005527B6">
            <w:pPr>
              <w:tabs>
                <w:tab w:val="clear" w:pos="720"/>
                <w:tab w:val="clear" w:pos="1296"/>
                <w:tab w:val="clear" w:pos="1872"/>
                <w:tab w:val="clear" w:pos="2448"/>
              </w:tabs>
              <w:spacing w:after="0" w:line="240" w:lineRule="auto"/>
              <w:rPr>
                <w:kern w:val="0"/>
              </w:rPr>
            </w:pPr>
            <w:r w:rsidRPr="00736BCA">
              <w:t>Нерадиоактивна отоплителна и вентилационна система на пристройка/спецкорпус</w:t>
            </w:r>
          </w:p>
        </w:tc>
      </w:tr>
      <w:tr w:rsidR="005527B6" w:rsidRPr="00E375CF" w14:paraId="25E581C0" w14:textId="77777777" w:rsidTr="00B723E1">
        <w:tc>
          <w:tcPr>
            <w:tcW w:w="1525" w:type="dxa"/>
          </w:tcPr>
          <w:p w14:paraId="1065FB3E" w14:textId="4CEAF7A1" w:rsidR="005527B6" w:rsidRPr="00E375CF" w:rsidRDefault="005527B6" w:rsidP="005527B6">
            <w:pPr>
              <w:tabs>
                <w:tab w:val="clear" w:pos="720"/>
                <w:tab w:val="clear" w:pos="1296"/>
                <w:tab w:val="clear" w:pos="1872"/>
                <w:tab w:val="clear" w:pos="2448"/>
              </w:tabs>
              <w:spacing w:after="0" w:line="240" w:lineRule="auto"/>
              <w:rPr>
                <w:kern w:val="0"/>
              </w:rPr>
            </w:pPr>
            <w:r w:rsidRPr="00736BCA">
              <w:t>ГЗСС</w:t>
            </w:r>
          </w:p>
        </w:tc>
        <w:tc>
          <w:tcPr>
            <w:tcW w:w="6930" w:type="dxa"/>
          </w:tcPr>
          <w:p w14:paraId="3364322C" w14:textId="197E3492" w:rsidR="005527B6" w:rsidRPr="00E375CF" w:rsidRDefault="005527B6" w:rsidP="005527B6">
            <w:pPr>
              <w:tabs>
                <w:tab w:val="clear" w:pos="720"/>
                <w:tab w:val="clear" w:pos="1296"/>
                <w:tab w:val="clear" w:pos="1872"/>
                <w:tab w:val="clear" w:pos="2448"/>
              </w:tabs>
              <w:spacing w:after="0" w:line="240" w:lineRule="auto"/>
              <w:rPr>
                <w:kern w:val="0"/>
              </w:rPr>
            </w:pPr>
            <w:r w:rsidRPr="00736BCA">
              <w:t>Граница на зоната със строг режим</w:t>
            </w:r>
          </w:p>
        </w:tc>
      </w:tr>
      <w:tr w:rsidR="005527B6" w:rsidRPr="00E375CF" w14:paraId="4C92183C" w14:textId="77777777" w:rsidTr="00B723E1">
        <w:tc>
          <w:tcPr>
            <w:tcW w:w="1525" w:type="dxa"/>
          </w:tcPr>
          <w:p w14:paraId="70AF6C54" w14:textId="19B3899A" w:rsidR="005527B6" w:rsidRPr="00E375CF" w:rsidRDefault="005527B6" w:rsidP="005527B6">
            <w:pPr>
              <w:tabs>
                <w:tab w:val="clear" w:pos="720"/>
                <w:tab w:val="clear" w:pos="1296"/>
                <w:tab w:val="clear" w:pos="1872"/>
                <w:tab w:val="clear" w:pos="2448"/>
              </w:tabs>
              <w:spacing w:after="0" w:line="240" w:lineRule="auto"/>
              <w:rPr>
                <w:kern w:val="0"/>
              </w:rPr>
            </w:pPr>
            <w:r w:rsidRPr="00736BCA">
              <w:t>ГНПК</w:t>
            </w:r>
          </w:p>
        </w:tc>
        <w:tc>
          <w:tcPr>
            <w:tcW w:w="6930" w:type="dxa"/>
          </w:tcPr>
          <w:p w14:paraId="14DBBA98" w14:textId="17B29424" w:rsidR="005527B6" w:rsidRPr="00E375CF" w:rsidRDefault="005527B6" w:rsidP="005527B6">
            <w:pPr>
              <w:tabs>
                <w:tab w:val="clear" w:pos="720"/>
                <w:tab w:val="clear" w:pos="1296"/>
                <w:tab w:val="clear" w:pos="1872"/>
                <w:tab w:val="clear" w:pos="2448"/>
              </w:tabs>
              <w:spacing w:after="0" w:line="240" w:lineRule="auto"/>
              <w:rPr>
                <w:kern w:val="0"/>
              </w:rPr>
            </w:pPr>
            <w:r w:rsidRPr="00736BCA">
              <w:t>Граница на налягането на първи контур</w:t>
            </w:r>
          </w:p>
        </w:tc>
      </w:tr>
      <w:tr w:rsidR="005527B6" w:rsidRPr="00E375CF" w14:paraId="3990CA4E" w14:textId="77777777" w:rsidTr="00B723E1">
        <w:tc>
          <w:tcPr>
            <w:tcW w:w="1525" w:type="dxa"/>
          </w:tcPr>
          <w:p w14:paraId="1BB8866C" w14:textId="38E9EF96" w:rsidR="005527B6" w:rsidRPr="00E375CF" w:rsidRDefault="005527B6" w:rsidP="005527B6">
            <w:pPr>
              <w:tabs>
                <w:tab w:val="clear" w:pos="720"/>
                <w:tab w:val="clear" w:pos="1296"/>
                <w:tab w:val="clear" w:pos="1872"/>
                <w:tab w:val="clear" w:pos="2448"/>
              </w:tabs>
              <w:spacing w:after="0" w:line="240" w:lineRule="auto"/>
              <w:rPr>
                <w:kern w:val="0"/>
              </w:rPr>
            </w:pPr>
            <w:r w:rsidRPr="00736BCA">
              <w:t>ГЦП</w:t>
            </w:r>
          </w:p>
        </w:tc>
        <w:tc>
          <w:tcPr>
            <w:tcW w:w="6930" w:type="dxa"/>
          </w:tcPr>
          <w:p w14:paraId="1109A1CC" w14:textId="0199246A" w:rsidR="005527B6" w:rsidRPr="00E375CF" w:rsidRDefault="005527B6" w:rsidP="005527B6">
            <w:pPr>
              <w:tabs>
                <w:tab w:val="clear" w:pos="720"/>
                <w:tab w:val="clear" w:pos="1296"/>
                <w:tab w:val="clear" w:pos="1872"/>
                <w:tab w:val="clear" w:pos="2448"/>
              </w:tabs>
              <w:spacing w:after="0" w:line="240" w:lineRule="auto"/>
              <w:rPr>
                <w:kern w:val="0"/>
              </w:rPr>
            </w:pPr>
            <w:r w:rsidRPr="00736BCA">
              <w:t>Главна циркулационна помпа</w:t>
            </w:r>
          </w:p>
        </w:tc>
      </w:tr>
      <w:tr w:rsidR="005527B6" w:rsidRPr="00E375CF" w14:paraId="4B5C7D6B" w14:textId="77777777" w:rsidTr="00B723E1">
        <w:tc>
          <w:tcPr>
            <w:tcW w:w="1525" w:type="dxa"/>
          </w:tcPr>
          <w:p w14:paraId="02ADD8D9" w14:textId="6B169E98" w:rsidR="005527B6" w:rsidRPr="00E375CF" w:rsidRDefault="005527B6" w:rsidP="005527B6">
            <w:pPr>
              <w:tabs>
                <w:tab w:val="clear" w:pos="720"/>
                <w:tab w:val="clear" w:pos="1296"/>
                <w:tab w:val="clear" w:pos="1872"/>
                <w:tab w:val="clear" w:pos="2448"/>
              </w:tabs>
              <w:spacing w:after="0" w:line="240" w:lineRule="auto"/>
              <w:rPr>
                <w:kern w:val="0"/>
              </w:rPr>
            </w:pPr>
            <w:r w:rsidRPr="00736BCA">
              <w:t>ДЕЗ</w:t>
            </w:r>
          </w:p>
        </w:tc>
        <w:tc>
          <w:tcPr>
            <w:tcW w:w="6930" w:type="dxa"/>
          </w:tcPr>
          <w:p w14:paraId="6264AD62" w14:textId="5DCF0DE0" w:rsidR="005527B6" w:rsidRPr="00E375CF" w:rsidRDefault="005527B6" w:rsidP="005527B6">
            <w:pPr>
              <w:tabs>
                <w:tab w:val="clear" w:pos="720"/>
                <w:tab w:val="clear" w:pos="1296"/>
                <w:tab w:val="clear" w:pos="1872"/>
                <w:tab w:val="clear" w:pos="2448"/>
              </w:tabs>
              <w:spacing w:after="0" w:line="240" w:lineRule="auto"/>
              <w:rPr>
                <w:kern w:val="0"/>
              </w:rPr>
            </w:pPr>
            <w:r w:rsidRPr="00736BCA">
              <w:t xml:space="preserve">Дълбоко ешелонирана защита </w:t>
            </w:r>
          </w:p>
        </w:tc>
      </w:tr>
      <w:tr w:rsidR="005527B6" w:rsidRPr="00E375CF" w14:paraId="7C2D7517" w14:textId="77777777" w:rsidTr="00B723E1">
        <w:tc>
          <w:tcPr>
            <w:tcW w:w="1525" w:type="dxa"/>
          </w:tcPr>
          <w:p w14:paraId="6D9EDAFB" w14:textId="6B543BE4" w:rsidR="005527B6" w:rsidRPr="00E375CF" w:rsidRDefault="005527B6" w:rsidP="005527B6">
            <w:pPr>
              <w:tabs>
                <w:tab w:val="clear" w:pos="720"/>
                <w:tab w:val="clear" w:pos="1296"/>
                <w:tab w:val="clear" w:pos="1872"/>
                <w:tab w:val="clear" w:pos="2448"/>
              </w:tabs>
              <w:spacing w:after="0" w:line="240" w:lineRule="auto"/>
              <w:rPr>
                <w:kern w:val="0"/>
              </w:rPr>
            </w:pPr>
            <w:r w:rsidRPr="00736BCA">
              <w:t>ДКП</w:t>
            </w:r>
          </w:p>
        </w:tc>
        <w:tc>
          <w:tcPr>
            <w:tcW w:w="6930" w:type="dxa"/>
          </w:tcPr>
          <w:p w14:paraId="0243C01B" w14:textId="198A7ACA" w:rsidR="005527B6" w:rsidRPr="00E375CF" w:rsidRDefault="005527B6" w:rsidP="005527B6">
            <w:pPr>
              <w:tabs>
                <w:tab w:val="clear" w:pos="720"/>
                <w:tab w:val="clear" w:pos="1296"/>
                <w:tab w:val="clear" w:pos="1872"/>
                <w:tab w:val="clear" w:pos="2448"/>
              </w:tabs>
              <w:spacing w:after="0" w:line="240" w:lineRule="auto"/>
              <w:rPr>
                <w:kern w:val="0"/>
              </w:rPr>
            </w:pPr>
            <w:r w:rsidRPr="00736BCA">
              <w:t>Документ за контрол на проектирането</w:t>
            </w:r>
          </w:p>
        </w:tc>
      </w:tr>
      <w:tr w:rsidR="005527B6" w:rsidRPr="00E375CF" w14:paraId="4CC8353C" w14:textId="77777777" w:rsidTr="00B723E1">
        <w:tc>
          <w:tcPr>
            <w:tcW w:w="1525" w:type="dxa"/>
          </w:tcPr>
          <w:p w14:paraId="3644432B" w14:textId="70954CA7" w:rsidR="005527B6" w:rsidRPr="00E375CF" w:rsidRDefault="005527B6" w:rsidP="005527B6">
            <w:pPr>
              <w:tabs>
                <w:tab w:val="clear" w:pos="720"/>
                <w:tab w:val="clear" w:pos="1296"/>
                <w:tab w:val="clear" w:pos="1872"/>
                <w:tab w:val="clear" w:pos="2448"/>
              </w:tabs>
              <w:spacing w:after="0" w:line="240" w:lineRule="auto"/>
              <w:rPr>
                <w:kern w:val="0"/>
              </w:rPr>
            </w:pPr>
            <w:r w:rsidRPr="00736BCA">
              <w:t>ЕВРАТОМ</w:t>
            </w:r>
          </w:p>
        </w:tc>
        <w:tc>
          <w:tcPr>
            <w:tcW w:w="6930" w:type="dxa"/>
          </w:tcPr>
          <w:p w14:paraId="73D1A588" w14:textId="2AAAA87E" w:rsidR="005527B6" w:rsidRPr="00E375CF" w:rsidDel="0061627B" w:rsidRDefault="005527B6" w:rsidP="005527B6">
            <w:pPr>
              <w:tabs>
                <w:tab w:val="clear" w:pos="720"/>
                <w:tab w:val="clear" w:pos="1296"/>
                <w:tab w:val="clear" w:pos="1872"/>
                <w:tab w:val="clear" w:pos="2448"/>
              </w:tabs>
              <w:spacing w:after="0" w:line="240" w:lineRule="auto"/>
              <w:rPr>
                <w:kern w:val="0"/>
              </w:rPr>
            </w:pPr>
            <w:r w:rsidRPr="00736BCA">
              <w:t>Европейска общност за атомна енергия</w:t>
            </w:r>
          </w:p>
        </w:tc>
      </w:tr>
      <w:tr w:rsidR="005527B6" w:rsidRPr="00E375CF" w14:paraId="1EA0530E" w14:textId="77777777" w:rsidTr="00B723E1">
        <w:tc>
          <w:tcPr>
            <w:tcW w:w="1525" w:type="dxa"/>
          </w:tcPr>
          <w:p w14:paraId="37AF2F1D" w14:textId="700EAD22" w:rsidR="005527B6" w:rsidRPr="00E375CF" w:rsidRDefault="005527B6" w:rsidP="005527B6">
            <w:pPr>
              <w:tabs>
                <w:tab w:val="clear" w:pos="720"/>
                <w:tab w:val="clear" w:pos="1296"/>
                <w:tab w:val="clear" w:pos="1872"/>
                <w:tab w:val="clear" w:pos="2448"/>
              </w:tabs>
              <w:spacing w:after="0" w:line="240" w:lineRule="auto"/>
              <w:rPr>
                <w:kern w:val="0"/>
              </w:rPr>
            </w:pPr>
            <w:r w:rsidRPr="00736BCA">
              <w:t>ИЕАЕЦ</w:t>
            </w:r>
          </w:p>
        </w:tc>
        <w:tc>
          <w:tcPr>
            <w:tcW w:w="6930" w:type="dxa"/>
          </w:tcPr>
          <w:p w14:paraId="56AF5016" w14:textId="7E14D680" w:rsidR="005527B6" w:rsidRPr="00E375CF" w:rsidRDefault="005527B6" w:rsidP="005527B6">
            <w:pPr>
              <w:tabs>
                <w:tab w:val="clear" w:pos="720"/>
                <w:tab w:val="clear" w:pos="1296"/>
                <w:tab w:val="clear" w:pos="1872"/>
                <w:tab w:val="clear" w:pos="2448"/>
              </w:tabs>
              <w:spacing w:after="0" w:line="240" w:lineRule="auto"/>
              <w:rPr>
                <w:kern w:val="0"/>
              </w:rPr>
            </w:pPr>
            <w:r w:rsidRPr="00736BCA">
              <w:t>Институт по експлоатация на АЕЦ</w:t>
            </w:r>
          </w:p>
        </w:tc>
      </w:tr>
      <w:tr w:rsidR="005527B6" w:rsidRPr="00E375CF" w14:paraId="7A2DDFD6" w14:textId="77777777" w:rsidTr="00B723E1">
        <w:tc>
          <w:tcPr>
            <w:tcW w:w="1525" w:type="dxa"/>
          </w:tcPr>
          <w:p w14:paraId="079F0B9E" w14:textId="0075F519" w:rsidR="005527B6" w:rsidRPr="00E375CF" w:rsidRDefault="005527B6" w:rsidP="005527B6">
            <w:pPr>
              <w:tabs>
                <w:tab w:val="clear" w:pos="720"/>
                <w:tab w:val="clear" w:pos="1296"/>
                <w:tab w:val="clear" w:pos="1872"/>
                <w:tab w:val="clear" w:pos="2448"/>
              </w:tabs>
              <w:spacing w:after="0" w:line="240" w:lineRule="auto"/>
              <w:rPr>
                <w:kern w:val="0"/>
              </w:rPr>
            </w:pPr>
            <w:r w:rsidRPr="00736BCA">
              <w:t>ИЧС</w:t>
            </w:r>
          </w:p>
        </w:tc>
        <w:tc>
          <w:tcPr>
            <w:tcW w:w="6930" w:type="dxa"/>
          </w:tcPr>
          <w:p w14:paraId="7B8D6378" w14:textId="484878A7" w:rsidR="005527B6" w:rsidRPr="00E375CF" w:rsidRDefault="005527B6" w:rsidP="005527B6">
            <w:pPr>
              <w:tabs>
                <w:tab w:val="clear" w:pos="720"/>
                <w:tab w:val="clear" w:pos="1296"/>
                <w:tab w:val="clear" w:pos="1872"/>
                <w:tab w:val="clear" w:pos="2448"/>
              </w:tabs>
              <w:spacing w:after="0" w:line="240" w:lineRule="auto"/>
              <w:rPr>
                <w:kern w:val="0"/>
              </w:rPr>
            </w:pPr>
            <w:r w:rsidRPr="00736BCA">
              <w:t>Интерфейс човек-система</w:t>
            </w:r>
          </w:p>
        </w:tc>
      </w:tr>
      <w:tr w:rsidR="005527B6" w:rsidRPr="00E375CF" w14:paraId="670AC9EF" w14:textId="77777777" w:rsidTr="00B723E1">
        <w:tc>
          <w:tcPr>
            <w:tcW w:w="1525" w:type="dxa"/>
          </w:tcPr>
          <w:p w14:paraId="4CF10EA6" w14:textId="1F497DD5" w:rsidR="005527B6" w:rsidRPr="00E375CF" w:rsidRDefault="005527B6" w:rsidP="005527B6">
            <w:pPr>
              <w:tabs>
                <w:tab w:val="clear" w:pos="720"/>
                <w:tab w:val="clear" w:pos="1296"/>
                <w:tab w:val="clear" w:pos="1872"/>
                <w:tab w:val="clear" w:pos="2448"/>
              </w:tabs>
              <w:spacing w:after="0" w:line="240" w:lineRule="auto"/>
              <w:rPr>
                <w:kern w:val="0"/>
              </w:rPr>
            </w:pPr>
            <w:r w:rsidRPr="00736BCA">
              <w:t>КАС</w:t>
            </w:r>
          </w:p>
        </w:tc>
        <w:tc>
          <w:tcPr>
            <w:tcW w:w="6930" w:type="dxa"/>
          </w:tcPr>
          <w:p w14:paraId="56CBE486" w14:textId="616D072E" w:rsidR="005527B6" w:rsidRPr="00E375CF" w:rsidRDefault="005527B6" w:rsidP="005527B6">
            <w:pPr>
              <w:tabs>
                <w:tab w:val="clear" w:pos="720"/>
                <w:tab w:val="clear" w:pos="1296"/>
                <w:tab w:val="clear" w:pos="1872"/>
                <w:tab w:val="clear" w:pos="2448"/>
              </w:tabs>
              <w:spacing w:after="0" w:line="240" w:lineRule="auto"/>
              <w:rPr>
                <w:kern w:val="0"/>
              </w:rPr>
            </w:pPr>
            <w:r w:rsidRPr="00736BCA">
              <w:t>Кумулативна абсолютна скорост</w:t>
            </w:r>
          </w:p>
        </w:tc>
      </w:tr>
      <w:tr w:rsidR="005527B6" w:rsidRPr="00E375CF" w14:paraId="177CF446" w14:textId="77777777" w:rsidTr="00B723E1">
        <w:tc>
          <w:tcPr>
            <w:tcW w:w="1525" w:type="dxa"/>
          </w:tcPr>
          <w:p w14:paraId="23F1CD30" w14:textId="2EB94F65" w:rsidR="005527B6" w:rsidRPr="00E375CF" w:rsidRDefault="005527B6" w:rsidP="005527B6">
            <w:pPr>
              <w:tabs>
                <w:tab w:val="clear" w:pos="720"/>
                <w:tab w:val="clear" w:pos="1296"/>
                <w:tab w:val="clear" w:pos="1872"/>
                <w:tab w:val="clear" w:pos="2448"/>
              </w:tabs>
              <w:spacing w:after="0" w:line="240" w:lineRule="auto"/>
              <w:rPr>
                <w:kern w:val="0"/>
              </w:rPr>
            </w:pPr>
            <w:r w:rsidRPr="00736BCA">
              <w:t>КИПиА</w:t>
            </w:r>
          </w:p>
        </w:tc>
        <w:tc>
          <w:tcPr>
            <w:tcW w:w="6930" w:type="dxa"/>
          </w:tcPr>
          <w:p w14:paraId="0E596B7B" w14:textId="1627ADCF" w:rsidR="005527B6" w:rsidRPr="00E375CF" w:rsidRDefault="005527B6" w:rsidP="005527B6">
            <w:pPr>
              <w:tabs>
                <w:tab w:val="clear" w:pos="720"/>
                <w:tab w:val="clear" w:pos="1296"/>
                <w:tab w:val="clear" w:pos="1872"/>
                <w:tab w:val="clear" w:pos="2448"/>
              </w:tabs>
              <w:spacing w:after="0" w:line="240" w:lineRule="auto"/>
              <w:rPr>
                <w:kern w:val="0"/>
              </w:rPr>
            </w:pPr>
            <w:r w:rsidRPr="00736BCA">
              <w:t>Контролно-измервателни прибори и автоматизация</w:t>
            </w:r>
          </w:p>
        </w:tc>
      </w:tr>
      <w:tr w:rsidR="005527B6" w:rsidRPr="00E375CF" w14:paraId="1E0B6687" w14:textId="77777777" w:rsidTr="00B723E1">
        <w:tc>
          <w:tcPr>
            <w:tcW w:w="1525" w:type="dxa"/>
          </w:tcPr>
          <w:p w14:paraId="2FB3E9D0" w14:textId="0B43A90E" w:rsidR="005527B6" w:rsidRPr="00E375CF" w:rsidRDefault="005527B6" w:rsidP="005527B6">
            <w:pPr>
              <w:tabs>
                <w:tab w:val="clear" w:pos="720"/>
                <w:tab w:val="clear" w:pos="1296"/>
                <w:tab w:val="clear" w:pos="1872"/>
                <w:tab w:val="clear" w:pos="2448"/>
              </w:tabs>
              <w:spacing w:after="0" w:line="240" w:lineRule="auto"/>
              <w:rPr>
                <w:kern w:val="0"/>
              </w:rPr>
            </w:pPr>
            <w:r w:rsidRPr="00736BCA">
              <w:t>КСК</w:t>
            </w:r>
          </w:p>
        </w:tc>
        <w:tc>
          <w:tcPr>
            <w:tcW w:w="6930" w:type="dxa"/>
          </w:tcPr>
          <w:p w14:paraId="241D95E0" w14:textId="3DB9432C" w:rsidR="005527B6" w:rsidRPr="00E375CF" w:rsidRDefault="005527B6" w:rsidP="005527B6">
            <w:pPr>
              <w:tabs>
                <w:tab w:val="clear" w:pos="720"/>
                <w:tab w:val="clear" w:pos="1296"/>
                <w:tab w:val="clear" w:pos="1872"/>
                <w:tab w:val="clear" w:pos="2448"/>
              </w:tabs>
              <w:spacing w:after="0" w:line="240" w:lineRule="auto"/>
              <w:rPr>
                <w:kern w:val="0"/>
              </w:rPr>
            </w:pPr>
            <w:r w:rsidRPr="00736BCA">
              <w:t>Конструкции, системи и компоненти</w:t>
            </w:r>
          </w:p>
        </w:tc>
      </w:tr>
      <w:tr w:rsidR="005527B6" w:rsidRPr="00E375CF" w14:paraId="1C555AAF" w14:textId="77777777" w:rsidTr="00B723E1">
        <w:tc>
          <w:tcPr>
            <w:tcW w:w="1525" w:type="dxa"/>
          </w:tcPr>
          <w:p w14:paraId="36690CB4" w14:textId="0752B499" w:rsidR="005527B6" w:rsidRPr="00E375CF" w:rsidRDefault="005527B6" w:rsidP="005527B6">
            <w:pPr>
              <w:tabs>
                <w:tab w:val="clear" w:pos="720"/>
                <w:tab w:val="clear" w:pos="1296"/>
                <w:tab w:val="clear" w:pos="1872"/>
                <w:tab w:val="clear" w:pos="2448"/>
              </w:tabs>
              <w:spacing w:after="0" w:line="240" w:lineRule="auto"/>
              <w:rPr>
                <w:kern w:val="0"/>
              </w:rPr>
            </w:pPr>
            <w:r w:rsidRPr="00736BCA">
              <w:t>МААЕ</w:t>
            </w:r>
          </w:p>
        </w:tc>
        <w:tc>
          <w:tcPr>
            <w:tcW w:w="6930" w:type="dxa"/>
          </w:tcPr>
          <w:p w14:paraId="7719300D" w14:textId="0AE6FB3F" w:rsidR="005527B6" w:rsidRPr="00E375CF" w:rsidRDefault="005527B6" w:rsidP="005527B6">
            <w:pPr>
              <w:tabs>
                <w:tab w:val="clear" w:pos="720"/>
                <w:tab w:val="clear" w:pos="1296"/>
                <w:tab w:val="clear" w:pos="1872"/>
                <w:tab w:val="clear" w:pos="2448"/>
              </w:tabs>
              <w:spacing w:after="0" w:line="240" w:lineRule="auto"/>
              <w:rPr>
                <w:kern w:val="0"/>
              </w:rPr>
            </w:pPr>
            <w:r w:rsidRPr="00736BCA">
              <w:t>Международна агенция за атомна енергия</w:t>
            </w:r>
          </w:p>
        </w:tc>
      </w:tr>
      <w:tr w:rsidR="005527B6" w:rsidRPr="00E375CF" w14:paraId="07F2A1CC" w14:textId="77777777" w:rsidTr="00B723E1">
        <w:tc>
          <w:tcPr>
            <w:tcW w:w="1525" w:type="dxa"/>
          </w:tcPr>
          <w:p w14:paraId="7388D52E" w14:textId="171C68FA" w:rsidR="005527B6" w:rsidRPr="00E375CF" w:rsidRDefault="005527B6" w:rsidP="005527B6">
            <w:pPr>
              <w:tabs>
                <w:tab w:val="clear" w:pos="720"/>
                <w:tab w:val="clear" w:pos="1296"/>
                <w:tab w:val="clear" w:pos="1872"/>
                <w:tab w:val="clear" w:pos="2448"/>
              </w:tabs>
              <w:spacing w:after="0" w:line="240" w:lineRule="auto"/>
              <w:rPr>
                <w:kern w:val="0"/>
              </w:rPr>
            </w:pPr>
            <w:r w:rsidRPr="00736BCA">
              <w:t>МК</w:t>
            </w:r>
          </w:p>
        </w:tc>
        <w:tc>
          <w:tcPr>
            <w:tcW w:w="6930" w:type="dxa"/>
          </w:tcPr>
          <w:p w14:paraId="63672B3D" w14:textId="37F40255" w:rsidR="005527B6" w:rsidRPr="00E375CF" w:rsidRDefault="005527B6" w:rsidP="005527B6">
            <w:pPr>
              <w:tabs>
                <w:tab w:val="clear" w:pos="720"/>
                <w:tab w:val="clear" w:pos="1296"/>
                <w:tab w:val="clear" w:pos="1872"/>
                <w:tab w:val="clear" w:pos="2448"/>
              </w:tabs>
              <w:spacing w:after="0" w:line="240" w:lineRule="auto"/>
              <w:rPr>
                <w:kern w:val="0"/>
              </w:rPr>
            </w:pPr>
            <w:r w:rsidRPr="00736BCA">
              <w:t>Метален контеймънт</w:t>
            </w:r>
          </w:p>
        </w:tc>
      </w:tr>
      <w:tr w:rsidR="005527B6" w:rsidRPr="00E375CF" w14:paraId="41F445D1" w14:textId="77777777" w:rsidTr="00B723E1">
        <w:tc>
          <w:tcPr>
            <w:tcW w:w="1525" w:type="dxa"/>
          </w:tcPr>
          <w:p w14:paraId="1184BE13" w14:textId="270A439B" w:rsidR="005527B6" w:rsidRPr="00E375CF" w:rsidRDefault="005527B6" w:rsidP="005527B6">
            <w:pPr>
              <w:tabs>
                <w:tab w:val="clear" w:pos="720"/>
                <w:tab w:val="clear" w:pos="1296"/>
                <w:tab w:val="clear" w:pos="1872"/>
                <w:tab w:val="clear" w:pos="2448"/>
              </w:tabs>
              <w:spacing w:after="0" w:line="240" w:lineRule="auto"/>
              <w:rPr>
                <w:kern w:val="0"/>
              </w:rPr>
            </w:pPr>
            <w:r w:rsidRPr="00736BCA">
              <w:t>МКРЗ</w:t>
            </w:r>
          </w:p>
        </w:tc>
        <w:tc>
          <w:tcPr>
            <w:tcW w:w="6930" w:type="dxa"/>
          </w:tcPr>
          <w:p w14:paraId="2C7C91DB" w14:textId="4FD06B26" w:rsidR="005527B6" w:rsidRPr="00E375CF" w:rsidRDefault="005527B6" w:rsidP="005527B6">
            <w:pPr>
              <w:tabs>
                <w:tab w:val="clear" w:pos="720"/>
                <w:tab w:val="clear" w:pos="1296"/>
                <w:tab w:val="clear" w:pos="1872"/>
                <w:tab w:val="clear" w:pos="2448"/>
              </w:tabs>
              <w:spacing w:after="0" w:line="240" w:lineRule="auto"/>
              <w:rPr>
                <w:kern w:val="0"/>
              </w:rPr>
            </w:pPr>
            <w:r w:rsidRPr="00736BCA">
              <w:t>Международната комисия за радиационна защита</w:t>
            </w:r>
          </w:p>
        </w:tc>
      </w:tr>
      <w:tr w:rsidR="005527B6" w:rsidRPr="00E375CF" w14:paraId="7726F34E" w14:textId="77777777" w:rsidTr="00B723E1">
        <w:tc>
          <w:tcPr>
            <w:tcW w:w="1525" w:type="dxa"/>
          </w:tcPr>
          <w:p w14:paraId="532732CC" w14:textId="09AB627B" w:rsidR="005527B6" w:rsidRPr="00E375CF" w:rsidRDefault="005527B6" w:rsidP="005527B6">
            <w:pPr>
              <w:tabs>
                <w:tab w:val="clear" w:pos="720"/>
                <w:tab w:val="clear" w:pos="1296"/>
                <w:tab w:val="clear" w:pos="1872"/>
                <w:tab w:val="clear" w:pos="2448"/>
              </w:tabs>
              <w:spacing w:after="0" w:line="240" w:lineRule="auto"/>
              <w:rPr>
                <w:kern w:val="0"/>
              </w:rPr>
            </w:pPr>
            <w:r w:rsidRPr="00736BCA">
              <w:t>Н/Р</w:t>
            </w:r>
          </w:p>
        </w:tc>
        <w:tc>
          <w:tcPr>
            <w:tcW w:w="6930" w:type="dxa"/>
          </w:tcPr>
          <w:p w14:paraId="21D4AE14" w14:textId="0EEDBBB7" w:rsidR="005527B6" w:rsidRPr="00E375CF" w:rsidRDefault="005527B6" w:rsidP="005527B6">
            <w:pPr>
              <w:tabs>
                <w:tab w:val="clear" w:pos="720"/>
                <w:tab w:val="clear" w:pos="1296"/>
                <w:tab w:val="clear" w:pos="1872"/>
                <w:tab w:val="clear" w:pos="2448"/>
              </w:tabs>
              <w:spacing w:after="0" w:line="240" w:lineRule="auto"/>
              <w:rPr>
                <w:kern w:val="0"/>
              </w:rPr>
            </w:pPr>
            <w:r w:rsidRPr="00736BCA">
              <w:t>Надеждност/разполагаемост</w:t>
            </w:r>
          </w:p>
        </w:tc>
      </w:tr>
      <w:tr w:rsidR="005527B6" w:rsidRPr="00E375CF" w14:paraId="1D6943C6" w14:textId="77777777" w:rsidTr="00B723E1">
        <w:tc>
          <w:tcPr>
            <w:tcW w:w="1525" w:type="dxa"/>
          </w:tcPr>
          <w:p w14:paraId="2C50E076" w14:textId="51470357" w:rsidR="005527B6" w:rsidRPr="00E375CF" w:rsidRDefault="005527B6" w:rsidP="005527B6">
            <w:pPr>
              <w:tabs>
                <w:tab w:val="clear" w:pos="720"/>
                <w:tab w:val="clear" w:pos="1296"/>
                <w:tab w:val="clear" w:pos="1872"/>
                <w:tab w:val="clear" w:pos="2448"/>
              </w:tabs>
              <w:spacing w:after="0" w:line="240" w:lineRule="auto"/>
              <w:rPr>
                <w:kern w:val="0"/>
              </w:rPr>
            </w:pPr>
            <w:r w:rsidRPr="00736BCA">
              <w:t>НИИЕЕ</w:t>
            </w:r>
          </w:p>
        </w:tc>
        <w:tc>
          <w:tcPr>
            <w:tcW w:w="6930" w:type="dxa"/>
          </w:tcPr>
          <w:p w14:paraId="35BFE2B7" w14:textId="2C5812B9" w:rsidR="005527B6" w:rsidRPr="00E375CF" w:rsidRDefault="005527B6" w:rsidP="005527B6">
            <w:pPr>
              <w:tabs>
                <w:tab w:val="clear" w:pos="720"/>
                <w:tab w:val="clear" w:pos="1296"/>
                <w:tab w:val="clear" w:pos="1872"/>
                <w:tab w:val="clear" w:pos="2448"/>
              </w:tabs>
              <w:spacing w:after="0" w:line="240" w:lineRule="auto"/>
              <w:rPr>
                <w:kern w:val="0"/>
              </w:rPr>
            </w:pPr>
            <w:r w:rsidRPr="00736BCA">
              <w:t>Научноизследователски институт по електроенергетика</w:t>
            </w:r>
          </w:p>
        </w:tc>
      </w:tr>
      <w:tr w:rsidR="005527B6" w:rsidRPr="00E375CF" w14:paraId="0F7ECFF3" w14:textId="77777777" w:rsidTr="00B723E1">
        <w:tc>
          <w:tcPr>
            <w:tcW w:w="1525" w:type="dxa"/>
          </w:tcPr>
          <w:p w14:paraId="6A59CCBB" w14:textId="49D30F2F" w:rsidR="005527B6" w:rsidRPr="00E375CF" w:rsidRDefault="005527B6" w:rsidP="005527B6">
            <w:pPr>
              <w:tabs>
                <w:tab w:val="clear" w:pos="720"/>
                <w:tab w:val="clear" w:pos="1296"/>
                <w:tab w:val="clear" w:pos="1872"/>
                <w:tab w:val="clear" w:pos="2448"/>
              </w:tabs>
              <w:spacing w:after="0" w:line="240" w:lineRule="auto"/>
              <w:rPr>
                <w:kern w:val="0"/>
              </w:rPr>
            </w:pPr>
            <w:r w:rsidRPr="00736BCA">
              <w:t>НПАС</w:t>
            </w:r>
          </w:p>
        </w:tc>
        <w:tc>
          <w:tcPr>
            <w:tcW w:w="6930" w:type="dxa"/>
          </w:tcPr>
          <w:p w14:paraId="12101EEB" w14:textId="40FA5EF5" w:rsidR="005527B6" w:rsidRPr="00E375CF" w:rsidRDefault="005527B6" w:rsidP="005527B6">
            <w:pPr>
              <w:tabs>
                <w:tab w:val="clear" w:pos="720"/>
                <w:tab w:val="clear" w:pos="1296"/>
                <w:tab w:val="clear" w:pos="1872"/>
                <w:tab w:val="clear" w:pos="2448"/>
              </w:tabs>
              <w:spacing w:after="0" w:line="240" w:lineRule="auto"/>
              <w:rPr>
                <w:kern w:val="0"/>
              </w:rPr>
            </w:pPr>
            <w:r w:rsidRPr="00736BCA">
              <w:t>Надпроектни аварийни състояния</w:t>
            </w:r>
          </w:p>
        </w:tc>
      </w:tr>
      <w:tr w:rsidR="005527B6" w:rsidRPr="00E375CF" w14:paraId="5E181567" w14:textId="77777777" w:rsidTr="00B723E1">
        <w:tc>
          <w:tcPr>
            <w:tcW w:w="1525" w:type="dxa"/>
          </w:tcPr>
          <w:p w14:paraId="0EFC680F" w14:textId="6019B185" w:rsidR="005527B6" w:rsidRPr="00E375CF" w:rsidRDefault="005527B6" w:rsidP="005527B6">
            <w:pPr>
              <w:tabs>
                <w:tab w:val="clear" w:pos="720"/>
                <w:tab w:val="clear" w:pos="1296"/>
                <w:tab w:val="clear" w:pos="1872"/>
                <w:tab w:val="clear" w:pos="2448"/>
              </w:tabs>
              <w:spacing w:after="0" w:line="240" w:lineRule="auto"/>
              <w:rPr>
                <w:kern w:val="0"/>
              </w:rPr>
            </w:pPr>
            <w:r w:rsidRPr="00736BCA">
              <w:t>ОВиК</w:t>
            </w:r>
          </w:p>
        </w:tc>
        <w:tc>
          <w:tcPr>
            <w:tcW w:w="6930" w:type="dxa"/>
          </w:tcPr>
          <w:p w14:paraId="0430C592" w14:textId="54BC3752" w:rsidR="005527B6" w:rsidRPr="00E375CF" w:rsidDel="0061627B" w:rsidRDefault="005527B6" w:rsidP="005527B6">
            <w:pPr>
              <w:tabs>
                <w:tab w:val="clear" w:pos="720"/>
                <w:tab w:val="clear" w:pos="1296"/>
                <w:tab w:val="clear" w:pos="1872"/>
                <w:tab w:val="clear" w:pos="2448"/>
              </w:tabs>
              <w:spacing w:after="0" w:line="240" w:lineRule="auto"/>
              <w:rPr>
                <w:kern w:val="0"/>
              </w:rPr>
            </w:pPr>
            <w:r w:rsidRPr="00736BCA">
              <w:t>Отопление, вентилация и климатизация</w:t>
            </w:r>
          </w:p>
        </w:tc>
      </w:tr>
      <w:tr w:rsidR="005527B6" w:rsidRPr="00E375CF" w14:paraId="60A9BB95" w14:textId="77777777" w:rsidTr="00B723E1">
        <w:tc>
          <w:tcPr>
            <w:tcW w:w="1525" w:type="dxa"/>
          </w:tcPr>
          <w:p w14:paraId="5CFA066E" w14:textId="53A3363B" w:rsidR="005527B6" w:rsidRPr="00E375CF" w:rsidRDefault="005527B6" w:rsidP="005527B6">
            <w:pPr>
              <w:tabs>
                <w:tab w:val="clear" w:pos="720"/>
                <w:tab w:val="clear" w:pos="1296"/>
                <w:tab w:val="clear" w:pos="1872"/>
                <w:tab w:val="clear" w:pos="2448"/>
              </w:tabs>
              <w:spacing w:after="0" w:line="240" w:lineRule="auto"/>
              <w:rPr>
                <w:kern w:val="0"/>
              </w:rPr>
            </w:pPr>
            <w:r w:rsidRPr="00736BCA">
              <w:t>ОК</w:t>
            </w:r>
          </w:p>
        </w:tc>
        <w:tc>
          <w:tcPr>
            <w:tcW w:w="6930" w:type="dxa"/>
          </w:tcPr>
          <w:p w14:paraId="7ED58705" w14:textId="37644F6C" w:rsidR="005527B6" w:rsidRPr="00E375CF" w:rsidRDefault="005527B6" w:rsidP="005527B6">
            <w:pPr>
              <w:tabs>
                <w:tab w:val="clear" w:pos="720"/>
                <w:tab w:val="clear" w:pos="1296"/>
                <w:tab w:val="clear" w:pos="1872"/>
                <w:tab w:val="clear" w:pos="2448"/>
              </w:tabs>
              <w:spacing w:after="0" w:line="240" w:lineRule="auto"/>
              <w:rPr>
                <w:kern w:val="0"/>
              </w:rPr>
            </w:pPr>
            <w:r w:rsidRPr="00736BCA">
              <w:t>Осигуряване на качеството</w:t>
            </w:r>
          </w:p>
        </w:tc>
      </w:tr>
      <w:tr w:rsidR="005527B6" w:rsidRPr="00E375CF" w14:paraId="3816FAD2" w14:textId="77777777" w:rsidTr="00B723E1">
        <w:tc>
          <w:tcPr>
            <w:tcW w:w="1525" w:type="dxa"/>
          </w:tcPr>
          <w:p w14:paraId="6A8E2B34" w14:textId="1E47C1D8" w:rsidR="005527B6" w:rsidRPr="00E375CF" w:rsidRDefault="005527B6" w:rsidP="005527B6">
            <w:pPr>
              <w:tabs>
                <w:tab w:val="clear" w:pos="720"/>
                <w:tab w:val="clear" w:pos="1296"/>
                <w:tab w:val="clear" w:pos="1872"/>
                <w:tab w:val="clear" w:pos="2448"/>
              </w:tabs>
              <w:spacing w:after="0" w:line="240" w:lineRule="auto"/>
              <w:rPr>
                <w:kern w:val="0"/>
              </w:rPr>
            </w:pPr>
            <w:r w:rsidRPr="00736BCA">
              <w:t>ОК</w:t>
            </w:r>
          </w:p>
        </w:tc>
        <w:tc>
          <w:tcPr>
            <w:tcW w:w="6930" w:type="dxa"/>
          </w:tcPr>
          <w:p w14:paraId="6B1C4F31" w14:textId="41E44C9E" w:rsidR="005527B6" w:rsidRPr="00E375CF" w:rsidRDefault="005527B6" w:rsidP="005527B6">
            <w:pPr>
              <w:tabs>
                <w:tab w:val="clear" w:pos="720"/>
                <w:tab w:val="clear" w:pos="1296"/>
                <w:tab w:val="clear" w:pos="1872"/>
                <w:tab w:val="clear" w:pos="2448"/>
              </w:tabs>
              <w:spacing w:after="0" w:line="240" w:lineRule="auto"/>
              <w:rPr>
                <w:kern w:val="0"/>
              </w:rPr>
            </w:pPr>
            <w:r w:rsidRPr="00736BCA">
              <w:t xml:space="preserve">Обединено кралство </w:t>
            </w:r>
          </w:p>
        </w:tc>
      </w:tr>
      <w:tr w:rsidR="005527B6" w:rsidRPr="00E375CF" w14:paraId="32EEF8B7" w14:textId="77777777" w:rsidTr="00B723E1">
        <w:tc>
          <w:tcPr>
            <w:tcW w:w="1525" w:type="dxa"/>
          </w:tcPr>
          <w:p w14:paraId="64A1130B" w14:textId="6E5C185F" w:rsidR="005527B6" w:rsidRPr="00E375CF" w:rsidRDefault="005527B6" w:rsidP="005527B6">
            <w:pPr>
              <w:tabs>
                <w:tab w:val="clear" w:pos="720"/>
                <w:tab w:val="clear" w:pos="1296"/>
                <w:tab w:val="clear" w:pos="1872"/>
                <w:tab w:val="clear" w:pos="2448"/>
              </w:tabs>
              <w:spacing w:after="0" w:line="240" w:lineRule="auto"/>
              <w:rPr>
                <w:kern w:val="0"/>
              </w:rPr>
            </w:pPr>
            <w:r w:rsidRPr="00736BCA">
              <w:t>ОКП</w:t>
            </w:r>
          </w:p>
        </w:tc>
        <w:tc>
          <w:tcPr>
            <w:tcW w:w="6930" w:type="dxa"/>
          </w:tcPr>
          <w:p w14:paraId="12647526" w14:textId="5E1FDF95" w:rsidR="005527B6" w:rsidRPr="00E375CF" w:rsidRDefault="005527B6" w:rsidP="005527B6">
            <w:pPr>
              <w:tabs>
                <w:tab w:val="clear" w:pos="720"/>
                <w:tab w:val="clear" w:pos="1296"/>
                <w:tab w:val="clear" w:pos="1872"/>
                <w:tab w:val="clear" w:pos="2448"/>
              </w:tabs>
              <w:spacing w:after="0" w:line="240" w:lineRule="auto"/>
              <w:rPr>
                <w:kern w:val="0"/>
              </w:rPr>
            </w:pPr>
            <w:r w:rsidRPr="00736BCA">
              <w:t>Общи критерии за проектиране</w:t>
            </w:r>
          </w:p>
        </w:tc>
      </w:tr>
      <w:tr w:rsidR="005527B6" w:rsidRPr="00E375CF" w14:paraId="516D0CE3" w14:textId="77777777" w:rsidTr="00B723E1">
        <w:tc>
          <w:tcPr>
            <w:tcW w:w="1525" w:type="dxa"/>
          </w:tcPr>
          <w:p w14:paraId="14C84A04" w14:textId="07D146B3" w:rsidR="005527B6" w:rsidRPr="00E375CF" w:rsidRDefault="005527B6" w:rsidP="005527B6">
            <w:pPr>
              <w:tabs>
                <w:tab w:val="clear" w:pos="720"/>
                <w:tab w:val="clear" w:pos="1296"/>
                <w:tab w:val="clear" w:pos="1872"/>
                <w:tab w:val="clear" w:pos="2448"/>
              </w:tabs>
              <w:spacing w:after="0" w:line="240" w:lineRule="auto"/>
              <w:rPr>
                <w:kern w:val="0"/>
              </w:rPr>
            </w:pPr>
            <w:r w:rsidRPr="00736BCA">
              <w:t>ОНК</w:t>
            </w:r>
          </w:p>
        </w:tc>
        <w:tc>
          <w:tcPr>
            <w:tcW w:w="6930" w:type="dxa"/>
          </w:tcPr>
          <w:p w14:paraId="62CC4482" w14:textId="02920644" w:rsidR="005527B6" w:rsidRPr="00E375CF" w:rsidRDefault="005527B6" w:rsidP="005527B6">
            <w:pPr>
              <w:tabs>
                <w:tab w:val="clear" w:pos="720"/>
                <w:tab w:val="clear" w:pos="1296"/>
                <w:tab w:val="clear" w:pos="1872"/>
                <w:tab w:val="clear" w:pos="2448"/>
              </w:tabs>
              <w:spacing w:after="0" w:line="240" w:lineRule="auto"/>
              <w:rPr>
                <w:kern w:val="0"/>
              </w:rPr>
            </w:pPr>
            <w:r w:rsidRPr="00736BCA">
              <w:t>Отклонение от нуклеатно кипене</w:t>
            </w:r>
          </w:p>
        </w:tc>
      </w:tr>
      <w:tr w:rsidR="005527B6" w:rsidRPr="00E375CF" w14:paraId="099AAB47" w14:textId="77777777" w:rsidTr="00B723E1">
        <w:tc>
          <w:tcPr>
            <w:tcW w:w="1525" w:type="dxa"/>
          </w:tcPr>
          <w:p w14:paraId="5F943C40" w14:textId="37070BE3" w:rsidR="005527B6" w:rsidRPr="00E375CF" w:rsidRDefault="005527B6" w:rsidP="005527B6">
            <w:pPr>
              <w:tabs>
                <w:tab w:val="clear" w:pos="720"/>
                <w:tab w:val="clear" w:pos="1296"/>
                <w:tab w:val="clear" w:pos="1872"/>
                <w:tab w:val="clear" w:pos="2448"/>
              </w:tabs>
              <w:spacing w:after="0" w:line="240" w:lineRule="auto"/>
              <w:rPr>
                <w:kern w:val="0"/>
              </w:rPr>
            </w:pPr>
            <w:r w:rsidRPr="00736BCA">
              <w:t>ПА</w:t>
            </w:r>
          </w:p>
        </w:tc>
        <w:tc>
          <w:tcPr>
            <w:tcW w:w="6930" w:type="dxa"/>
          </w:tcPr>
          <w:p w14:paraId="54D850A5" w14:textId="245FCB40" w:rsidR="005527B6" w:rsidRPr="00E375CF" w:rsidRDefault="005527B6" w:rsidP="005527B6">
            <w:pPr>
              <w:tabs>
                <w:tab w:val="clear" w:pos="720"/>
                <w:tab w:val="clear" w:pos="1296"/>
                <w:tab w:val="clear" w:pos="1872"/>
                <w:tab w:val="clear" w:pos="2448"/>
              </w:tabs>
              <w:spacing w:after="0" w:line="240" w:lineRule="auto"/>
              <w:rPr>
                <w:kern w:val="0"/>
              </w:rPr>
            </w:pPr>
            <w:r w:rsidRPr="00736BCA">
              <w:t>Проектна авария</w:t>
            </w:r>
          </w:p>
        </w:tc>
      </w:tr>
      <w:tr w:rsidR="005527B6" w:rsidRPr="00E375CF" w14:paraId="7DCE02C8" w14:textId="77777777" w:rsidTr="00B723E1">
        <w:tc>
          <w:tcPr>
            <w:tcW w:w="1525" w:type="dxa"/>
          </w:tcPr>
          <w:p w14:paraId="0DA97466" w14:textId="0A05212F" w:rsidR="005527B6" w:rsidRPr="00E375CF" w:rsidRDefault="005527B6" w:rsidP="005527B6">
            <w:pPr>
              <w:tabs>
                <w:tab w:val="clear" w:pos="720"/>
                <w:tab w:val="clear" w:pos="1296"/>
                <w:tab w:val="clear" w:pos="1872"/>
                <w:tab w:val="clear" w:pos="2448"/>
              </w:tabs>
              <w:spacing w:after="0" w:line="240" w:lineRule="auto"/>
              <w:rPr>
                <w:kern w:val="0"/>
              </w:rPr>
            </w:pPr>
            <w:r w:rsidRPr="00736BCA">
              <w:t>ПАР</w:t>
            </w:r>
          </w:p>
        </w:tc>
        <w:tc>
          <w:tcPr>
            <w:tcW w:w="6930" w:type="dxa"/>
          </w:tcPr>
          <w:p w14:paraId="38E329F9" w14:textId="01D6ADC4" w:rsidR="005527B6" w:rsidRPr="00E375CF" w:rsidRDefault="005527B6" w:rsidP="005527B6">
            <w:pPr>
              <w:tabs>
                <w:tab w:val="clear" w:pos="720"/>
                <w:tab w:val="clear" w:pos="1296"/>
                <w:tab w:val="clear" w:pos="1872"/>
                <w:tab w:val="clear" w:pos="2448"/>
              </w:tabs>
              <w:spacing w:after="0" w:line="240" w:lineRule="auto"/>
              <w:rPr>
                <w:kern w:val="0"/>
              </w:rPr>
            </w:pPr>
            <w:r w:rsidRPr="00736BCA">
              <w:t>Пасивен автокаталитичен рекомбинатор</w:t>
            </w:r>
          </w:p>
        </w:tc>
      </w:tr>
      <w:tr w:rsidR="005527B6" w:rsidRPr="00E375CF" w14:paraId="4C057618" w14:textId="77777777" w:rsidTr="00B723E1">
        <w:tc>
          <w:tcPr>
            <w:tcW w:w="1525" w:type="dxa"/>
          </w:tcPr>
          <w:p w14:paraId="634D9DE0" w14:textId="23D4F9B1" w:rsidR="005527B6" w:rsidRPr="00E375CF" w:rsidRDefault="005527B6" w:rsidP="005527B6">
            <w:pPr>
              <w:tabs>
                <w:tab w:val="clear" w:pos="720"/>
                <w:tab w:val="clear" w:pos="1296"/>
                <w:tab w:val="clear" w:pos="1872"/>
                <w:tab w:val="clear" w:pos="2448"/>
              </w:tabs>
              <w:spacing w:after="0" w:line="240" w:lineRule="auto"/>
              <w:rPr>
                <w:kern w:val="0"/>
              </w:rPr>
            </w:pPr>
            <w:r w:rsidRPr="00736BCA">
              <w:t>ПГ</w:t>
            </w:r>
          </w:p>
        </w:tc>
        <w:tc>
          <w:tcPr>
            <w:tcW w:w="6930" w:type="dxa"/>
          </w:tcPr>
          <w:p w14:paraId="33AE97E2" w14:textId="74427F0C" w:rsidR="005527B6" w:rsidRPr="00E375CF" w:rsidRDefault="005527B6" w:rsidP="005527B6">
            <w:pPr>
              <w:tabs>
                <w:tab w:val="clear" w:pos="720"/>
                <w:tab w:val="clear" w:pos="1296"/>
                <w:tab w:val="clear" w:pos="1872"/>
                <w:tab w:val="clear" w:pos="2448"/>
              </w:tabs>
              <w:spacing w:after="0" w:line="240" w:lineRule="auto"/>
              <w:rPr>
                <w:kern w:val="0"/>
              </w:rPr>
            </w:pPr>
            <w:r w:rsidRPr="00736BCA">
              <w:t>Парогенератор</w:t>
            </w:r>
          </w:p>
        </w:tc>
      </w:tr>
      <w:tr w:rsidR="005527B6" w:rsidRPr="00E375CF" w14:paraId="1FF3C43F" w14:textId="77777777" w:rsidTr="00B723E1">
        <w:tc>
          <w:tcPr>
            <w:tcW w:w="1525" w:type="dxa"/>
          </w:tcPr>
          <w:p w14:paraId="08904B04" w14:textId="3610D437" w:rsidR="005527B6" w:rsidRPr="00E375CF" w:rsidRDefault="005527B6" w:rsidP="005527B6">
            <w:pPr>
              <w:tabs>
                <w:tab w:val="clear" w:pos="720"/>
                <w:tab w:val="clear" w:pos="1296"/>
                <w:tab w:val="clear" w:pos="1872"/>
                <w:tab w:val="clear" w:pos="2448"/>
              </w:tabs>
              <w:spacing w:after="0" w:line="240" w:lineRule="auto"/>
              <w:rPr>
                <w:kern w:val="0"/>
              </w:rPr>
            </w:pPr>
            <w:r w:rsidRPr="00736BCA">
              <w:t>ПГНП</w:t>
            </w:r>
          </w:p>
        </w:tc>
        <w:tc>
          <w:tcPr>
            <w:tcW w:w="6930" w:type="dxa"/>
          </w:tcPr>
          <w:p w14:paraId="229A9931" w14:textId="3EAA0857" w:rsidR="005527B6" w:rsidRPr="00E375CF" w:rsidRDefault="005527B6" w:rsidP="005527B6">
            <w:pPr>
              <w:tabs>
                <w:tab w:val="clear" w:pos="720"/>
                <w:tab w:val="clear" w:pos="1296"/>
                <w:tab w:val="clear" w:pos="1872"/>
                <w:tab w:val="clear" w:pos="2448"/>
              </w:tabs>
              <w:spacing w:after="0" w:line="240" w:lineRule="auto"/>
              <w:rPr>
                <w:kern w:val="0"/>
              </w:rPr>
            </w:pPr>
            <w:r w:rsidRPr="00736BCA">
              <w:t>Програма за гарантиране на надеждността на проекта</w:t>
            </w:r>
          </w:p>
        </w:tc>
      </w:tr>
      <w:tr w:rsidR="005527B6" w:rsidRPr="00E375CF" w14:paraId="68C23650" w14:textId="77777777" w:rsidTr="00B723E1">
        <w:tc>
          <w:tcPr>
            <w:tcW w:w="1525" w:type="dxa"/>
          </w:tcPr>
          <w:p w14:paraId="65BC5763" w14:textId="1C0EBA97" w:rsidR="005527B6" w:rsidRPr="00E375CF" w:rsidRDefault="005527B6" w:rsidP="005527B6">
            <w:pPr>
              <w:tabs>
                <w:tab w:val="clear" w:pos="720"/>
                <w:tab w:val="clear" w:pos="1296"/>
                <w:tab w:val="clear" w:pos="1872"/>
                <w:tab w:val="clear" w:pos="2448"/>
              </w:tabs>
              <w:spacing w:after="0" w:line="240" w:lineRule="auto"/>
              <w:rPr>
                <w:kern w:val="0"/>
              </w:rPr>
            </w:pPr>
            <w:r w:rsidRPr="00736BCA">
              <w:t>ПДС</w:t>
            </w:r>
          </w:p>
        </w:tc>
        <w:tc>
          <w:tcPr>
            <w:tcW w:w="6930" w:type="dxa"/>
          </w:tcPr>
          <w:p w14:paraId="05715B24" w14:textId="7C18E32E" w:rsidR="005527B6" w:rsidRPr="00E375CF" w:rsidRDefault="005527B6" w:rsidP="005527B6">
            <w:pPr>
              <w:tabs>
                <w:tab w:val="clear" w:pos="720"/>
                <w:tab w:val="clear" w:pos="1296"/>
                <w:tab w:val="clear" w:pos="1872"/>
                <w:tab w:val="clear" w:pos="2448"/>
              </w:tabs>
              <w:spacing w:after="0" w:line="240" w:lineRule="auto"/>
              <w:rPr>
                <w:kern w:val="0"/>
              </w:rPr>
            </w:pPr>
            <w:r w:rsidRPr="00736BCA">
              <w:t>Пулт за дистанционно спиране на реактора</w:t>
            </w:r>
          </w:p>
        </w:tc>
      </w:tr>
      <w:tr w:rsidR="005527B6" w:rsidRPr="00E375CF" w14:paraId="5CA2A978" w14:textId="77777777" w:rsidTr="00B723E1">
        <w:tc>
          <w:tcPr>
            <w:tcW w:w="1525" w:type="dxa"/>
          </w:tcPr>
          <w:p w14:paraId="7DAA8AC7" w14:textId="61D061FB" w:rsidR="005527B6" w:rsidRPr="00E375CF" w:rsidRDefault="005527B6" w:rsidP="005527B6">
            <w:pPr>
              <w:tabs>
                <w:tab w:val="clear" w:pos="720"/>
                <w:tab w:val="clear" w:pos="1296"/>
                <w:tab w:val="clear" w:pos="1872"/>
                <w:tab w:val="clear" w:pos="2448"/>
              </w:tabs>
              <w:spacing w:after="0" w:line="240" w:lineRule="auto"/>
              <w:rPr>
                <w:kern w:val="0"/>
              </w:rPr>
            </w:pPr>
            <w:r w:rsidRPr="00736BCA">
              <w:t>ПИС</w:t>
            </w:r>
          </w:p>
        </w:tc>
        <w:tc>
          <w:tcPr>
            <w:tcW w:w="6930" w:type="dxa"/>
          </w:tcPr>
          <w:p w14:paraId="129AEDD4" w14:textId="0025FAC0" w:rsidR="005527B6" w:rsidRPr="00E375CF" w:rsidRDefault="005527B6" w:rsidP="005527B6">
            <w:pPr>
              <w:tabs>
                <w:tab w:val="clear" w:pos="720"/>
                <w:tab w:val="clear" w:pos="1296"/>
                <w:tab w:val="clear" w:pos="1872"/>
                <w:tab w:val="clear" w:pos="2448"/>
              </w:tabs>
              <w:spacing w:after="0" w:line="240" w:lineRule="auto"/>
              <w:rPr>
                <w:kern w:val="0"/>
              </w:rPr>
            </w:pPr>
            <w:r w:rsidRPr="00736BCA">
              <w:t>Постулирано изходно събитие</w:t>
            </w:r>
          </w:p>
        </w:tc>
      </w:tr>
      <w:tr w:rsidR="005527B6" w:rsidRPr="00E375CF" w14:paraId="1942C3F3" w14:textId="77777777" w:rsidTr="00B723E1">
        <w:tc>
          <w:tcPr>
            <w:tcW w:w="1525" w:type="dxa"/>
          </w:tcPr>
          <w:p w14:paraId="674C370F" w14:textId="4C113798" w:rsidR="005527B6" w:rsidRPr="00E375CF" w:rsidRDefault="005527B6" w:rsidP="005527B6">
            <w:pPr>
              <w:tabs>
                <w:tab w:val="clear" w:pos="720"/>
                <w:tab w:val="clear" w:pos="1296"/>
                <w:tab w:val="clear" w:pos="1872"/>
                <w:tab w:val="clear" w:pos="2448"/>
              </w:tabs>
              <w:spacing w:after="0" w:line="240" w:lineRule="auto"/>
              <w:rPr>
                <w:kern w:val="0"/>
              </w:rPr>
            </w:pPr>
            <w:r w:rsidRPr="00736BCA">
              <w:t>ПООТ</w:t>
            </w:r>
          </w:p>
        </w:tc>
        <w:tc>
          <w:tcPr>
            <w:tcW w:w="6930" w:type="dxa"/>
          </w:tcPr>
          <w:p w14:paraId="71E92BD0" w14:textId="4B8EA3A0" w:rsidR="005527B6" w:rsidRPr="00E375CF" w:rsidRDefault="005527B6" w:rsidP="005527B6">
            <w:pPr>
              <w:tabs>
                <w:tab w:val="clear" w:pos="720"/>
                <w:tab w:val="clear" w:pos="1296"/>
                <w:tab w:val="clear" w:pos="1872"/>
                <w:tab w:val="clear" w:pos="2448"/>
              </w:tabs>
              <w:spacing w:after="0" w:line="240" w:lineRule="auto"/>
              <w:rPr>
                <w:kern w:val="0"/>
              </w:rPr>
            </w:pPr>
            <w:r w:rsidRPr="00736BCA">
              <w:t>Пасивно отвеждане на остатъчна топлина</w:t>
            </w:r>
          </w:p>
        </w:tc>
      </w:tr>
      <w:tr w:rsidR="005527B6" w:rsidRPr="00E375CF" w14:paraId="264FCEFA" w14:textId="77777777" w:rsidTr="00B723E1">
        <w:tc>
          <w:tcPr>
            <w:tcW w:w="1525" w:type="dxa"/>
          </w:tcPr>
          <w:p w14:paraId="3163FEA5" w14:textId="3A281E72" w:rsidR="005527B6" w:rsidRPr="00E375CF" w:rsidRDefault="005527B6" w:rsidP="005527B6">
            <w:pPr>
              <w:tabs>
                <w:tab w:val="clear" w:pos="720"/>
                <w:tab w:val="clear" w:pos="1296"/>
                <w:tab w:val="clear" w:pos="1872"/>
                <w:tab w:val="clear" w:pos="2448"/>
              </w:tabs>
              <w:spacing w:after="0" w:line="240" w:lineRule="auto"/>
              <w:rPr>
                <w:kern w:val="0"/>
              </w:rPr>
            </w:pPr>
            <w:r w:rsidRPr="00736BCA">
              <w:t>ПрЗ</w:t>
            </w:r>
          </w:p>
        </w:tc>
        <w:tc>
          <w:tcPr>
            <w:tcW w:w="6930" w:type="dxa"/>
          </w:tcPr>
          <w:p w14:paraId="642CD0B6" w14:textId="3024D5C7" w:rsidR="005527B6" w:rsidRPr="00E375CF" w:rsidRDefault="005527B6" w:rsidP="005527B6">
            <w:pPr>
              <w:tabs>
                <w:tab w:val="clear" w:pos="720"/>
                <w:tab w:val="clear" w:pos="1296"/>
                <w:tab w:val="clear" w:pos="1872"/>
                <w:tab w:val="clear" w:pos="2448"/>
              </w:tabs>
              <w:spacing w:after="0" w:line="240" w:lineRule="auto"/>
              <w:rPr>
                <w:kern w:val="0"/>
              </w:rPr>
            </w:pPr>
            <w:r w:rsidRPr="00736BCA">
              <w:t>Проверочно земетресение</w:t>
            </w:r>
          </w:p>
        </w:tc>
      </w:tr>
      <w:tr w:rsidR="005527B6" w:rsidRPr="00E375CF" w14:paraId="2F8BC755" w14:textId="77777777" w:rsidTr="00B723E1">
        <w:tc>
          <w:tcPr>
            <w:tcW w:w="1525" w:type="dxa"/>
          </w:tcPr>
          <w:p w14:paraId="5EC42622" w14:textId="102A0F62" w:rsidR="005527B6" w:rsidRPr="00E375CF" w:rsidRDefault="005527B6" w:rsidP="005527B6">
            <w:pPr>
              <w:tabs>
                <w:tab w:val="clear" w:pos="720"/>
                <w:tab w:val="clear" w:pos="1296"/>
                <w:tab w:val="clear" w:pos="1872"/>
                <w:tab w:val="clear" w:pos="2448"/>
              </w:tabs>
              <w:spacing w:after="0" w:line="240" w:lineRule="auto"/>
              <w:rPr>
                <w:kern w:val="0"/>
              </w:rPr>
            </w:pPr>
            <w:r w:rsidRPr="00736BCA">
              <w:t>ПС</w:t>
            </w:r>
          </w:p>
        </w:tc>
        <w:tc>
          <w:tcPr>
            <w:tcW w:w="6930" w:type="dxa"/>
          </w:tcPr>
          <w:p w14:paraId="25F7D3F9" w14:textId="389CDF25" w:rsidR="005527B6" w:rsidRPr="00E375CF" w:rsidRDefault="005527B6" w:rsidP="005527B6">
            <w:pPr>
              <w:tabs>
                <w:tab w:val="clear" w:pos="720"/>
                <w:tab w:val="clear" w:pos="1296"/>
                <w:tab w:val="clear" w:pos="1872"/>
                <w:tab w:val="clear" w:pos="2448"/>
              </w:tabs>
              <w:spacing w:after="0" w:line="240" w:lineRule="auto"/>
              <w:rPr>
                <w:kern w:val="0"/>
              </w:rPr>
            </w:pPr>
            <w:r w:rsidRPr="00736BCA">
              <w:t>Проектно събитие</w:t>
            </w:r>
          </w:p>
        </w:tc>
      </w:tr>
      <w:tr w:rsidR="005527B6" w:rsidRPr="00E375CF" w14:paraId="5A6A071E" w14:textId="77777777" w:rsidTr="00B723E1">
        <w:tc>
          <w:tcPr>
            <w:tcW w:w="1525" w:type="dxa"/>
          </w:tcPr>
          <w:p w14:paraId="206AD37C" w14:textId="75295F49" w:rsidR="005527B6" w:rsidRPr="00E375CF" w:rsidRDefault="005527B6" w:rsidP="005527B6">
            <w:pPr>
              <w:tabs>
                <w:tab w:val="clear" w:pos="720"/>
                <w:tab w:val="clear" w:pos="1296"/>
                <w:tab w:val="clear" w:pos="1872"/>
                <w:tab w:val="clear" w:pos="2448"/>
              </w:tabs>
              <w:spacing w:after="0" w:line="240" w:lineRule="auto"/>
              <w:rPr>
                <w:kern w:val="0"/>
              </w:rPr>
            </w:pPr>
            <w:r w:rsidRPr="00736BCA">
              <w:lastRenderedPageBreak/>
              <w:t>ПСО</w:t>
            </w:r>
          </w:p>
        </w:tc>
        <w:tc>
          <w:tcPr>
            <w:tcW w:w="6930" w:type="dxa"/>
          </w:tcPr>
          <w:p w14:paraId="3D3FFA17" w14:textId="4F397359" w:rsidR="005527B6" w:rsidRPr="00E375CF" w:rsidRDefault="005527B6" w:rsidP="005527B6">
            <w:pPr>
              <w:tabs>
                <w:tab w:val="clear" w:pos="720"/>
                <w:tab w:val="clear" w:pos="1296"/>
                <w:tab w:val="clear" w:pos="1872"/>
                <w:tab w:val="clear" w:pos="2448"/>
              </w:tabs>
              <w:spacing w:after="0" w:line="240" w:lineRule="auto"/>
              <w:rPr>
                <w:kern w:val="0"/>
              </w:rPr>
            </w:pPr>
            <w:r w:rsidRPr="00736BCA">
              <w:t>Пасивна система за охлаждане на активната зона</w:t>
            </w:r>
          </w:p>
        </w:tc>
      </w:tr>
      <w:tr w:rsidR="005527B6" w:rsidRPr="00E375CF" w14:paraId="453C6420" w14:textId="77777777" w:rsidTr="00B723E1">
        <w:tc>
          <w:tcPr>
            <w:tcW w:w="1525" w:type="dxa"/>
          </w:tcPr>
          <w:p w14:paraId="309FDDAB" w14:textId="6A0AF2AC" w:rsidR="005527B6" w:rsidRPr="00E375CF" w:rsidRDefault="005527B6" w:rsidP="005527B6">
            <w:pPr>
              <w:tabs>
                <w:tab w:val="clear" w:pos="720"/>
                <w:tab w:val="clear" w:pos="1296"/>
                <w:tab w:val="clear" w:pos="1872"/>
                <w:tab w:val="clear" w:pos="2448"/>
              </w:tabs>
              <w:spacing w:after="0" w:line="240" w:lineRule="auto"/>
              <w:rPr>
                <w:kern w:val="0"/>
              </w:rPr>
            </w:pPr>
            <w:r w:rsidRPr="00736BCA">
              <w:t>РГХБЯЦ</w:t>
            </w:r>
          </w:p>
        </w:tc>
        <w:tc>
          <w:tcPr>
            <w:tcW w:w="6930" w:type="dxa"/>
          </w:tcPr>
          <w:p w14:paraId="0007C5D0" w14:textId="410CAC6B" w:rsidR="005527B6" w:rsidRPr="00E375CF" w:rsidRDefault="005527B6" w:rsidP="005527B6">
            <w:pPr>
              <w:tabs>
                <w:tab w:val="clear" w:pos="720"/>
                <w:tab w:val="clear" w:pos="1296"/>
                <w:tab w:val="clear" w:pos="1872"/>
                <w:tab w:val="clear" w:pos="2448"/>
              </w:tabs>
              <w:spacing w:after="0" w:line="240" w:lineRule="auto"/>
              <w:rPr>
                <w:kern w:val="0"/>
              </w:rPr>
            </w:pPr>
            <w:r w:rsidRPr="00736BCA">
              <w:t>Работна група за хармонизиране безопасността на ядрените централи</w:t>
            </w:r>
          </w:p>
        </w:tc>
      </w:tr>
      <w:tr w:rsidR="005527B6" w:rsidRPr="00E375CF" w14:paraId="3117E931" w14:textId="77777777" w:rsidTr="00B723E1">
        <w:tc>
          <w:tcPr>
            <w:tcW w:w="1525" w:type="dxa"/>
          </w:tcPr>
          <w:p w14:paraId="4F8F127E" w14:textId="1E3F48FC" w:rsidR="005527B6" w:rsidRPr="00E375CF" w:rsidRDefault="005527B6" w:rsidP="005527B6">
            <w:pPr>
              <w:tabs>
                <w:tab w:val="clear" w:pos="720"/>
                <w:tab w:val="clear" w:pos="1296"/>
                <w:tab w:val="clear" w:pos="1872"/>
                <w:tab w:val="clear" w:pos="2448"/>
              </w:tabs>
              <w:spacing w:after="0" w:line="240" w:lineRule="auto"/>
              <w:rPr>
                <w:kern w:val="0"/>
              </w:rPr>
            </w:pPr>
            <w:r w:rsidRPr="00736BCA">
              <w:t>РКЗ</w:t>
            </w:r>
          </w:p>
        </w:tc>
        <w:tc>
          <w:tcPr>
            <w:tcW w:w="6930" w:type="dxa"/>
          </w:tcPr>
          <w:p w14:paraId="3EC545EA" w14:textId="7CDFA34A" w:rsidR="005527B6" w:rsidRPr="00E375CF" w:rsidRDefault="005527B6" w:rsidP="005527B6">
            <w:pPr>
              <w:tabs>
                <w:tab w:val="clear" w:pos="720"/>
                <w:tab w:val="clear" w:pos="1296"/>
                <w:tab w:val="clear" w:pos="1872"/>
                <w:tab w:val="clear" w:pos="2448"/>
              </w:tabs>
              <w:spacing w:after="0" w:line="240" w:lineRule="auto"/>
              <w:rPr>
                <w:kern w:val="0"/>
              </w:rPr>
            </w:pPr>
            <w:r w:rsidRPr="00736BCA">
              <w:t>Радиологично контролирана зона</w:t>
            </w:r>
          </w:p>
        </w:tc>
      </w:tr>
      <w:tr w:rsidR="005527B6" w:rsidRPr="00E375CF" w14:paraId="2DC69405" w14:textId="77777777" w:rsidTr="00B723E1">
        <w:tc>
          <w:tcPr>
            <w:tcW w:w="1525" w:type="dxa"/>
          </w:tcPr>
          <w:p w14:paraId="38D9F5DF" w14:textId="2A88537B" w:rsidR="005527B6" w:rsidRPr="00E375CF" w:rsidRDefault="005527B6" w:rsidP="005527B6">
            <w:pPr>
              <w:tabs>
                <w:tab w:val="clear" w:pos="720"/>
                <w:tab w:val="clear" w:pos="1296"/>
                <w:tab w:val="clear" w:pos="1872"/>
                <w:tab w:val="clear" w:pos="2448"/>
              </w:tabs>
              <w:spacing w:after="0" w:line="240" w:lineRule="auto"/>
              <w:rPr>
                <w:kern w:val="0"/>
              </w:rPr>
            </w:pPr>
            <w:r w:rsidRPr="00736BCA">
              <w:t>РНБ</w:t>
            </w:r>
          </w:p>
        </w:tc>
        <w:tc>
          <w:tcPr>
            <w:tcW w:w="6930" w:type="dxa"/>
          </w:tcPr>
          <w:p w14:paraId="1CBA2FC0" w14:textId="4AF76A6D" w:rsidR="005527B6" w:rsidRPr="00E375CF" w:rsidRDefault="005527B6" w:rsidP="005527B6">
            <w:pPr>
              <w:tabs>
                <w:tab w:val="clear" w:pos="720"/>
                <w:tab w:val="clear" w:pos="1296"/>
                <w:tab w:val="clear" w:pos="1872"/>
                <w:tab w:val="clear" w:pos="2448"/>
              </w:tabs>
              <w:spacing w:after="0" w:line="240" w:lineRule="auto"/>
              <w:rPr>
                <w:kern w:val="0"/>
              </w:rPr>
            </w:pPr>
            <w:r w:rsidRPr="00736BCA">
              <w:t>Референтно ниво на безопасност</w:t>
            </w:r>
          </w:p>
        </w:tc>
      </w:tr>
      <w:tr w:rsidR="005527B6" w:rsidRPr="00E375CF" w14:paraId="7B69DDD1" w14:textId="77777777" w:rsidTr="00B723E1">
        <w:tc>
          <w:tcPr>
            <w:tcW w:w="1525" w:type="dxa"/>
          </w:tcPr>
          <w:p w14:paraId="3629514B" w14:textId="10BAC226" w:rsidR="005527B6" w:rsidRPr="00E375CF" w:rsidRDefault="005527B6" w:rsidP="005527B6">
            <w:pPr>
              <w:tabs>
                <w:tab w:val="clear" w:pos="720"/>
                <w:tab w:val="clear" w:pos="1296"/>
                <w:tab w:val="clear" w:pos="1872"/>
                <w:tab w:val="clear" w:pos="2448"/>
              </w:tabs>
              <w:spacing w:after="0" w:line="240" w:lineRule="auto"/>
              <w:rPr>
                <w:kern w:val="0"/>
              </w:rPr>
            </w:pPr>
            <w:r w:rsidRPr="00736BCA">
              <w:t>РНЗ</w:t>
            </w:r>
          </w:p>
        </w:tc>
        <w:tc>
          <w:tcPr>
            <w:tcW w:w="6930" w:type="dxa"/>
          </w:tcPr>
          <w:p w14:paraId="6A207D0A" w14:textId="67B6EA84" w:rsidR="005527B6" w:rsidRPr="00E375CF" w:rsidRDefault="005527B6" w:rsidP="005527B6">
            <w:pPr>
              <w:tabs>
                <w:tab w:val="clear" w:pos="720"/>
                <w:tab w:val="clear" w:pos="1296"/>
                <w:tab w:val="clear" w:pos="1872"/>
                <w:tab w:val="clear" w:pos="2448"/>
              </w:tabs>
              <w:spacing w:after="0" w:line="240" w:lineRule="auto"/>
              <w:rPr>
                <w:kern w:val="0"/>
              </w:rPr>
            </w:pPr>
            <w:r w:rsidRPr="00736BCA">
              <w:t>Рядко населена зона</w:t>
            </w:r>
          </w:p>
        </w:tc>
      </w:tr>
      <w:tr w:rsidR="005527B6" w:rsidRPr="00E375CF" w14:paraId="08B8C9D9" w14:textId="77777777" w:rsidTr="00B723E1">
        <w:tc>
          <w:tcPr>
            <w:tcW w:w="1525" w:type="dxa"/>
          </w:tcPr>
          <w:p w14:paraId="276F9E6D" w14:textId="6F4FCB6D" w:rsidR="005527B6" w:rsidRPr="00E375CF" w:rsidRDefault="005527B6" w:rsidP="005527B6">
            <w:pPr>
              <w:tabs>
                <w:tab w:val="clear" w:pos="720"/>
                <w:tab w:val="clear" w:pos="1296"/>
                <w:tab w:val="clear" w:pos="1872"/>
                <w:tab w:val="clear" w:pos="2448"/>
              </w:tabs>
              <w:spacing w:after="0" w:line="240" w:lineRule="auto"/>
              <w:rPr>
                <w:kern w:val="0"/>
              </w:rPr>
            </w:pPr>
            <w:r w:rsidRPr="00736BCA">
              <w:t>РСХПГХК</w:t>
            </w:r>
          </w:p>
        </w:tc>
        <w:tc>
          <w:tcPr>
            <w:tcW w:w="6930" w:type="dxa"/>
          </w:tcPr>
          <w:p w14:paraId="001D8D0D" w14:textId="633C1001" w:rsidR="005527B6" w:rsidRPr="00E375CF" w:rsidRDefault="005527B6" w:rsidP="005527B6">
            <w:pPr>
              <w:tabs>
                <w:tab w:val="clear" w:pos="720"/>
                <w:tab w:val="clear" w:pos="1296"/>
                <w:tab w:val="clear" w:pos="1872"/>
                <w:tab w:val="clear" w:pos="2448"/>
              </w:tabs>
              <w:spacing w:after="0" w:line="240" w:lineRule="auto"/>
              <w:rPr>
                <w:kern w:val="0"/>
              </w:rPr>
            </w:pPr>
            <w:r w:rsidRPr="00736BCA">
              <w:t>Резервоар за съхранение на вода за презареждане на гориво в херметичната конструкция</w:t>
            </w:r>
          </w:p>
        </w:tc>
      </w:tr>
      <w:tr w:rsidR="005527B6" w:rsidRPr="00E375CF" w14:paraId="2164B101" w14:textId="77777777" w:rsidTr="00B723E1">
        <w:tc>
          <w:tcPr>
            <w:tcW w:w="1525" w:type="dxa"/>
          </w:tcPr>
          <w:p w14:paraId="34243E0F" w14:textId="123ED680" w:rsidR="005527B6" w:rsidRPr="00E375CF" w:rsidRDefault="005527B6" w:rsidP="005527B6">
            <w:pPr>
              <w:tabs>
                <w:tab w:val="clear" w:pos="720"/>
                <w:tab w:val="clear" w:pos="1296"/>
                <w:tab w:val="clear" w:pos="1872"/>
                <w:tab w:val="clear" w:pos="2448"/>
              </w:tabs>
              <w:spacing w:after="0" w:line="240" w:lineRule="auto"/>
              <w:rPr>
                <w:kern w:val="0"/>
              </w:rPr>
            </w:pPr>
            <w:r w:rsidRPr="00736BCA">
              <w:t>РТПГ</w:t>
            </w:r>
          </w:p>
        </w:tc>
        <w:tc>
          <w:tcPr>
            <w:tcW w:w="6930" w:type="dxa"/>
          </w:tcPr>
          <w:p w14:paraId="6D6D9E74" w14:textId="0FB7A1B4" w:rsidR="005527B6" w:rsidRPr="00E375CF" w:rsidRDefault="005527B6" w:rsidP="005527B6">
            <w:pPr>
              <w:tabs>
                <w:tab w:val="clear" w:pos="720"/>
                <w:tab w:val="clear" w:pos="1296"/>
                <w:tab w:val="clear" w:pos="1872"/>
                <w:tab w:val="clear" w:pos="2448"/>
              </w:tabs>
              <w:spacing w:after="0" w:line="240" w:lineRule="auto"/>
              <w:rPr>
                <w:kern w:val="0"/>
              </w:rPr>
            </w:pPr>
            <w:r w:rsidRPr="00736BCA">
              <w:t>Разкъсване на тръба на парогенератора</w:t>
            </w:r>
          </w:p>
        </w:tc>
      </w:tr>
      <w:tr w:rsidR="005527B6" w:rsidRPr="00E375CF" w14:paraId="6DF9831A" w14:textId="77777777" w:rsidTr="00B723E1">
        <w:tc>
          <w:tcPr>
            <w:tcW w:w="1525" w:type="dxa"/>
          </w:tcPr>
          <w:p w14:paraId="2EE741F7" w14:textId="12C32885" w:rsidR="005527B6" w:rsidRPr="00E375CF" w:rsidRDefault="005527B6" w:rsidP="005527B6">
            <w:pPr>
              <w:tabs>
                <w:tab w:val="clear" w:pos="720"/>
                <w:tab w:val="clear" w:pos="1296"/>
                <w:tab w:val="clear" w:pos="1872"/>
                <w:tab w:val="clear" w:pos="2448"/>
              </w:tabs>
              <w:spacing w:after="0" w:line="240" w:lineRule="auto"/>
              <w:rPr>
                <w:kern w:val="0"/>
              </w:rPr>
            </w:pPr>
            <w:r w:rsidRPr="00736BCA">
              <w:t>САО</w:t>
            </w:r>
          </w:p>
        </w:tc>
        <w:tc>
          <w:tcPr>
            <w:tcW w:w="6930" w:type="dxa"/>
          </w:tcPr>
          <w:p w14:paraId="78DA68F5" w14:textId="63F63DA5" w:rsidR="005527B6" w:rsidRPr="00E375CF" w:rsidRDefault="005527B6" w:rsidP="005527B6">
            <w:pPr>
              <w:tabs>
                <w:tab w:val="clear" w:pos="720"/>
                <w:tab w:val="clear" w:pos="1296"/>
                <w:tab w:val="clear" w:pos="1872"/>
                <w:tab w:val="clear" w:pos="2448"/>
              </w:tabs>
              <w:spacing w:after="0" w:line="240" w:lineRule="auto"/>
              <w:rPr>
                <w:kern w:val="0"/>
              </w:rPr>
            </w:pPr>
            <w:r w:rsidRPr="00736BCA">
              <w:t>Система за аварийно обитаване на Блочния щит за управление</w:t>
            </w:r>
          </w:p>
        </w:tc>
      </w:tr>
      <w:tr w:rsidR="005527B6" w:rsidRPr="00E375CF" w14:paraId="55E6B3F1" w14:textId="77777777" w:rsidTr="00B723E1">
        <w:tc>
          <w:tcPr>
            <w:tcW w:w="1525" w:type="dxa"/>
          </w:tcPr>
          <w:p w14:paraId="18275F47" w14:textId="78A7E025" w:rsidR="005527B6" w:rsidRPr="00E375CF" w:rsidRDefault="005527B6" w:rsidP="005527B6">
            <w:pPr>
              <w:tabs>
                <w:tab w:val="clear" w:pos="720"/>
                <w:tab w:val="clear" w:pos="1296"/>
                <w:tab w:val="clear" w:pos="1872"/>
                <w:tab w:val="clear" w:pos="2448"/>
              </w:tabs>
              <w:spacing w:after="0" w:line="240" w:lineRule="auto"/>
              <w:rPr>
                <w:kern w:val="0"/>
              </w:rPr>
            </w:pPr>
            <w:r w:rsidRPr="00736BCA">
              <w:t>САС</w:t>
            </w:r>
          </w:p>
        </w:tc>
        <w:tc>
          <w:tcPr>
            <w:tcW w:w="6930" w:type="dxa"/>
          </w:tcPr>
          <w:p w14:paraId="397EF0BF" w14:textId="7AF2AA72" w:rsidR="005527B6" w:rsidRPr="00E375CF" w:rsidRDefault="005527B6" w:rsidP="005527B6">
            <w:pPr>
              <w:tabs>
                <w:tab w:val="clear" w:pos="720"/>
                <w:tab w:val="clear" w:pos="1296"/>
                <w:tab w:val="clear" w:pos="1872"/>
                <w:tab w:val="clear" w:pos="2448"/>
              </w:tabs>
              <w:spacing w:after="0" w:line="240" w:lineRule="auto"/>
              <w:rPr>
                <w:kern w:val="0"/>
              </w:rPr>
            </w:pPr>
            <w:r w:rsidRPr="00736BCA">
              <w:t>Система за алтернативно сработване</w:t>
            </w:r>
          </w:p>
        </w:tc>
      </w:tr>
      <w:tr w:rsidR="005527B6" w:rsidRPr="00E375CF" w14:paraId="4252A6BB" w14:textId="77777777" w:rsidTr="00B723E1">
        <w:tc>
          <w:tcPr>
            <w:tcW w:w="1525" w:type="dxa"/>
          </w:tcPr>
          <w:p w14:paraId="0E91F540" w14:textId="4A81CAF4" w:rsidR="005527B6" w:rsidRPr="00E375CF" w:rsidRDefault="005527B6" w:rsidP="005527B6">
            <w:pPr>
              <w:tabs>
                <w:tab w:val="clear" w:pos="720"/>
                <w:tab w:val="clear" w:pos="1296"/>
                <w:tab w:val="clear" w:pos="1872"/>
                <w:tab w:val="clear" w:pos="2448"/>
              </w:tabs>
              <w:spacing w:after="0" w:line="240" w:lineRule="auto"/>
              <w:rPr>
                <w:kern w:val="0"/>
              </w:rPr>
            </w:pPr>
            <w:r w:rsidRPr="00736BCA">
              <w:t>САЩ</w:t>
            </w:r>
          </w:p>
        </w:tc>
        <w:tc>
          <w:tcPr>
            <w:tcW w:w="6930" w:type="dxa"/>
          </w:tcPr>
          <w:p w14:paraId="107A63C8" w14:textId="7053D013" w:rsidR="005527B6" w:rsidRPr="00E375CF" w:rsidRDefault="005527B6" w:rsidP="005527B6">
            <w:pPr>
              <w:tabs>
                <w:tab w:val="clear" w:pos="720"/>
                <w:tab w:val="clear" w:pos="1296"/>
                <w:tab w:val="clear" w:pos="1872"/>
                <w:tab w:val="clear" w:pos="2448"/>
              </w:tabs>
              <w:spacing w:after="0" w:line="240" w:lineRule="auto"/>
              <w:rPr>
                <w:kern w:val="0"/>
              </w:rPr>
            </w:pPr>
            <w:r w:rsidRPr="00736BCA">
              <w:t>Съединени американски щати</w:t>
            </w:r>
          </w:p>
        </w:tc>
      </w:tr>
      <w:tr w:rsidR="005527B6" w:rsidRPr="00E375CF" w14:paraId="3CF1273D" w14:textId="77777777" w:rsidTr="00B723E1">
        <w:tc>
          <w:tcPr>
            <w:tcW w:w="1525" w:type="dxa"/>
          </w:tcPr>
          <w:p w14:paraId="69363E84" w14:textId="098FC35A" w:rsidR="005527B6" w:rsidRDefault="005841F8" w:rsidP="005527B6">
            <w:pPr>
              <w:tabs>
                <w:tab w:val="clear" w:pos="720"/>
                <w:tab w:val="clear" w:pos="1296"/>
                <w:tab w:val="clear" w:pos="1872"/>
                <w:tab w:val="clear" w:pos="2448"/>
              </w:tabs>
              <w:spacing w:after="0" w:line="240" w:lineRule="auto"/>
              <w:rPr>
                <w:kern w:val="0"/>
              </w:rPr>
            </w:pPr>
            <w:r>
              <w:t>СР</w:t>
            </w:r>
            <w:r w:rsidR="00952CFA">
              <w:t>М</w:t>
            </w:r>
            <w:r w:rsidR="005527B6" w:rsidRPr="00736BCA">
              <w:t>СВЗ</w:t>
            </w:r>
          </w:p>
        </w:tc>
        <w:tc>
          <w:tcPr>
            <w:tcW w:w="6930" w:type="dxa"/>
          </w:tcPr>
          <w:p w14:paraId="61094D8E" w14:textId="6B461B79" w:rsidR="005527B6" w:rsidRDefault="005527B6" w:rsidP="005527B6">
            <w:pPr>
              <w:tabs>
                <w:tab w:val="clear" w:pos="720"/>
                <w:tab w:val="clear" w:pos="1296"/>
                <w:tab w:val="clear" w:pos="1872"/>
                <w:tab w:val="clear" w:pos="2448"/>
              </w:tabs>
              <w:spacing w:after="0" w:line="240" w:lineRule="auto"/>
              <w:rPr>
                <w:kern w:val="0"/>
              </w:rPr>
            </w:pPr>
            <w:r w:rsidRPr="00736BCA">
              <w:t>Система за вентилация в радиологично контролирана зона</w:t>
            </w:r>
            <w:r w:rsidR="00952CFA">
              <w:t>мониторинг</w:t>
            </w:r>
          </w:p>
        </w:tc>
      </w:tr>
      <w:tr w:rsidR="005527B6" w:rsidRPr="00E375CF" w14:paraId="5C920512" w14:textId="77777777" w:rsidTr="00B723E1">
        <w:tc>
          <w:tcPr>
            <w:tcW w:w="1525" w:type="dxa"/>
          </w:tcPr>
          <w:p w14:paraId="77D31AD0" w14:textId="7B98F19B" w:rsidR="005527B6" w:rsidRPr="00E375CF" w:rsidRDefault="005527B6" w:rsidP="005527B6">
            <w:pPr>
              <w:tabs>
                <w:tab w:val="clear" w:pos="720"/>
                <w:tab w:val="clear" w:pos="1296"/>
                <w:tab w:val="clear" w:pos="1872"/>
                <w:tab w:val="clear" w:pos="2448"/>
              </w:tabs>
              <w:spacing w:after="0" w:line="240" w:lineRule="auto"/>
              <w:rPr>
                <w:kern w:val="0"/>
              </w:rPr>
            </w:pPr>
            <w:r w:rsidRPr="00736BCA">
              <w:t>СВН</w:t>
            </w:r>
          </w:p>
        </w:tc>
        <w:tc>
          <w:tcPr>
            <w:tcW w:w="6930" w:type="dxa"/>
          </w:tcPr>
          <w:p w14:paraId="78B89751" w14:textId="1B35865B" w:rsidR="005527B6" w:rsidRPr="00E375CF" w:rsidRDefault="005527B6" w:rsidP="005527B6">
            <w:pPr>
              <w:tabs>
                <w:tab w:val="clear" w:pos="720"/>
                <w:tab w:val="clear" w:pos="1296"/>
                <w:tab w:val="clear" w:pos="1872"/>
                <w:tab w:val="clear" w:pos="2448"/>
              </w:tabs>
              <w:spacing w:after="0" w:line="240" w:lineRule="auto"/>
              <w:rPr>
                <w:kern w:val="0"/>
              </w:rPr>
            </w:pPr>
            <w:r w:rsidRPr="00736BCA">
              <w:t>Система за вентилация в нерадиоактивната част на ядрения остров</w:t>
            </w:r>
          </w:p>
        </w:tc>
      </w:tr>
      <w:tr w:rsidR="005527B6" w:rsidRPr="00E375CF" w14:paraId="28915813" w14:textId="77777777" w:rsidTr="00B723E1">
        <w:tc>
          <w:tcPr>
            <w:tcW w:w="1525" w:type="dxa"/>
          </w:tcPr>
          <w:p w14:paraId="68D96D1C" w14:textId="6F702460" w:rsidR="005527B6" w:rsidRPr="00E375CF" w:rsidRDefault="005527B6" w:rsidP="005527B6">
            <w:pPr>
              <w:tabs>
                <w:tab w:val="clear" w:pos="720"/>
                <w:tab w:val="clear" w:pos="1296"/>
                <w:tab w:val="clear" w:pos="1872"/>
                <w:tab w:val="clear" w:pos="2448"/>
              </w:tabs>
              <w:spacing w:after="0" w:line="240" w:lineRule="auto"/>
              <w:rPr>
                <w:kern w:val="0"/>
              </w:rPr>
            </w:pPr>
            <w:r w:rsidRPr="00736BCA">
              <w:t>СГП</w:t>
            </w:r>
          </w:p>
        </w:tc>
        <w:tc>
          <w:tcPr>
            <w:tcW w:w="6930" w:type="dxa"/>
          </w:tcPr>
          <w:p w14:paraId="783BC8C0" w14:textId="3C30767A" w:rsidR="005527B6" w:rsidRPr="00E375CF" w:rsidRDefault="005527B6" w:rsidP="005527B6">
            <w:pPr>
              <w:tabs>
                <w:tab w:val="clear" w:pos="720"/>
                <w:tab w:val="clear" w:pos="1296"/>
                <w:tab w:val="clear" w:pos="1872"/>
                <w:tab w:val="clear" w:pos="2448"/>
              </w:tabs>
              <w:spacing w:after="0" w:line="240" w:lineRule="auto"/>
              <w:rPr>
                <w:kern w:val="0"/>
              </w:rPr>
            </w:pPr>
            <w:r w:rsidRPr="00736BCA">
              <w:t>Система главни паропроводи</w:t>
            </w:r>
          </w:p>
        </w:tc>
      </w:tr>
      <w:tr w:rsidR="005527B6" w:rsidRPr="00E375CF" w14:paraId="7A41F032" w14:textId="77777777" w:rsidTr="00B723E1">
        <w:tc>
          <w:tcPr>
            <w:tcW w:w="1525" w:type="dxa"/>
          </w:tcPr>
          <w:p w14:paraId="6AECA126" w14:textId="2A3E0D0C" w:rsidR="005527B6" w:rsidRPr="00E375CF" w:rsidRDefault="005527B6" w:rsidP="005527B6">
            <w:pPr>
              <w:tabs>
                <w:tab w:val="clear" w:pos="720"/>
                <w:tab w:val="clear" w:pos="1296"/>
                <w:tab w:val="clear" w:pos="1872"/>
                <w:tab w:val="clear" w:pos="2448"/>
              </w:tabs>
              <w:spacing w:after="0" w:line="240" w:lineRule="auto"/>
              <w:rPr>
                <w:kern w:val="0"/>
              </w:rPr>
            </w:pPr>
            <w:r w:rsidRPr="00736BCA">
              <w:t>СКВ</w:t>
            </w:r>
          </w:p>
        </w:tc>
        <w:tc>
          <w:tcPr>
            <w:tcW w:w="6930" w:type="dxa"/>
          </w:tcPr>
          <w:p w14:paraId="12EF1D41" w14:textId="29876053" w:rsidR="005527B6" w:rsidRPr="00E375CF" w:rsidRDefault="005527B6" w:rsidP="005527B6">
            <w:pPr>
              <w:tabs>
                <w:tab w:val="clear" w:pos="720"/>
                <w:tab w:val="clear" w:pos="1296"/>
                <w:tab w:val="clear" w:pos="1872"/>
                <w:tab w:val="clear" w:pos="2448"/>
              </w:tabs>
              <w:spacing w:after="0" w:line="240" w:lineRule="auto"/>
              <w:rPr>
                <w:kern w:val="0"/>
              </w:rPr>
            </w:pPr>
            <w:r w:rsidRPr="00736BCA">
              <w:t>Система за контрол на водорода в херметичната конструкция</w:t>
            </w:r>
          </w:p>
        </w:tc>
      </w:tr>
      <w:tr w:rsidR="005527B6" w:rsidRPr="00E375CF" w14:paraId="467A7B07" w14:textId="77777777" w:rsidTr="00B723E1">
        <w:tc>
          <w:tcPr>
            <w:tcW w:w="1525" w:type="dxa"/>
          </w:tcPr>
          <w:p w14:paraId="4EA8A719" w14:textId="49871742" w:rsidR="005527B6" w:rsidRPr="00E375CF" w:rsidRDefault="005527B6" w:rsidP="005527B6">
            <w:pPr>
              <w:tabs>
                <w:tab w:val="clear" w:pos="720"/>
                <w:tab w:val="clear" w:pos="1296"/>
                <w:tab w:val="clear" w:pos="1872"/>
                <w:tab w:val="clear" w:pos="2448"/>
              </w:tabs>
              <w:spacing w:after="0" w:line="240" w:lineRule="auto"/>
              <w:rPr>
                <w:kern w:val="0"/>
              </w:rPr>
            </w:pPr>
            <w:r w:rsidRPr="00736BCA">
              <w:t>СКОБР</w:t>
            </w:r>
          </w:p>
        </w:tc>
        <w:tc>
          <w:tcPr>
            <w:tcW w:w="6930" w:type="dxa"/>
          </w:tcPr>
          <w:p w14:paraId="371F4A84" w14:textId="5E942746" w:rsidR="005527B6" w:rsidRPr="00E375CF" w:rsidRDefault="005527B6" w:rsidP="005527B6">
            <w:pPr>
              <w:tabs>
                <w:tab w:val="clear" w:pos="720"/>
                <w:tab w:val="clear" w:pos="1296"/>
                <w:tab w:val="clear" w:pos="1872"/>
                <w:tab w:val="clear" w:pos="2448"/>
              </w:tabs>
              <w:spacing w:after="0" w:line="240" w:lineRule="auto"/>
              <w:rPr>
                <w:kern w:val="0"/>
              </w:rPr>
            </w:pPr>
            <w:r w:rsidRPr="00736BCA">
              <w:t>Система за компенсиране на обема и борно регулиране</w:t>
            </w:r>
          </w:p>
        </w:tc>
      </w:tr>
      <w:tr w:rsidR="005527B6" w:rsidRPr="00E375CF" w14:paraId="0FF8BED8" w14:textId="77777777" w:rsidTr="00B723E1">
        <w:tc>
          <w:tcPr>
            <w:tcW w:w="1525" w:type="dxa"/>
          </w:tcPr>
          <w:p w14:paraId="63CE838C" w14:textId="74B3A2A3" w:rsidR="005527B6" w:rsidRPr="00E375CF" w:rsidRDefault="005527B6" w:rsidP="005527B6">
            <w:pPr>
              <w:tabs>
                <w:tab w:val="clear" w:pos="720"/>
                <w:tab w:val="clear" w:pos="1296"/>
                <w:tab w:val="clear" w:pos="1872"/>
                <w:tab w:val="clear" w:pos="2448"/>
              </w:tabs>
              <w:spacing w:after="0" w:line="240" w:lineRule="auto"/>
              <w:rPr>
                <w:kern w:val="0"/>
              </w:rPr>
            </w:pPr>
            <w:r w:rsidRPr="00736BCA">
              <w:t>СМЗБ</w:t>
            </w:r>
          </w:p>
        </w:tc>
        <w:tc>
          <w:tcPr>
            <w:tcW w:w="6930" w:type="dxa"/>
          </w:tcPr>
          <w:p w14:paraId="0499810F" w14:textId="2A732ADF" w:rsidR="005527B6" w:rsidRPr="00E375CF" w:rsidRDefault="005527B6" w:rsidP="005527B6">
            <w:pPr>
              <w:tabs>
                <w:tab w:val="clear" w:pos="720"/>
                <w:tab w:val="clear" w:pos="1296"/>
                <w:tab w:val="clear" w:pos="1872"/>
                <w:tab w:val="clear" w:pos="2448"/>
              </w:tabs>
              <w:spacing w:after="0" w:line="240" w:lineRule="auto"/>
              <w:rPr>
                <w:kern w:val="0"/>
              </w:rPr>
            </w:pPr>
            <w:r w:rsidRPr="00736BCA">
              <w:t>Система за мониторинг на защитата и безопасността</w:t>
            </w:r>
          </w:p>
        </w:tc>
      </w:tr>
      <w:tr w:rsidR="005527B6" w:rsidRPr="00E375CF" w14:paraId="14DA0500" w14:textId="77777777" w:rsidTr="00B723E1">
        <w:tc>
          <w:tcPr>
            <w:tcW w:w="1525" w:type="dxa"/>
          </w:tcPr>
          <w:p w14:paraId="54BE2641" w14:textId="1F4076F8" w:rsidR="005527B6" w:rsidRPr="00E375CF" w:rsidRDefault="005527B6" w:rsidP="005527B6">
            <w:pPr>
              <w:tabs>
                <w:tab w:val="clear" w:pos="720"/>
                <w:tab w:val="clear" w:pos="1296"/>
                <w:tab w:val="clear" w:pos="1872"/>
                <w:tab w:val="clear" w:pos="2448"/>
              </w:tabs>
              <w:spacing w:after="0" w:line="240" w:lineRule="auto"/>
              <w:rPr>
                <w:kern w:val="0"/>
              </w:rPr>
            </w:pPr>
            <w:r w:rsidRPr="00736BCA">
              <w:t>СОБОК</w:t>
            </w:r>
          </w:p>
        </w:tc>
        <w:tc>
          <w:tcPr>
            <w:tcW w:w="6930" w:type="dxa"/>
          </w:tcPr>
          <w:p w14:paraId="1DCE77E3" w14:textId="0720C64A" w:rsidR="005527B6" w:rsidRPr="00E375CF" w:rsidRDefault="005527B6" w:rsidP="005527B6">
            <w:pPr>
              <w:tabs>
                <w:tab w:val="clear" w:pos="720"/>
                <w:tab w:val="clear" w:pos="1296"/>
                <w:tab w:val="clear" w:pos="1872"/>
                <w:tab w:val="clear" w:pos="2448"/>
              </w:tabs>
              <w:spacing w:after="0" w:line="240" w:lineRule="auto"/>
              <w:rPr>
                <w:kern w:val="0"/>
              </w:rPr>
            </w:pPr>
            <w:r w:rsidRPr="00736BCA">
              <w:t>Система за охлаждане на басейна за отлежаване на касети</w:t>
            </w:r>
          </w:p>
        </w:tc>
      </w:tr>
      <w:tr w:rsidR="005527B6" w:rsidRPr="00E375CF" w14:paraId="27B5C32D" w14:textId="77777777" w:rsidTr="00B723E1">
        <w:tc>
          <w:tcPr>
            <w:tcW w:w="1525" w:type="dxa"/>
          </w:tcPr>
          <w:p w14:paraId="0AFE9A0F" w14:textId="0F63AF38" w:rsidR="005527B6" w:rsidRPr="00E375CF" w:rsidRDefault="005527B6" w:rsidP="005527B6">
            <w:pPr>
              <w:tabs>
                <w:tab w:val="clear" w:pos="720"/>
                <w:tab w:val="clear" w:pos="1296"/>
                <w:tab w:val="clear" w:pos="1872"/>
                <w:tab w:val="clear" w:pos="2448"/>
              </w:tabs>
              <w:spacing w:after="0" w:line="240" w:lineRule="auto"/>
              <w:rPr>
                <w:kern w:val="0"/>
              </w:rPr>
            </w:pPr>
            <w:r w:rsidRPr="00736BCA">
              <w:t>СОВ</w:t>
            </w:r>
          </w:p>
        </w:tc>
        <w:tc>
          <w:tcPr>
            <w:tcW w:w="6930" w:type="dxa"/>
          </w:tcPr>
          <w:p w14:paraId="6468E8BF" w14:textId="7E45C2DE" w:rsidR="005527B6" w:rsidRPr="00E375CF" w:rsidRDefault="005527B6" w:rsidP="005527B6">
            <w:pPr>
              <w:tabs>
                <w:tab w:val="clear" w:pos="720"/>
                <w:tab w:val="clear" w:pos="1296"/>
                <w:tab w:val="clear" w:pos="1872"/>
                <w:tab w:val="clear" w:pos="2448"/>
              </w:tabs>
              <w:spacing w:after="0" w:line="240" w:lineRule="auto"/>
              <w:rPr>
                <w:kern w:val="0"/>
              </w:rPr>
            </w:pPr>
            <w:r w:rsidRPr="00736BCA">
              <w:t>Система за отопление и вентилация на дизел-генераторна станция</w:t>
            </w:r>
          </w:p>
        </w:tc>
      </w:tr>
      <w:tr w:rsidR="005527B6" w:rsidRPr="00E375CF" w14:paraId="6C3D7701" w14:textId="77777777" w:rsidTr="00B723E1">
        <w:tc>
          <w:tcPr>
            <w:tcW w:w="1525" w:type="dxa"/>
          </w:tcPr>
          <w:p w14:paraId="030D5C62" w14:textId="5551C272" w:rsidR="005527B6" w:rsidRPr="00E375CF" w:rsidRDefault="005527B6" w:rsidP="005527B6">
            <w:pPr>
              <w:tabs>
                <w:tab w:val="clear" w:pos="720"/>
                <w:tab w:val="clear" w:pos="1296"/>
                <w:tab w:val="clear" w:pos="1872"/>
                <w:tab w:val="clear" w:pos="2448"/>
              </w:tabs>
              <w:spacing w:after="0" w:line="240" w:lineRule="auto"/>
              <w:rPr>
                <w:kern w:val="0"/>
              </w:rPr>
            </w:pPr>
            <w:r w:rsidRPr="00736BCA">
              <w:t>СОВК</w:t>
            </w:r>
          </w:p>
        </w:tc>
        <w:tc>
          <w:tcPr>
            <w:tcW w:w="6930" w:type="dxa"/>
          </w:tcPr>
          <w:p w14:paraId="329DD692" w14:textId="3C9D7CBC" w:rsidR="005527B6" w:rsidRPr="00E375CF" w:rsidRDefault="005527B6" w:rsidP="005527B6">
            <w:pPr>
              <w:tabs>
                <w:tab w:val="clear" w:pos="720"/>
                <w:tab w:val="clear" w:pos="1296"/>
                <w:tab w:val="clear" w:pos="1872"/>
                <w:tab w:val="clear" w:pos="2448"/>
              </w:tabs>
              <w:spacing w:after="0" w:line="240" w:lineRule="auto"/>
              <w:rPr>
                <w:kern w:val="0"/>
              </w:rPr>
            </w:pPr>
            <w:r w:rsidRPr="00736BCA">
              <w:t>Система охлаждаща вода за компоненти</w:t>
            </w:r>
          </w:p>
        </w:tc>
      </w:tr>
      <w:tr w:rsidR="005527B6" w:rsidRPr="00E375CF" w14:paraId="1340875D" w14:textId="77777777" w:rsidTr="00B723E1">
        <w:tc>
          <w:tcPr>
            <w:tcW w:w="1525" w:type="dxa"/>
          </w:tcPr>
          <w:p w14:paraId="0D0B5BA6" w14:textId="00C712AA" w:rsidR="005527B6" w:rsidRPr="00E375CF" w:rsidRDefault="005527B6" w:rsidP="005527B6">
            <w:pPr>
              <w:tabs>
                <w:tab w:val="clear" w:pos="720"/>
                <w:tab w:val="clear" w:pos="1296"/>
                <w:tab w:val="clear" w:pos="1872"/>
                <w:tab w:val="clear" w:pos="2448"/>
              </w:tabs>
              <w:spacing w:after="0" w:line="240" w:lineRule="auto"/>
              <w:rPr>
                <w:kern w:val="0"/>
              </w:rPr>
            </w:pPr>
            <w:r w:rsidRPr="00736BCA">
              <w:t>СОППВ</w:t>
            </w:r>
          </w:p>
        </w:tc>
        <w:tc>
          <w:tcPr>
            <w:tcW w:w="6930" w:type="dxa"/>
          </w:tcPr>
          <w:p w14:paraId="07C7B391" w14:textId="7023B97B" w:rsidR="005527B6" w:rsidRPr="00E375CF" w:rsidRDefault="005527B6" w:rsidP="005527B6">
            <w:pPr>
              <w:tabs>
                <w:tab w:val="clear" w:pos="720"/>
                <w:tab w:val="clear" w:pos="1296"/>
                <w:tab w:val="clear" w:pos="1872"/>
                <w:tab w:val="clear" w:pos="2448"/>
              </w:tabs>
              <w:spacing w:after="0" w:line="240" w:lineRule="auto"/>
              <w:rPr>
                <w:kern w:val="0"/>
              </w:rPr>
            </w:pPr>
            <w:r w:rsidRPr="00736BCA">
              <w:t>Система за основна и пускова питателна вода</w:t>
            </w:r>
          </w:p>
        </w:tc>
      </w:tr>
      <w:tr w:rsidR="005527B6" w:rsidRPr="00E375CF" w14:paraId="168B1EA3" w14:textId="77777777" w:rsidTr="00B723E1">
        <w:tc>
          <w:tcPr>
            <w:tcW w:w="1525" w:type="dxa"/>
          </w:tcPr>
          <w:p w14:paraId="2D95AB6A" w14:textId="258F8698" w:rsidR="005527B6" w:rsidRPr="00E375CF" w:rsidRDefault="005527B6" w:rsidP="005527B6">
            <w:pPr>
              <w:tabs>
                <w:tab w:val="clear" w:pos="720"/>
                <w:tab w:val="clear" w:pos="1296"/>
                <w:tab w:val="clear" w:pos="1872"/>
                <w:tab w:val="clear" w:pos="2448"/>
              </w:tabs>
              <w:spacing w:after="0" w:line="240" w:lineRule="auto"/>
              <w:rPr>
                <w:kern w:val="0"/>
              </w:rPr>
            </w:pPr>
            <w:r w:rsidRPr="00736BCA">
              <w:t>СОТ</w:t>
            </w:r>
          </w:p>
        </w:tc>
        <w:tc>
          <w:tcPr>
            <w:tcW w:w="6930" w:type="dxa"/>
          </w:tcPr>
          <w:p w14:paraId="61DDD6ED" w14:textId="0E2B2B3F" w:rsidR="005527B6" w:rsidRPr="00E375CF" w:rsidRDefault="005527B6" w:rsidP="005527B6">
            <w:pPr>
              <w:tabs>
                <w:tab w:val="clear" w:pos="720"/>
                <w:tab w:val="clear" w:pos="1296"/>
                <w:tab w:val="clear" w:pos="1872"/>
                <w:tab w:val="clear" w:pos="2448"/>
              </w:tabs>
              <w:spacing w:after="0" w:line="240" w:lineRule="auto"/>
              <w:rPr>
                <w:kern w:val="0"/>
              </w:rPr>
            </w:pPr>
            <w:r w:rsidRPr="00736BCA">
              <w:t>Система за нормално отвеждане на остатъчното топлоотделяне</w:t>
            </w:r>
          </w:p>
        </w:tc>
      </w:tr>
      <w:tr w:rsidR="005527B6" w:rsidRPr="00E375CF" w14:paraId="32438EAA" w14:textId="77777777" w:rsidTr="00B723E1">
        <w:tc>
          <w:tcPr>
            <w:tcW w:w="1525" w:type="dxa"/>
          </w:tcPr>
          <w:p w14:paraId="72231333" w14:textId="2926C1F1" w:rsidR="005527B6" w:rsidRPr="00E375CF" w:rsidRDefault="005527B6" w:rsidP="005527B6">
            <w:pPr>
              <w:tabs>
                <w:tab w:val="clear" w:pos="720"/>
                <w:tab w:val="clear" w:pos="1296"/>
                <w:tab w:val="clear" w:pos="1872"/>
                <w:tab w:val="clear" w:pos="2448"/>
              </w:tabs>
              <w:spacing w:after="0" w:line="240" w:lineRule="auto"/>
              <w:rPr>
                <w:kern w:val="0"/>
              </w:rPr>
            </w:pPr>
            <w:r w:rsidRPr="00736BCA">
              <w:t>СПО</w:t>
            </w:r>
          </w:p>
        </w:tc>
        <w:tc>
          <w:tcPr>
            <w:tcW w:w="6930" w:type="dxa"/>
          </w:tcPr>
          <w:p w14:paraId="46A49060" w14:textId="4EEAFAEA" w:rsidR="005527B6" w:rsidRPr="00E375CF" w:rsidRDefault="005527B6" w:rsidP="005527B6">
            <w:pPr>
              <w:tabs>
                <w:tab w:val="clear" w:pos="720"/>
                <w:tab w:val="clear" w:pos="1296"/>
                <w:tab w:val="clear" w:pos="1872"/>
                <w:tab w:val="clear" w:pos="2448"/>
              </w:tabs>
              <w:spacing w:after="0" w:line="240" w:lineRule="auto"/>
              <w:rPr>
                <w:kern w:val="0"/>
              </w:rPr>
            </w:pPr>
            <w:r w:rsidRPr="00736BCA">
              <w:t>Система за пасивно охлаждане на активната зона</w:t>
            </w:r>
          </w:p>
        </w:tc>
      </w:tr>
      <w:tr w:rsidR="005527B6" w:rsidRPr="00E375CF" w14:paraId="7C031871" w14:textId="77777777" w:rsidTr="00B723E1">
        <w:tc>
          <w:tcPr>
            <w:tcW w:w="1525" w:type="dxa"/>
          </w:tcPr>
          <w:p w14:paraId="64C4D6CA" w14:textId="27A8BDF9" w:rsidR="005527B6" w:rsidRPr="00E375CF" w:rsidRDefault="005527B6" w:rsidP="005527B6">
            <w:pPr>
              <w:tabs>
                <w:tab w:val="clear" w:pos="720"/>
                <w:tab w:val="clear" w:pos="1296"/>
                <w:tab w:val="clear" w:pos="1872"/>
                <w:tab w:val="clear" w:pos="2448"/>
              </w:tabs>
              <w:spacing w:after="0" w:line="240" w:lineRule="auto"/>
              <w:rPr>
                <w:kern w:val="0"/>
              </w:rPr>
            </w:pPr>
            <w:r w:rsidRPr="00736BCA">
              <w:t>СПОД</w:t>
            </w:r>
          </w:p>
        </w:tc>
        <w:tc>
          <w:tcPr>
            <w:tcW w:w="6930" w:type="dxa"/>
          </w:tcPr>
          <w:p w14:paraId="6E70E4B6" w14:textId="0F8CC091" w:rsidR="005527B6" w:rsidRPr="00E375CF" w:rsidRDefault="005527B6" w:rsidP="005527B6">
            <w:pPr>
              <w:tabs>
                <w:tab w:val="clear" w:pos="720"/>
                <w:tab w:val="clear" w:pos="1296"/>
                <w:tab w:val="clear" w:pos="1872"/>
                <w:tab w:val="clear" w:pos="2448"/>
              </w:tabs>
              <w:spacing w:after="0" w:line="240" w:lineRule="auto"/>
              <w:rPr>
                <w:kern w:val="0"/>
              </w:rPr>
            </w:pPr>
            <w:r w:rsidRPr="00736BCA">
              <w:t>Система за показване и обработка на данни</w:t>
            </w:r>
          </w:p>
        </w:tc>
      </w:tr>
      <w:tr w:rsidR="005527B6" w:rsidRPr="00E375CF" w14:paraId="427EADC9" w14:textId="77777777" w:rsidTr="00B723E1">
        <w:tc>
          <w:tcPr>
            <w:tcW w:w="1525" w:type="dxa"/>
          </w:tcPr>
          <w:p w14:paraId="1DCDB0D9" w14:textId="25C43C9D" w:rsidR="005527B6" w:rsidRPr="00E375CF" w:rsidRDefault="005527B6" w:rsidP="005527B6">
            <w:pPr>
              <w:tabs>
                <w:tab w:val="clear" w:pos="720"/>
                <w:tab w:val="clear" w:pos="1296"/>
                <w:tab w:val="clear" w:pos="1872"/>
                <w:tab w:val="clear" w:pos="2448"/>
              </w:tabs>
              <w:spacing w:after="0" w:line="240" w:lineRule="auto"/>
              <w:rPr>
                <w:kern w:val="0"/>
              </w:rPr>
            </w:pPr>
            <w:r w:rsidRPr="00736BCA">
              <w:t>СРДГ</w:t>
            </w:r>
          </w:p>
        </w:tc>
        <w:tc>
          <w:tcPr>
            <w:tcW w:w="6930" w:type="dxa"/>
          </w:tcPr>
          <w:p w14:paraId="770629CE" w14:textId="745626E1" w:rsidR="005527B6" w:rsidRPr="00E375CF" w:rsidRDefault="005527B6" w:rsidP="005527B6">
            <w:pPr>
              <w:tabs>
                <w:tab w:val="clear" w:pos="720"/>
                <w:tab w:val="clear" w:pos="1296"/>
                <w:tab w:val="clear" w:pos="1872"/>
                <w:tab w:val="clear" w:pos="2448"/>
              </w:tabs>
              <w:spacing w:after="0" w:line="240" w:lineRule="auto"/>
              <w:rPr>
                <w:kern w:val="0"/>
              </w:rPr>
            </w:pPr>
            <w:r w:rsidRPr="00736BCA">
              <w:t>Система за резервно дизелово гориво</w:t>
            </w:r>
          </w:p>
        </w:tc>
      </w:tr>
      <w:tr w:rsidR="005527B6" w:rsidRPr="00E375CF" w14:paraId="4110A75B" w14:textId="77777777" w:rsidTr="00B723E1">
        <w:tc>
          <w:tcPr>
            <w:tcW w:w="1525" w:type="dxa"/>
          </w:tcPr>
          <w:p w14:paraId="10DDCBDE" w14:textId="281E6965" w:rsidR="005527B6" w:rsidRPr="00E375CF" w:rsidRDefault="005527B6" w:rsidP="005527B6">
            <w:pPr>
              <w:tabs>
                <w:tab w:val="clear" w:pos="720"/>
                <w:tab w:val="clear" w:pos="1296"/>
                <w:tab w:val="clear" w:pos="1872"/>
                <w:tab w:val="clear" w:pos="2448"/>
              </w:tabs>
              <w:spacing w:after="0" w:line="240" w:lineRule="auto"/>
              <w:rPr>
                <w:kern w:val="0"/>
              </w:rPr>
            </w:pPr>
            <w:r w:rsidRPr="00736BCA">
              <w:t>СРЗ</w:t>
            </w:r>
          </w:p>
        </w:tc>
        <w:tc>
          <w:tcPr>
            <w:tcW w:w="6930" w:type="dxa"/>
          </w:tcPr>
          <w:p w14:paraId="27E2C0F1" w14:textId="31BE11A6" w:rsidR="005527B6" w:rsidRPr="00E375CF" w:rsidRDefault="005527B6" w:rsidP="005527B6">
            <w:pPr>
              <w:tabs>
                <w:tab w:val="clear" w:pos="720"/>
                <w:tab w:val="clear" w:pos="1296"/>
                <w:tab w:val="clear" w:pos="1872"/>
                <w:tab w:val="clear" w:pos="2448"/>
              </w:tabs>
              <w:spacing w:after="0" w:line="240" w:lineRule="auto"/>
              <w:rPr>
                <w:kern w:val="0"/>
              </w:rPr>
            </w:pPr>
            <w:r w:rsidRPr="00736BCA">
              <w:t>Система за резервно електрозахранване на площадката</w:t>
            </w:r>
          </w:p>
        </w:tc>
      </w:tr>
      <w:tr w:rsidR="005527B6" w:rsidRPr="00E375CF" w14:paraId="4067E529" w14:textId="77777777" w:rsidTr="00B723E1">
        <w:tc>
          <w:tcPr>
            <w:tcW w:w="1525" w:type="dxa"/>
          </w:tcPr>
          <w:p w14:paraId="36F124AD" w14:textId="63B7CB7E" w:rsidR="005527B6" w:rsidRPr="00E375CF" w:rsidRDefault="005527B6" w:rsidP="005527B6">
            <w:pPr>
              <w:tabs>
                <w:tab w:val="clear" w:pos="720"/>
                <w:tab w:val="clear" w:pos="1296"/>
                <w:tab w:val="clear" w:pos="1872"/>
                <w:tab w:val="clear" w:pos="2448"/>
              </w:tabs>
              <w:spacing w:after="0" w:line="240" w:lineRule="auto"/>
              <w:rPr>
                <w:kern w:val="0"/>
              </w:rPr>
            </w:pPr>
            <w:r w:rsidRPr="00736BCA">
              <w:t>СРК</w:t>
            </w:r>
          </w:p>
        </w:tc>
        <w:tc>
          <w:tcPr>
            <w:tcW w:w="6930" w:type="dxa"/>
          </w:tcPr>
          <w:p w14:paraId="5C18D9C9" w14:textId="1D0697D6" w:rsidR="005527B6" w:rsidRPr="00E375CF" w:rsidRDefault="005527B6" w:rsidP="005527B6">
            <w:pPr>
              <w:tabs>
                <w:tab w:val="clear" w:pos="720"/>
                <w:tab w:val="clear" w:pos="1296"/>
                <w:tab w:val="clear" w:pos="1872"/>
                <w:tab w:val="clear" w:pos="2448"/>
              </w:tabs>
              <w:spacing w:after="0" w:line="240" w:lineRule="auto"/>
              <w:rPr>
                <w:kern w:val="0"/>
              </w:rPr>
            </w:pPr>
            <w:r w:rsidRPr="00736BCA">
              <w:t>Система за радиационен контрол</w:t>
            </w:r>
          </w:p>
        </w:tc>
      </w:tr>
      <w:tr w:rsidR="005527B6" w:rsidRPr="00E375CF" w14:paraId="2F118FF5" w14:textId="77777777" w:rsidTr="00B723E1">
        <w:tc>
          <w:tcPr>
            <w:tcW w:w="1525" w:type="dxa"/>
          </w:tcPr>
          <w:p w14:paraId="6CCF3A5F" w14:textId="20FBB846" w:rsidR="005527B6" w:rsidRPr="00E375CF" w:rsidRDefault="005527B6" w:rsidP="005527B6">
            <w:pPr>
              <w:tabs>
                <w:tab w:val="clear" w:pos="720"/>
                <w:tab w:val="clear" w:pos="1296"/>
                <w:tab w:val="clear" w:pos="1872"/>
                <w:tab w:val="clear" w:pos="2448"/>
              </w:tabs>
              <w:spacing w:after="0" w:line="240" w:lineRule="auto"/>
              <w:rPr>
                <w:kern w:val="0"/>
              </w:rPr>
            </w:pPr>
            <w:r w:rsidRPr="00736BCA">
              <w:t>СТВ</w:t>
            </w:r>
          </w:p>
        </w:tc>
        <w:tc>
          <w:tcPr>
            <w:tcW w:w="6930" w:type="dxa"/>
          </w:tcPr>
          <w:p w14:paraId="64FF3E9A" w14:textId="73D90C80" w:rsidR="005527B6" w:rsidRPr="00E375CF" w:rsidRDefault="005527B6" w:rsidP="005527B6">
            <w:pPr>
              <w:tabs>
                <w:tab w:val="clear" w:pos="720"/>
                <w:tab w:val="clear" w:pos="1296"/>
                <w:tab w:val="clear" w:pos="1872"/>
                <w:tab w:val="clear" w:pos="2448"/>
              </w:tabs>
              <w:spacing w:after="0" w:line="240" w:lineRule="auto"/>
              <w:rPr>
                <w:color w:val="000000"/>
                <w:kern w:val="0"/>
              </w:rPr>
            </w:pPr>
            <w:r w:rsidRPr="00736BCA">
              <w:t>Система техническа вода</w:t>
            </w:r>
          </w:p>
        </w:tc>
      </w:tr>
      <w:tr w:rsidR="005527B6" w:rsidRPr="00E375CF" w14:paraId="16BA52C5" w14:textId="77777777" w:rsidTr="00B723E1">
        <w:tc>
          <w:tcPr>
            <w:tcW w:w="1525" w:type="dxa"/>
          </w:tcPr>
          <w:p w14:paraId="4FCC8710" w14:textId="68C177BE" w:rsidR="005527B6" w:rsidRPr="00E375CF" w:rsidRDefault="005527B6" w:rsidP="005527B6">
            <w:pPr>
              <w:tabs>
                <w:tab w:val="clear" w:pos="720"/>
                <w:tab w:val="clear" w:pos="1296"/>
                <w:tab w:val="clear" w:pos="1872"/>
                <w:tab w:val="clear" w:pos="2448"/>
              </w:tabs>
              <w:spacing w:after="0" w:line="240" w:lineRule="auto"/>
              <w:rPr>
                <w:kern w:val="0"/>
              </w:rPr>
            </w:pPr>
            <w:r w:rsidRPr="00736BCA">
              <w:t>СТР</w:t>
            </w:r>
          </w:p>
        </w:tc>
        <w:tc>
          <w:tcPr>
            <w:tcW w:w="6930" w:type="dxa"/>
          </w:tcPr>
          <w:p w14:paraId="74666194" w14:textId="611BADEE" w:rsidR="005527B6" w:rsidRPr="00E375CF" w:rsidRDefault="005527B6" w:rsidP="005527B6">
            <w:pPr>
              <w:tabs>
                <w:tab w:val="clear" w:pos="720"/>
                <w:tab w:val="clear" w:pos="1296"/>
                <w:tab w:val="clear" w:pos="1872"/>
                <w:tab w:val="clear" w:pos="2448"/>
              </w:tabs>
              <w:spacing w:after="0" w:line="240" w:lineRule="auto"/>
              <w:rPr>
                <w:kern w:val="0"/>
              </w:rPr>
            </w:pPr>
            <w:r w:rsidRPr="00736BCA">
              <w:t>Система на топлоносителя на реактора</w:t>
            </w:r>
          </w:p>
        </w:tc>
      </w:tr>
      <w:tr w:rsidR="005527B6" w:rsidRPr="00E375CF" w14:paraId="0C81E0F4" w14:textId="77777777" w:rsidTr="00B723E1">
        <w:tc>
          <w:tcPr>
            <w:tcW w:w="1525" w:type="dxa"/>
          </w:tcPr>
          <w:p w14:paraId="0506078B" w14:textId="7DEC719A" w:rsidR="005527B6" w:rsidRPr="00E375CF" w:rsidRDefault="005527B6" w:rsidP="005527B6">
            <w:pPr>
              <w:tabs>
                <w:tab w:val="clear" w:pos="720"/>
                <w:tab w:val="clear" w:pos="1296"/>
                <w:tab w:val="clear" w:pos="1872"/>
                <w:tab w:val="clear" w:pos="2448"/>
              </w:tabs>
              <w:spacing w:after="0" w:line="240" w:lineRule="auto"/>
              <w:rPr>
                <w:kern w:val="0"/>
              </w:rPr>
            </w:pPr>
            <w:r w:rsidRPr="00736BCA">
              <w:t>СУЗ</w:t>
            </w:r>
          </w:p>
        </w:tc>
        <w:tc>
          <w:tcPr>
            <w:tcW w:w="6930" w:type="dxa"/>
          </w:tcPr>
          <w:p w14:paraId="535C06E8" w14:textId="72CF2198" w:rsidR="005527B6" w:rsidRPr="00E375CF" w:rsidRDefault="005527B6" w:rsidP="005527B6">
            <w:pPr>
              <w:tabs>
                <w:tab w:val="clear" w:pos="720"/>
                <w:tab w:val="clear" w:pos="1296"/>
                <w:tab w:val="clear" w:pos="1872"/>
                <w:tab w:val="clear" w:pos="2448"/>
              </w:tabs>
              <w:spacing w:after="0" w:line="240" w:lineRule="auto"/>
              <w:rPr>
                <w:kern w:val="0"/>
              </w:rPr>
            </w:pPr>
            <w:r w:rsidRPr="00736BCA">
              <w:t>Система за управление и защита на централата</w:t>
            </w:r>
          </w:p>
        </w:tc>
      </w:tr>
      <w:tr w:rsidR="005527B6" w:rsidRPr="00E375CF" w14:paraId="429A88A6" w14:textId="77777777" w:rsidTr="00B723E1">
        <w:tc>
          <w:tcPr>
            <w:tcW w:w="1525" w:type="dxa"/>
          </w:tcPr>
          <w:p w14:paraId="6D9FAEFA" w14:textId="0F48BFC7" w:rsidR="005527B6" w:rsidRPr="00E375CF" w:rsidRDefault="005527B6" w:rsidP="005527B6">
            <w:pPr>
              <w:tabs>
                <w:tab w:val="clear" w:pos="720"/>
                <w:tab w:val="clear" w:pos="1296"/>
                <w:tab w:val="clear" w:pos="1872"/>
                <w:tab w:val="clear" w:pos="2448"/>
              </w:tabs>
              <w:spacing w:after="0" w:line="240" w:lineRule="auto"/>
              <w:rPr>
                <w:kern w:val="0"/>
              </w:rPr>
            </w:pPr>
            <w:r w:rsidRPr="00736BCA">
              <w:t>СУК</w:t>
            </w:r>
          </w:p>
        </w:tc>
        <w:tc>
          <w:tcPr>
            <w:tcW w:w="6930" w:type="dxa"/>
          </w:tcPr>
          <w:p w14:paraId="2208B1D2" w14:textId="74F1FCFF" w:rsidR="005527B6" w:rsidRPr="00E375CF" w:rsidRDefault="005527B6" w:rsidP="005527B6">
            <w:pPr>
              <w:tabs>
                <w:tab w:val="clear" w:pos="720"/>
                <w:tab w:val="clear" w:pos="1296"/>
                <w:tab w:val="clear" w:pos="1872"/>
                <w:tab w:val="clear" w:pos="2448"/>
              </w:tabs>
              <w:spacing w:after="0" w:line="240" w:lineRule="auto"/>
              <w:rPr>
                <w:kern w:val="0"/>
              </w:rPr>
            </w:pPr>
            <w:r w:rsidRPr="00736BCA">
              <w:t>Система за управление на качеството</w:t>
            </w:r>
          </w:p>
        </w:tc>
      </w:tr>
      <w:tr w:rsidR="005527B6" w:rsidRPr="00E375CF" w14:paraId="4649226A" w14:textId="77777777" w:rsidTr="00B723E1">
        <w:tc>
          <w:tcPr>
            <w:tcW w:w="1525" w:type="dxa"/>
          </w:tcPr>
          <w:p w14:paraId="3D792D75" w14:textId="0283BC53" w:rsidR="005527B6" w:rsidRPr="00E375CF" w:rsidRDefault="005527B6" w:rsidP="005527B6">
            <w:pPr>
              <w:tabs>
                <w:tab w:val="clear" w:pos="720"/>
                <w:tab w:val="clear" w:pos="1296"/>
                <w:tab w:val="clear" w:pos="1872"/>
                <w:tab w:val="clear" w:pos="2448"/>
              </w:tabs>
              <w:spacing w:after="0" w:line="240" w:lineRule="auto"/>
              <w:rPr>
                <w:kern w:val="0"/>
              </w:rPr>
            </w:pPr>
            <w:r w:rsidRPr="00736BCA">
              <w:t>СФВ</w:t>
            </w:r>
          </w:p>
        </w:tc>
        <w:tc>
          <w:tcPr>
            <w:tcW w:w="6930" w:type="dxa"/>
          </w:tcPr>
          <w:p w14:paraId="6CD1C395" w14:textId="12DC6F08" w:rsidR="005527B6" w:rsidRPr="00E375CF" w:rsidRDefault="005527B6" w:rsidP="005527B6">
            <w:pPr>
              <w:tabs>
                <w:tab w:val="clear" w:pos="720"/>
                <w:tab w:val="clear" w:pos="1296"/>
                <w:tab w:val="clear" w:pos="1872"/>
                <w:tab w:val="clear" w:pos="2448"/>
              </w:tabs>
              <w:spacing w:after="0" w:line="240" w:lineRule="auto"/>
              <w:rPr>
                <w:kern w:val="0"/>
              </w:rPr>
            </w:pPr>
            <w:r w:rsidRPr="00736BCA">
              <w:t>Система за филтриране на въздуха в херметичната конструкция</w:t>
            </w:r>
          </w:p>
        </w:tc>
      </w:tr>
      <w:tr w:rsidR="005527B6" w:rsidRPr="00E375CF" w14:paraId="0A0B3449" w14:textId="77777777" w:rsidTr="00B723E1">
        <w:tc>
          <w:tcPr>
            <w:tcW w:w="1525" w:type="dxa"/>
          </w:tcPr>
          <w:p w14:paraId="7EBA1CF0" w14:textId="2D9C4633" w:rsidR="005527B6" w:rsidRPr="00E375CF" w:rsidRDefault="005527B6" w:rsidP="005527B6">
            <w:pPr>
              <w:tabs>
                <w:tab w:val="clear" w:pos="720"/>
                <w:tab w:val="clear" w:pos="1296"/>
                <w:tab w:val="clear" w:pos="1872"/>
                <w:tab w:val="clear" w:pos="2448"/>
              </w:tabs>
              <w:spacing w:after="0" w:line="240" w:lineRule="auto"/>
              <w:rPr>
                <w:kern w:val="0"/>
              </w:rPr>
            </w:pPr>
            <w:r w:rsidRPr="00736BCA">
              <w:t>СХК</w:t>
            </w:r>
          </w:p>
        </w:tc>
        <w:tc>
          <w:tcPr>
            <w:tcW w:w="6930" w:type="dxa"/>
          </w:tcPr>
          <w:p w14:paraId="44F51AA0" w14:textId="5F3DD729" w:rsidR="005527B6" w:rsidRPr="00E375CF" w:rsidRDefault="005527B6" w:rsidP="005527B6">
            <w:pPr>
              <w:tabs>
                <w:tab w:val="clear" w:pos="720"/>
                <w:tab w:val="clear" w:pos="1296"/>
                <w:tab w:val="clear" w:pos="1872"/>
                <w:tab w:val="clear" w:pos="2448"/>
              </w:tabs>
              <w:spacing w:after="0" w:line="240" w:lineRule="auto"/>
              <w:rPr>
                <w:kern w:val="0"/>
              </w:rPr>
            </w:pPr>
            <w:r w:rsidRPr="00736BCA">
              <w:t>Система на херметичната конструкция</w:t>
            </w:r>
          </w:p>
        </w:tc>
      </w:tr>
      <w:tr w:rsidR="005527B6" w:rsidRPr="00E375CF" w14:paraId="0B49A1A6" w14:textId="77777777" w:rsidTr="00B723E1">
        <w:tc>
          <w:tcPr>
            <w:tcW w:w="1525" w:type="dxa"/>
          </w:tcPr>
          <w:p w14:paraId="6AE184EC" w14:textId="6274286B" w:rsidR="005527B6" w:rsidRPr="00E375CF" w:rsidRDefault="005527B6" w:rsidP="005527B6">
            <w:pPr>
              <w:tabs>
                <w:tab w:val="clear" w:pos="720"/>
                <w:tab w:val="clear" w:pos="1296"/>
                <w:tab w:val="clear" w:pos="1872"/>
                <w:tab w:val="clear" w:pos="2448"/>
              </w:tabs>
              <w:spacing w:after="0" w:line="240" w:lineRule="auto"/>
              <w:rPr>
                <w:kern w:val="0"/>
              </w:rPr>
            </w:pPr>
            <w:r w:rsidRPr="00736BCA">
              <w:t>ЦЕУ</w:t>
            </w:r>
          </w:p>
        </w:tc>
        <w:tc>
          <w:tcPr>
            <w:tcW w:w="6930" w:type="dxa"/>
          </w:tcPr>
          <w:p w14:paraId="68B5389C" w14:textId="2729A00E" w:rsidR="005527B6" w:rsidRPr="00E375CF" w:rsidRDefault="005527B6" w:rsidP="005527B6">
            <w:pPr>
              <w:tabs>
                <w:tab w:val="clear" w:pos="720"/>
                <w:tab w:val="clear" w:pos="1296"/>
                <w:tab w:val="clear" w:pos="1872"/>
                <w:tab w:val="clear" w:pos="2448"/>
              </w:tabs>
              <w:spacing w:after="0" w:line="240" w:lineRule="auto"/>
              <w:rPr>
                <w:kern w:val="0"/>
              </w:rPr>
            </w:pPr>
            <w:r w:rsidRPr="00736BCA">
              <w:t>Система за центрове за експлоатация и управление</w:t>
            </w:r>
          </w:p>
        </w:tc>
      </w:tr>
      <w:tr w:rsidR="005527B6" w:rsidRPr="00E375CF" w14:paraId="0943B91F" w14:textId="77777777" w:rsidTr="00B723E1">
        <w:tc>
          <w:tcPr>
            <w:tcW w:w="1525" w:type="dxa"/>
          </w:tcPr>
          <w:p w14:paraId="22CB2324" w14:textId="02EE0405" w:rsidR="005527B6" w:rsidRPr="00E375CF" w:rsidRDefault="005527B6" w:rsidP="005527B6">
            <w:pPr>
              <w:tabs>
                <w:tab w:val="clear" w:pos="720"/>
                <w:tab w:val="clear" w:pos="1296"/>
                <w:tab w:val="clear" w:pos="1872"/>
                <w:tab w:val="clear" w:pos="2448"/>
              </w:tabs>
              <w:spacing w:after="0" w:line="240" w:lineRule="auto"/>
              <w:rPr>
                <w:kern w:val="0"/>
              </w:rPr>
            </w:pPr>
            <w:r w:rsidRPr="00736BCA">
              <w:t>ЦСО</w:t>
            </w:r>
          </w:p>
        </w:tc>
        <w:tc>
          <w:tcPr>
            <w:tcW w:w="6930" w:type="dxa"/>
          </w:tcPr>
          <w:p w14:paraId="660FDAA4" w14:textId="001CD982" w:rsidR="005527B6" w:rsidRPr="00E375CF" w:rsidRDefault="005527B6" w:rsidP="005527B6">
            <w:pPr>
              <w:tabs>
                <w:tab w:val="clear" w:pos="720"/>
                <w:tab w:val="clear" w:pos="1296"/>
                <w:tab w:val="clear" w:pos="1872"/>
                <w:tab w:val="clear" w:pos="2448"/>
              </w:tabs>
              <w:spacing w:after="0" w:line="240" w:lineRule="auto"/>
              <w:rPr>
                <w:kern w:val="0"/>
              </w:rPr>
            </w:pPr>
            <w:r w:rsidRPr="00736BCA">
              <w:t>Централна система за подаване на охладена вода</w:t>
            </w:r>
          </w:p>
        </w:tc>
      </w:tr>
      <w:tr w:rsidR="005527B6" w:rsidRPr="00E375CF" w14:paraId="2D7B663E" w14:textId="77777777" w:rsidTr="00B723E1">
        <w:tc>
          <w:tcPr>
            <w:tcW w:w="1525" w:type="dxa"/>
          </w:tcPr>
          <w:p w14:paraId="06219130" w14:textId="6DD111B7" w:rsidR="005527B6" w:rsidRPr="00E375CF" w:rsidRDefault="005527B6" w:rsidP="005527B6">
            <w:pPr>
              <w:tabs>
                <w:tab w:val="clear" w:pos="720"/>
                <w:tab w:val="clear" w:pos="1296"/>
                <w:tab w:val="clear" w:pos="1872"/>
                <w:tab w:val="clear" w:pos="2448"/>
              </w:tabs>
              <w:spacing w:after="0" w:line="240" w:lineRule="auto"/>
              <w:rPr>
                <w:kern w:val="0"/>
              </w:rPr>
            </w:pPr>
            <w:r w:rsidRPr="00736BCA">
              <w:t>ЦТП</w:t>
            </w:r>
          </w:p>
        </w:tc>
        <w:tc>
          <w:tcPr>
            <w:tcW w:w="6930" w:type="dxa"/>
          </w:tcPr>
          <w:p w14:paraId="50CB9762" w14:textId="08A180E1" w:rsidR="005527B6" w:rsidRPr="00E375CF" w:rsidRDefault="005527B6" w:rsidP="005527B6">
            <w:pPr>
              <w:tabs>
                <w:tab w:val="clear" w:pos="720"/>
                <w:tab w:val="clear" w:pos="1296"/>
                <w:tab w:val="clear" w:pos="1872"/>
                <w:tab w:val="clear" w:pos="2448"/>
              </w:tabs>
              <w:spacing w:after="0" w:line="240" w:lineRule="auto"/>
              <w:rPr>
                <w:kern w:val="0"/>
              </w:rPr>
            </w:pPr>
            <w:r w:rsidRPr="00736BCA">
              <w:t>Център за техническа поддръжка</w:t>
            </w:r>
          </w:p>
        </w:tc>
      </w:tr>
      <w:tr w:rsidR="005527B6" w:rsidRPr="00E375CF" w14:paraId="0458FEC1" w14:textId="77777777" w:rsidTr="00B723E1">
        <w:tc>
          <w:tcPr>
            <w:tcW w:w="1525" w:type="dxa"/>
          </w:tcPr>
          <w:p w14:paraId="720E119E" w14:textId="36D9F482" w:rsidR="005527B6" w:rsidRPr="00E375CF" w:rsidRDefault="005527B6" w:rsidP="005527B6">
            <w:pPr>
              <w:tabs>
                <w:tab w:val="clear" w:pos="720"/>
                <w:tab w:val="clear" w:pos="1296"/>
                <w:tab w:val="clear" w:pos="1872"/>
                <w:tab w:val="clear" w:pos="2448"/>
              </w:tabs>
              <w:spacing w:after="0" w:line="240" w:lineRule="auto"/>
              <w:rPr>
                <w:kern w:val="0"/>
              </w:rPr>
            </w:pPr>
            <w:r w:rsidRPr="00736BCA">
              <w:t>ЧГИ</w:t>
            </w:r>
          </w:p>
        </w:tc>
        <w:tc>
          <w:tcPr>
            <w:tcW w:w="6930" w:type="dxa"/>
          </w:tcPr>
          <w:p w14:paraId="20C6C3FA" w14:textId="6285DE9D" w:rsidR="005527B6" w:rsidRPr="00E375CF" w:rsidRDefault="005527B6" w:rsidP="005527B6">
            <w:pPr>
              <w:tabs>
                <w:tab w:val="clear" w:pos="720"/>
                <w:tab w:val="clear" w:pos="1296"/>
                <w:tab w:val="clear" w:pos="1872"/>
                <w:tab w:val="clear" w:pos="2448"/>
              </w:tabs>
              <w:spacing w:after="0" w:line="240" w:lineRule="auto"/>
              <w:rPr>
                <w:kern w:val="0"/>
              </w:rPr>
            </w:pPr>
            <w:r w:rsidRPr="00736BCA">
              <w:t>Честота на големи изхвърляния</w:t>
            </w:r>
          </w:p>
        </w:tc>
      </w:tr>
      <w:tr w:rsidR="005527B6" w:rsidRPr="00E375CF" w14:paraId="203DE669" w14:textId="77777777" w:rsidTr="00B723E1">
        <w:tc>
          <w:tcPr>
            <w:tcW w:w="1525" w:type="dxa"/>
          </w:tcPr>
          <w:p w14:paraId="2740CADC" w14:textId="5288D97E" w:rsidR="005527B6" w:rsidRDefault="005527B6" w:rsidP="005527B6">
            <w:pPr>
              <w:tabs>
                <w:tab w:val="clear" w:pos="720"/>
                <w:tab w:val="clear" w:pos="1296"/>
                <w:tab w:val="clear" w:pos="1872"/>
                <w:tab w:val="clear" w:pos="2448"/>
              </w:tabs>
              <w:spacing w:after="0" w:line="240" w:lineRule="auto"/>
            </w:pPr>
            <w:r w:rsidRPr="00736BCA">
              <w:t>ЧПАЗ</w:t>
            </w:r>
          </w:p>
        </w:tc>
        <w:tc>
          <w:tcPr>
            <w:tcW w:w="6930" w:type="dxa"/>
          </w:tcPr>
          <w:p w14:paraId="7BB3151D" w14:textId="6BCEFDC5" w:rsidR="005527B6" w:rsidRDefault="005527B6" w:rsidP="005527B6">
            <w:pPr>
              <w:tabs>
                <w:tab w:val="clear" w:pos="720"/>
                <w:tab w:val="clear" w:pos="1296"/>
                <w:tab w:val="clear" w:pos="1872"/>
                <w:tab w:val="clear" w:pos="2448"/>
              </w:tabs>
              <w:spacing w:after="0" w:line="240" w:lineRule="auto"/>
            </w:pPr>
            <w:r w:rsidRPr="00736BCA">
              <w:t>Честота на повреждане на активната зона</w:t>
            </w:r>
          </w:p>
        </w:tc>
      </w:tr>
      <w:bookmarkEnd w:id="2"/>
    </w:tbl>
    <w:p w14:paraId="2803BAD1" w14:textId="77777777" w:rsidR="00856E14" w:rsidRDefault="00856E14" w:rsidP="00856E14">
      <w:pPr>
        <w:pStyle w:val="Center-11B"/>
      </w:pPr>
    </w:p>
    <w:p w14:paraId="0362F154" w14:textId="77777777" w:rsidR="00856E14" w:rsidRDefault="00856E14" w:rsidP="00856E14">
      <w:pPr>
        <w:pStyle w:val="Center-11B"/>
      </w:pPr>
      <w:r>
        <w:br w:type="page"/>
      </w:r>
    </w:p>
    <w:p w14:paraId="3FBD5573" w14:textId="6DDE4751" w:rsidR="00856E14" w:rsidRPr="00450759" w:rsidRDefault="00856E14" w:rsidP="00856E14">
      <w:pPr>
        <w:pStyle w:val="Center-11B"/>
      </w:pPr>
      <w:r>
        <w:lastRenderedPageBreak/>
        <w:t>РЕЗЮМЕ</w:t>
      </w:r>
    </w:p>
    <w:p w14:paraId="497969EB" w14:textId="64393CB9" w:rsidR="0062567C" w:rsidRPr="00D95EDF" w:rsidRDefault="000D0EAB" w:rsidP="005841F8">
      <w:pPr>
        <w:jc w:val="both"/>
      </w:pPr>
      <w:r>
        <w:t xml:space="preserve">Целта на Стандарта за безопасност № GSR, Част 3 на Международната агенция за атомна енергия (МААЕ), Радиационна защита и безопасност на източниците на </w:t>
      </w:r>
      <w:r w:rsidR="00AD07CA">
        <w:t>йонизиращи лъчения</w:t>
      </w:r>
      <w:r>
        <w:t xml:space="preserve">: Международни основни стандарти за безопасност – Общи изисквания за безопасност, има за цел да предостави изисквания за безопасност, инструкции и ръководства за радиационна защита и безопасност. Всички тези дейности водят до подобряване на безопасността в страните от МААЕ. Изпълнението на тези изисквания гарантира, че са взети всички съответни мерки за защита и безопасност от вредното въздействие на йонизиращото лъчение. Тези стандарти се прилагат за съоръжения и дейности, които пораждат радиационни рискове, включително ядрени инсталации, използване на </w:t>
      </w:r>
      <w:r w:rsidR="00AD07CA">
        <w:t>йонизиращи лъчения</w:t>
      </w:r>
      <w:r>
        <w:t xml:space="preserve"> и радиоактивни източници, транспортиране на радиоактивни материали и управление на радиоактивни отпадъци. Стандартите за безопасност на МААЕ отразяват международния консенсус по отношение на това, какво представлява високото ниво на безопасност за защита на </w:t>
      </w:r>
      <w:r w:rsidR="003F11A5">
        <w:t>населението</w:t>
      </w:r>
      <w:r>
        <w:t xml:space="preserve"> и околната среда от вредното въздействие на йонизиращото лъчение, тъй като това въздействие може да имат глобални последици.</w:t>
      </w:r>
    </w:p>
    <w:p w14:paraId="59198FAB" w14:textId="2B393C20" w:rsidR="009F7389" w:rsidRDefault="00D95EDF" w:rsidP="005841F8">
      <w:pPr>
        <w:jc w:val="both"/>
      </w:pPr>
      <w:r>
        <w:t xml:space="preserve">Целта на тази конкретна публикация е да установи общите изисквания за безопасност, които трябва да се спазват при </w:t>
      </w:r>
      <w:r w:rsidR="00D610DD">
        <w:t>избора</w:t>
      </w:r>
      <w:r w:rsidR="00C53C4A">
        <w:t xml:space="preserve"> на площадката)</w:t>
      </w:r>
      <w:r>
        <w:t>, проектирането, производството, строителството, монтажа, въвеждането в експлоатация, експлоатацията, поддръжката и извеждането от експлоатация.</w:t>
      </w:r>
    </w:p>
    <w:p w14:paraId="694EA07A" w14:textId="4DC46660" w:rsidR="009F7389" w:rsidRDefault="006C5D76" w:rsidP="005841F8">
      <w:pPr>
        <w:jc w:val="both"/>
      </w:pPr>
      <w:r>
        <w:t xml:space="preserve">Проектът на централата AP1000 отговаря на всички свързани с проекта изисквания на GSR, Част 3 на МААЕ, без установени несъответствия. Изискванията са приложими най-вече за действащи съоръжения (включително </w:t>
      </w:r>
      <w:r w:rsidR="00C53C4A">
        <w:t xml:space="preserve">ядрени </w:t>
      </w:r>
      <w:r>
        <w:t>електроцентрали) с отговорности на Собственика/Лицензианта/Правителството/Регулаторния орган. Някои от изискванията се отнасят за медицината, авиацията и космонавтиката, поради което не са приложими за технологията на AP1000.</w:t>
      </w:r>
    </w:p>
    <w:p w14:paraId="1C7237EE" w14:textId="798DB8ED" w:rsidR="00F85B38" w:rsidRPr="00A773E0" w:rsidRDefault="009F7389" w:rsidP="005841F8">
      <w:pPr>
        <w:jc w:val="both"/>
      </w:pPr>
      <w:r>
        <w:t>В Таблица 1-1 в Раздел 1.4 е представено обобщение на оценката на съответствието на централата AP1000 със Стандарта за безопасност № GSR, Част 3 на МААЕ. Категориите за съответствие са определени в Раздел 2.1. Подробната обосновка на съответствието е представена в посочените Раздели 2.2-2.5.</w:t>
      </w:r>
    </w:p>
    <w:p w14:paraId="35171392" w14:textId="5B0DB6B1" w:rsidR="00413FD4" w:rsidRDefault="00413FD4" w:rsidP="001347C4">
      <w:pPr>
        <w:sectPr w:rsidR="00413FD4" w:rsidSect="00991528">
          <w:headerReference w:type="even" r:id="rId17"/>
          <w:headerReference w:type="default" r:id="rId18"/>
          <w:headerReference w:type="first" r:id="rId19"/>
          <w:endnotePr>
            <w:numFmt w:val="decimal"/>
          </w:endnotePr>
          <w:pgSz w:w="12240" w:h="15840" w:code="1"/>
          <w:pgMar w:top="1440" w:right="1109" w:bottom="1800" w:left="1440" w:header="720" w:footer="720" w:gutter="0"/>
          <w:pgNumType w:fmt="lowerRoman" w:start="3"/>
          <w:cols w:space="720"/>
          <w:noEndnote/>
          <w:docGrid w:linePitch="299"/>
        </w:sectPr>
      </w:pPr>
    </w:p>
    <w:p w14:paraId="744741DD" w14:textId="15476D92" w:rsidR="000E7D0F" w:rsidRPr="003A0ED4" w:rsidRDefault="00897D82" w:rsidP="00BD3948">
      <w:pPr>
        <w:pStyle w:val="Heading1"/>
      </w:pPr>
      <w:bookmarkStart w:id="3" w:name="_Toc381705095"/>
      <w:bookmarkStart w:id="4" w:name="_Toc389039641"/>
      <w:bookmarkStart w:id="5" w:name="_Toc155347758"/>
      <w:r>
        <w:lastRenderedPageBreak/>
        <w:t>Въведение</w:t>
      </w:r>
      <w:bookmarkEnd w:id="3"/>
      <w:bookmarkEnd w:id="4"/>
      <w:bookmarkEnd w:id="5"/>
    </w:p>
    <w:p w14:paraId="3C698951" w14:textId="3E8BE8C1" w:rsidR="000E7D0F" w:rsidRPr="003A0ED4" w:rsidRDefault="000E7D0F" w:rsidP="00BD3948">
      <w:pPr>
        <w:pStyle w:val="Heading2"/>
      </w:pPr>
      <w:bookmarkStart w:id="6" w:name="_Toc155347759"/>
      <w:r>
        <w:t>Общ преглед и предназначение на документа</w:t>
      </w:r>
      <w:bookmarkEnd w:id="6"/>
    </w:p>
    <w:p w14:paraId="186D185F" w14:textId="1110FAD2" w:rsidR="004C0113" w:rsidRPr="003A0ED4" w:rsidRDefault="00ED7D3C" w:rsidP="008D639A">
      <w:pPr>
        <w:pStyle w:val="Heading3"/>
      </w:pPr>
      <w:bookmarkStart w:id="7" w:name="_Toc155347760"/>
      <w:r>
        <w:t>Въведение в стандартите за безопасност на МААЕ и свързаните с тях публикации</w:t>
      </w:r>
      <w:bookmarkEnd w:id="7"/>
    </w:p>
    <w:p w14:paraId="3A387A78" w14:textId="64BF663D" w:rsidR="0051379F" w:rsidRPr="005A18C4" w:rsidRDefault="00AD6CBC" w:rsidP="005841F8">
      <w:pPr>
        <w:ind w:firstLine="432"/>
        <w:jc w:val="both"/>
      </w:pPr>
      <w:r>
        <w:t xml:space="preserve">Радиоактивността е естествено явление и естествените източници на </w:t>
      </w:r>
      <w:r w:rsidR="00AD07CA">
        <w:t>йонизиращи лъчения</w:t>
      </w:r>
      <w:r>
        <w:t xml:space="preserve"> са характерни за околната среда. Радиацията и радиоактивните вещества имат много полезни приложения, вариращи от производството на електроенергия до използването им в медицината, промишлеността и селското стопанство. Радиационните рискове за </w:t>
      </w:r>
      <w:r w:rsidR="00C97095">
        <w:t>персонала</w:t>
      </w:r>
      <w:r>
        <w:t xml:space="preserve"> и населението, както и за околната среда, които могат да възникнат от тези приложения, трябва да бъдат оценени и, ако е необходимо, контролирани. Поради това дейности като използването на </w:t>
      </w:r>
      <w:r w:rsidR="00AD07CA">
        <w:t>йонизиращи лъчения</w:t>
      </w:r>
      <w:r>
        <w:t xml:space="preserve"> в медицината, експлоатацията на ядрени инсталации, производството, транспортирането и използването на радиоактивни материали и управлението на радиоактивни отпадъци трябва да се подчиняват на стандарти за безопасност. Регулирането на безопасността е национална отговорност. Въпреки това, радиационните рискове могат да надхвърлят националните граници, а международното сътрудничество служи за насърчаване и повишаване на безопасността в световен мащаб чрез обмяна на опит и подобряване на възможностите за контрол на опасностите, предотвратяване на аварии, реагиране при извънредни ситуации и смекчаване на всякакви вредни последици. Държавите имат задължение да полагат старание и грижи и от тях се очаква да изпълняват своите национални и международни ангажименти и задължения</w:t>
      </w:r>
      <w:bookmarkStart w:id="8" w:name="_Hlk120190745"/>
      <w:r>
        <w:t xml:space="preserve"> [1].</w:t>
      </w:r>
    </w:p>
    <w:p w14:paraId="46AE7A97" w14:textId="21676FD5" w:rsidR="00B561C3" w:rsidRPr="005A18C4" w:rsidRDefault="00301664" w:rsidP="005841F8">
      <w:pPr>
        <w:jc w:val="both"/>
      </w:pPr>
      <w:r>
        <w:t xml:space="preserve">Стандартите за безопасност на МААЕ отразяват международния консенсус относно това, какво представлява високото ниво на безопасност за защита на </w:t>
      </w:r>
      <w:r w:rsidR="003F11A5">
        <w:t>населението</w:t>
      </w:r>
      <w:r>
        <w:t xml:space="preserve"> и околната среда от вредните въздействия на йонизиращото лъчение.</w:t>
      </w:r>
      <w:bookmarkEnd w:id="8"/>
      <w:r>
        <w:t xml:space="preserve"> Тези стандарти се основават на десет принципа за безопасност, посочени в оригиналния документ.</w:t>
      </w:r>
      <w:bookmarkStart w:id="9" w:name="_Hlk120191062"/>
      <w:r>
        <w:t xml:space="preserve"> “Основната цел на безопасността е да се защитят </w:t>
      </w:r>
      <w:r w:rsidR="003F11A5">
        <w:t>населението</w:t>
      </w:r>
      <w:r>
        <w:t xml:space="preserve"> и околната среда от вредното въздействие на йонизиращото лъчение.” Тази цел трябва да бъде постигната, без да се ограничава неоправдано експлоатацията на съоръжения или извършването на дейности, които пораждат радиационни рискове. Ето защо системата за защита и безопасност има за цел да оценява, управлява и контролира излагането на въздействие на </w:t>
      </w:r>
      <w:r w:rsidR="00AD07CA">
        <w:t>йонизиращи лъчения</w:t>
      </w:r>
      <w:r>
        <w:t>, така че радиационните рискове, включително рисковете от въздействия върху здравето и рисковете за околната среда, да бъдат намалени до разумно постижима степен [1].</w:t>
      </w:r>
      <w:bookmarkEnd w:id="9"/>
    </w:p>
    <w:p w14:paraId="5FFB1FEB" w14:textId="389EFF22" w:rsidR="007509B6" w:rsidRPr="005A18C4" w:rsidRDefault="007509B6" w:rsidP="005B2D15">
      <w:pPr>
        <w:tabs>
          <w:tab w:val="clear" w:pos="720"/>
          <w:tab w:val="clear" w:pos="1296"/>
          <w:tab w:val="clear" w:pos="1872"/>
          <w:tab w:val="clear" w:pos="2448"/>
        </w:tabs>
        <w:autoSpaceDE w:val="0"/>
        <w:autoSpaceDN w:val="0"/>
        <w:adjustRightInd w:val="0"/>
        <w:spacing w:before="240" w:line="240" w:lineRule="auto"/>
        <w:jc w:val="both"/>
      </w:pPr>
      <w:r>
        <w:t xml:space="preserve">Основните ползватели на стандартите за безопасност в държавите-членки на МААЕ, са регулаторните органи и други съответни национални органи. Стандартите за безопасност на МААЕ се използват и от организации-съспонсори, както и от много организации, които проектират, изграждат и експлоатират ядрени съоръжения, а също и от организации, които се занимават с използването на радиация и радиоактивни източници. Стандартите за безопасност на МААЕ са приложими, в съответните случаи, през целия жизнен цикъл на всички съоръжения и видове дейности – съществуващи и нови, – използвани за мирни цели и за защитни действия за намаляване на съществуващи радиационни рискове. Те могат да се използват от държавите като отправна точка за техните национални регулации по отношение на съоръжения и дейности. </w:t>
      </w:r>
    </w:p>
    <w:p w14:paraId="0FE5D7CB" w14:textId="3839B749" w:rsidR="004103BD" w:rsidRPr="00B561C3" w:rsidRDefault="00BF7509" w:rsidP="005841F8">
      <w:pPr>
        <w:jc w:val="both"/>
      </w:pPr>
      <w:bookmarkStart w:id="10" w:name="_Hlk120192914"/>
      <w:r>
        <w:t xml:space="preserve">С цел да се гарантира защитата на </w:t>
      </w:r>
      <w:r w:rsidR="003F11A5">
        <w:t>населението</w:t>
      </w:r>
      <w:r>
        <w:t xml:space="preserve"> и околната среда от вредното въздействие на йонизиращото лъчение, стандартите за безопасност на МААЕ установяват основополагащи </w:t>
      </w:r>
      <w:r>
        <w:lastRenderedPageBreak/>
        <w:t>принципи, изисквания и мерки за безопасност, за да се контролира облъчване</w:t>
      </w:r>
      <w:r w:rsidR="0059469D">
        <w:t>то</w:t>
      </w:r>
      <w:r>
        <w:t xml:space="preserve"> на </w:t>
      </w:r>
      <w:r w:rsidR="0059469D">
        <w:t>населението</w:t>
      </w:r>
      <w:r>
        <w:t xml:space="preserve"> и изхвърлянето на радиоактивни материали в околната среда, да се ограничи вероятността от събития, които могат да доведат до загуба на контрол върху активна</w:t>
      </w:r>
      <w:r w:rsidR="000349C8">
        <w:t>та</w:t>
      </w:r>
      <w:r>
        <w:t xml:space="preserve"> зона на ядрен реактор, верижна ядрена реакция, радиоактивен източник или друг източник на </w:t>
      </w:r>
      <w:r w:rsidR="00AD07CA">
        <w:t>йонизиращи лъчения</w:t>
      </w:r>
      <w:r>
        <w:t xml:space="preserve">, и да се смекчат последиците от такива събития, ако те настъпят. Стандартите се прилагат за съоръжения и дейности, които пораждат радиационни рискове, включително ядрени инсталации, използване на </w:t>
      </w:r>
      <w:r w:rsidR="00AD07CA">
        <w:t>йонизиращи лъчения</w:t>
      </w:r>
      <w:r>
        <w:t xml:space="preserve"> и радиоактивни източници, транспортиране на радиоактивни материали и управление на радиоактивни отпадъци.</w:t>
      </w:r>
      <w:bookmarkEnd w:id="10"/>
      <w:r>
        <w:t xml:space="preserve"> Представеният стандарт на МААЕ се прилага за радиационна защита и безопасност в широк диапазон от радиационни рискове [1].</w:t>
      </w:r>
    </w:p>
    <w:p w14:paraId="4290F2BC" w14:textId="429C65F2" w:rsidR="00ED7D3C" w:rsidRDefault="00292316" w:rsidP="004C0113">
      <w:r>
        <w:t xml:space="preserve">За допълнителна информация вж. уебсайта на МААЕ </w:t>
      </w:r>
      <w:hyperlink r:id="rId20" w:history="1">
        <w:r>
          <w:rPr>
            <w:rStyle w:val="Hyperlink"/>
          </w:rPr>
          <w:t>https://www.iaea.org</w:t>
        </w:r>
      </w:hyperlink>
      <w:r>
        <w:t>.</w:t>
      </w:r>
    </w:p>
    <w:p w14:paraId="0F2DB109" w14:textId="55C189C8" w:rsidR="00AB66B8" w:rsidRPr="00B561C3" w:rsidRDefault="00853E5B" w:rsidP="00AB66B8">
      <w:pPr>
        <w:pStyle w:val="Heading3"/>
      </w:pPr>
      <w:bookmarkStart w:id="11" w:name="_Toc155347761"/>
      <w:r>
        <w:t>Обхват на оценката на съответствието на документите на МААЕ за настоящия документ</w:t>
      </w:r>
      <w:bookmarkEnd w:id="11"/>
    </w:p>
    <w:p w14:paraId="66ED5F4A" w14:textId="1BD5DF64" w:rsidR="00AB66B8" w:rsidRPr="003A0ED4" w:rsidRDefault="00AB66B8" w:rsidP="005841F8">
      <w:pPr>
        <w:ind w:firstLine="432"/>
        <w:jc w:val="both"/>
      </w:pPr>
      <w:r>
        <w:t>Настоящият документ предоставя оценка на съответствието на проекта на централата AP1000 със следните документи на МААЕ, които са приложими за действащи/съществуващи централи:</w:t>
      </w:r>
    </w:p>
    <w:p w14:paraId="7C290D97" w14:textId="2BD03BFF" w:rsidR="00B561C3" w:rsidRPr="005A18C4" w:rsidRDefault="00B561C3" w:rsidP="005841F8">
      <w:pPr>
        <w:pStyle w:val="ListParagraph"/>
        <w:numPr>
          <w:ilvl w:val="0"/>
          <w:numId w:val="38"/>
        </w:numPr>
        <w:jc w:val="both"/>
      </w:pPr>
      <w:r>
        <w:t xml:space="preserve">Общи изисквания за безопасност Част 3 № GSR Част 3, </w:t>
      </w:r>
      <w:r>
        <w:rPr>
          <w:i/>
        </w:rPr>
        <w:t xml:space="preserve">Радиационна защита и безопасност на източниците на </w:t>
      </w:r>
      <w:r w:rsidR="008130CE">
        <w:t>йонизиращи лъчения</w:t>
      </w:r>
      <w:r>
        <w:rPr>
          <w:i/>
        </w:rPr>
        <w:t>: Международни основни стандарти за безопасност</w:t>
      </w:r>
      <w:r>
        <w:t>, Международна агенция за атомна енергия (МААЕ), Виена, 2014 г. [1].</w:t>
      </w:r>
    </w:p>
    <w:p w14:paraId="65EAA7BF" w14:textId="61A69F0F" w:rsidR="00711B3D" w:rsidRPr="0092155C" w:rsidRDefault="001D3CD1" w:rsidP="001D3CD1">
      <w:pPr>
        <w:pStyle w:val="Heading3"/>
      </w:pPr>
      <w:bookmarkStart w:id="12" w:name="_Toc155347762"/>
      <w:r>
        <w:t>Други оценки на съответствието на централата AP1000 с документацията на МААЕ</w:t>
      </w:r>
      <w:bookmarkEnd w:id="12"/>
    </w:p>
    <w:p w14:paraId="76323C20" w14:textId="5E11F86E" w:rsidR="00711B3D" w:rsidRPr="0092155C" w:rsidRDefault="00711B3D" w:rsidP="005841F8">
      <w:pPr>
        <w:ind w:firstLine="432"/>
        <w:jc w:val="both"/>
      </w:pPr>
      <w:r>
        <w:t xml:space="preserve">Компанията Уестингхаус е извършила и следните оценки на съответствието: </w:t>
      </w:r>
    </w:p>
    <w:p w14:paraId="7452B295" w14:textId="385B1FE9" w:rsidR="007A081C" w:rsidRDefault="007A081C" w:rsidP="005841F8">
      <w:pPr>
        <w:pStyle w:val="ListParagraph"/>
        <w:numPr>
          <w:ilvl w:val="0"/>
          <w:numId w:val="39"/>
        </w:numPr>
        <w:spacing w:after="160" w:line="259" w:lineRule="auto"/>
        <w:jc w:val="both"/>
      </w:pPr>
      <w:r>
        <w:t>APP-GW-GL-062, Оценка на съответствието на AP1000 с GS-R-3 на МААЕ, Изисквания за безопасност на системите за управление на съоръжения и дейности, 2006 г. [2].</w:t>
      </w:r>
    </w:p>
    <w:p w14:paraId="259CEF4A" w14:textId="57C5D02C" w:rsidR="00C033AD" w:rsidRDefault="00C033AD" w:rsidP="005841F8">
      <w:pPr>
        <w:pStyle w:val="ListParagraph"/>
        <w:numPr>
          <w:ilvl w:val="0"/>
          <w:numId w:val="39"/>
        </w:numPr>
        <w:spacing w:after="160" w:line="259" w:lineRule="auto"/>
        <w:jc w:val="both"/>
      </w:pPr>
      <w:r>
        <w:t>APP-GW-GL-067, Редакция 0, Оценка на съответствието на AP1000 със Стандарт за безопасност № 115 на МААЕ, Международни основни стандарти за безопасност за защита от йонизир</w:t>
      </w:r>
      <w:r w:rsidR="000349C8">
        <w:t>ащи</w:t>
      </w:r>
      <w:r>
        <w:t xml:space="preserve"> </w:t>
      </w:r>
      <w:r w:rsidR="000349C8">
        <w:t>лъчения</w:t>
      </w:r>
      <w:r>
        <w:t xml:space="preserve"> и за безопасност на източниците на </w:t>
      </w:r>
      <w:r w:rsidR="008130CE">
        <w:t>йонизиращи лъчения</w:t>
      </w:r>
      <w:r>
        <w:t>, 1996 г. [3].</w:t>
      </w:r>
    </w:p>
    <w:p w14:paraId="6C8551EA" w14:textId="0D169AE3" w:rsidR="007A081C" w:rsidRDefault="007A081C" w:rsidP="005841F8">
      <w:pPr>
        <w:pStyle w:val="ListParagraph"/>
        <w:numPr>
          <w:ilvl w:val="0"/>
          <w:numId w:val="39"/>
        </w:numPr>
        <w:spacing w:after="160" w:line="259" w:lineRule="auto"/>
        <w:jc w:val="both"/>
      </w:pPr>
      <w:r>
        <w:t>APP-GW-GL-068, Редакция B, Оценка на съответствието на AP1000 със Стандарта за безопасност на МААЕ, Общи изисквания за безопасност, Част 5, Управление на радиоактивни отпадъци преди погребване [4].</w:t>
      </w:r>
    </w:p>
    <w:p w14:paraId="35405847" w14:textId="77F717ED" w:rsidR="00C033AD" w:rsidRPr="00414649" w:rsidRDefault="00C033AD" w:rsidP="005841F8">
      <w:pPr>
        <w:pStyle w:val="ListParagraph"/>
        <w:numPr>
          <w:ilvl w:val="0"/>
          <w:numId w:val="39"/>
        </w:numPr>
        <w:spacing w:after="160" w:line="259" w:lineRule="auto"/>
        <w:jc w:val="both"/>
      </w:pPr>
      <w:r>
        <w:t>APP-GW-GL-069, Редакция 0, Сравнение на AP1000 със Стандарт за безопасност № GS-R-2 на МААЕ, Готовност и реагиране при ядрена или ради</w:t>
      </w:r>
      <w:r w:rsidR="00533469">
        <w:t>ационна</w:t>
      </w:r>
      <w:r>
        <w:t xml:space="preserve"> авария [5], оценка на съответствието с предишната редакция на Стандарт за безопасност на МААЕ № GSR Част 7, </w:t>
      </w:r>
      <w:r>
        <w:rPr>
          <w:i/>
        </w:rPr>
        <w:t>Готовност и реагиране при ядрена или ради</w:t>
      </w:r>
      <w:r w:rsidR="00533469">
        <w:rPr>
          <w:i/>
        </w:rPr>
        <w:t>ационна</w:t>
      </w:r>
      <w:r>
        <w:rPr>
          <w:i/>
        </w:rPr>
        <w:t xml:space="preserve"> авария – Общи изисквания за безопасност</w:t>
      </w:r>
      <w:r>
        <w:t>.</w:t>
      </w:r>
    </w:p>
    <w:p w14:paraId="6B41FFC4" w14:textId="46778B15" w:rsidR="00A230AA" w:rsidRPr="007A081C" w:rsidRDefault="007A081C" w:rsidP="005841F8">
      <w:pPr>
        <w:pStyle w:val="ListParagraph"/>
        <w:numPr>
          <w:ilvl w:val="0"/>
          <w:numId w:val="39"/>
        </w:numPr>
        <w:spacing w:after="160" w:line="259" w:lineRule="auto"/>
        <w:jc w:val="both"/>
        <w:rPr>
          <w:i/>
          <w:iCs/>
        </w:rPr>
      </w:pPr>
      <w:r>
        <w:t>APP-GW-GL-704, Редакция 1, Сравнение на централата AP1000 със Стандарт за безопасност на МААЕ № GSR Част 4 – Оценка на безопасността на съоръжения и дейности [6].</w:t>
      </w:r>
    </w:p>
    <w:p w14:paraId="4199D74D" w14:textId="77777777" w:rsidR="00084F2A" w:rsidRDefault="00084F2A" w:rsidP="005841F8">
      <w:pPr>
        <w:jc w:val="both"/>
      </w:pPr>
      <w:r>
        <w:lastRenderedPageBreak/>
        <w:t>Понастоящем Уестингхаус актуализира и/или допълва списъка с оценки на съответствието на AP1000 със стандартите на МААЕ.</w:t>
      </w:r>
    </w:p>
    <w:p w14:paraId="69315D7D" w14:textId="06510728" w:rsidR="001D3CD1" w:rsidRPr="00247724" w:rsidRDefault="00F02013" w:rsidP="00F02013">
      <w:pPr>
        <w:pStyle w:val="Heading3"/>
      </w:pPr>
      <w:bookmarkStart w:id="13" w:name="_Toc155347763"/>
      <w:r>
        <w:t>Структура на този документ за оценки на съответствието</w:t>
      </w:r>
      <w:bookmarkEnd w:id="13"/>
    </w:p>
    <w:p w14:paraId="3B54B9E7" w14:textId="74216C2B" w:rsidR="00EE7964" w:rsidRPr="00247724" w:rsidRDefault="00EE7964" w:rsidP="00EE7964">
      <w:pPr>
        <w:pStyle w:val="Heading4"/>
      </w:pPr>
      <w:r>
        <w:t xml:space="preserve">Въведение в оценката на съответствието за </w:t>
      </w:r>
      <w:r>
        <w:rPr>
          <w:i/>
        </w:rPr>
        <w:t xml:space="preserve">радиационна защита и безопасност на източниците на </w:t>
      </w:r>
      <w:r w:rsidR="008130CE">
        <w:t>йонизиращи лъчения</w:t>
      </w:r>
      <w:r>
        <w:rPr>
          <w:i/>
        </w:rPr>
        <w:t xml:space="preserve">: Международни основни стандарти за безопасност </w:t>
      </w:r>
      <w:r>
        <w:t xml:space="preserve">-– част от стандартите за безопасност на МААЕ за защита на </w:t>
      </w:r>
      <w:r w:rsidR="003C0F13">
        <w:t>населението</w:t>
      </w:r>
      <w:r>
        <w:t xml:space="preserve"> и околната среда.</w:t>
      </w:r>
    </w:p>
    <w:p w14:paraId="3964306F" w14:textId="3F33950F" w:rsidR="00260BCF" w:rsidRPr="005A18C4" w:rsidRDefault="00EE7964" w:rsidP="00260BCF">
      <w:pPr>
        <w:spacing w:after="0"/>
        <w:ind w:firstLine="432"/>
        <w:jc w:val="both"/>
      </w:pPr>
      <w:r>
        <w:t xml:space="preserve">Общите изисквания за безопасност Част 3 № GSR Част 3, </w:t>
      </w:r>
      <w:r>
        <w:rPr>
          <w:i/>
        </w:rPr>
        <w:t xml:space="preserve">Радиационна защита и безопасност на източниците на </w:t>
      </w:r>
      <w:r w:rsidR="008130CE">
        <w:t>йонизиращи лъчения</w:t>
      </w:r>
      <w:r>
        <w:rPr>
          <w:i/>
        </w:rPr>
        <w:t xml:space="preserve">: </w:t>
      </w:r>
      <w:r>
        <w:rPr>
          <w:i/>
          <w:iCs/>
        </w:rPr>
        <w:t>Международни основни стандарти за безопасност,</w:t>
      </w:r>
      <w:r>
        <w:t xml:space="preserve"> предоставят обща информация за радиацията и свързаните с нея заплахи. В тях се обяснява необходимостта от прилагане на стандарти за защита и безопасност, включително глобалната отговорност в тази област. Този документ формулира изискванията, които трябва да бъдат изпълнени за безопасната експлоатация на източниците на </w:t>
      </w:r>
      <w:r w:rsidR="008130CE">
        <w:t>йонизиращи лъчения</w:t>
      </w:r>
      <w:r>
        <w:t xml:space="preserve"> в широк диапазон от приложения. Референтните нива за безопасност на МААЕ отразяват очакваните практики, които трябва да се реализират в страните от МААЕ, и се фокусират конкретно върху радиационната защита и безопасност.</w:t>
      </w:r>
    </w:p>
    <w:p w14:paraId="4494E448" w14:textId="64E2DC66" w:rsidR="00247724" w:rsidRPr="00247724" w:rsidRDefault="00260BCF" w:rsidP="00247724">
      <w:pPr>
        <w:jc w:val="both"/>
      </w:pPr>
      <w:r>
        <w:t>За референтните нива за безопасност [1] е извършена оценка на съответствието ред по ред, която е документирана в Раздел 2. В Раздел 2.1 са посочени етикетите за съответствие, приложени при оценката. В Раздели 2.2-2.5 се съдържа оценка на съответствието с идентификация на съответствието и кратка обосновка, като се използва основата за оценка на съответствието, описана в Раздел 1.2.</w:t>
      </w:r>
    </w:p>
    <w:p w14:paraId="534887D2" w14:textId="72661DFC" w:rsidR="0015613F" w:rsidRPr="00785950" w:rsidRDefault="0060064F" w:rsidP="00AB66B8">
      <w:pPr>
        <w:pStyle w:val="Heading2"/>
      </w:pPr>
      <w:bookmarkStart w:id="14" w:name="_Toc155347764"/>
      <w:r>
        <w:t>Основа за оценка на съответствието</w:t>
      </w:r>
      <w:bookmarkEnd w:id="14"/>
    </w:p>
    <w:p w14:paraId="11AD5687" w14:textId="35D469F1" w:rsidR="00332500" w:rsidRPr="005A18C4" w:rsidRDefault="00332500" w:rsidP="005B2D15">
      <w:pPr>
        <w:ind w:firstLine="432"/>
        <w:jc w:val="both"/>
      </w:pPr>
      <w:r>
        <w:t>Стандартният проект на централата AP1000 е описан в APP-GW-GL-700, Редакция 19, “Документ за контрол на проект</w:t>
      </w:r>
      <w:r w:rsidR="00B2486F" w:rsidRPr="00B2486F">
        <w:t>а</w:t>
      </w:r>
      <w:r>
        <w:t xml:space="preserve"> на централата AP1000” [7], наричан тук Документ за контрол на проект</w:t>
      </w:r>
      <w:r w:rsidR="00B2486F" w:rsidRPr="00C469CC">
        <w:t>а</w:t>
      </w:r>
      <w:r>
        <w:t xml:space="preserve"> (ДКП). Този стандартен проект на централата AP1000 се използва като основа за оценката на съответствието, тъй като предоставя един последователен референтен документ с достатъчно информация за демонстриране на подхода към безопасността </w:t>
      </w:r>
      <w:r w:rsidR="00B2486F">
        <w:t>н</w:t>
      </w:r>
      <w:r>
        <w:t>а проект</w:t>
      </w:r>
      <w:r w:rsidR="00B2486F">
        <w:t>а</w:t>
      </w:r>
      <w:r>
        <w:t>, анализ и лицензиране на централата AP1000 в Съединените американски щати (САЩ), който е одобрен от Комисията за ядрено регулиране (NRC) на САЩ.</w:t>
      </w:r>
    </w:p>
    <w:p w14:paraId="254B5668" w14:textId="31F5B8D0" w:rsidR="00AB692D" w:rsidRPr="005A18C4" w:rsidRDefault="00332500" w:rsidP="005B2D15">
      <w:pPr>
        <w:jc w:val="both"/>
      </w:pPr>
      <w:r>
        <w:t>Референтният проект на централата за бъдещите блокове AP1000 е проектът на Блок 4 на АЕЦ “Вогъл”. След издаването на ДКП [7] са извършени актуализации на проекта и лицензирането на Блок 4 на АЕЦ “Вогъл”. Въпреки това, ДКП [7] предоставя документация, която подкрепя подхода към безопасността на проекта на централата AP1000 за референтната централа и бъдещите проекти на централата AP1000 с цел да се демонстрира съответствие с изискванията, свързани с цялостната методология на проекта, целите на експлоатацията, методологията за анализ на безопасността и основата за бъдещата лицензионна документация. ДКП [7] също така предоставя единен референтен документ, достъпен като публичен, без право на собственост, за допълнителна информация за тази оценка на съответствието.</w:t>
      </w:r>
    </w:p>
    <w:p w14:paraId="38530EAB" w14:textId="793E8E73" w:rsidR="00B7507D" w:rsidRPr="00785950" w:rsidRDefault="00431F39" w:rsidP="005B2D15">
      <w:pPr>
        <w:jc w:val="both"/>
      </w:pPr>
      <w:r>
        <w:lastRenderedPageBreak/>
        <w:t xml:space="preserve">Вероятностният анализ на безопасността (ВАБ) се състои от систематична и всестранна оценка на рисковете. В регулаторния контекст на САЩ тази дейност се нарича “вероятностен анализ на </w:t>
      </w:r>
      <w:r w:rsidR="00B2486F">
        <w:t>риска</w:t>
      </w:r>
      <w:r>
        <w:t xml:space="preserve">”. Тези две имена са еквивалентни. Проектният вероятностен анализ на </w:t>
      </w:r>
      <w:r w:rsidR="005B6CCA">
        <w:t>безопасността</w:t>
      </w:r>
      <w:r>
        <w:t xml:space="preserve"> (ВА</w:t>
      </w:r>
      <w:r w:rsidR="005B6CCA">
        <w:t>Б</w:t>
      </w:r>
      <w:r>
        <w:t>) за стандартната централа AP1000 е документирана в APP-GW-GL-022 Ред. 8 [8]. Проектният ВА</w:t>
      </w:r>
      <w:r w:rsidR="005B6CCA">
        <w:t>Б</w:t>
      </w:r>
      <w:r>
        <w:t xml:space="preserve"> [8] осигурява основа за демонстриране на подхода и методологията на ВА</w:t>
      </w:r>
      <w:r w:rsidR="005B6CCA">
        <w:t>Б</w:t>
      </w:r>
      <w:r>
        <w:t>, реализирани при изготвянето на стандартния проект на централата AP1000. За референтната централа има специфичен ВА</w:t>
      </w:r>
      <w:r w:rsidR="005B6CCA">
        <w:t>Б</w:t>
      </w:r>
      <w:r>
        <w:t xml:space="preserve"> за Блокове 3 и 4 на АЕЦ “Вогъл”, който е разработен с отчитане на актуализации на конструкцията на централата AP1000 от стандартната конструкция на централата AP1000 до конструкцията на Блок 4 на АЕЦ “Вогъл” и специфични за площадката аспекти на Блокове AP1000 3 и 4 на АЕЦ “Вогъл”. ВА</w:t>
      </w:r>
      <w:r w:rsidR="005B6CCA">
        <w:t>Б</w:t>
      </w:r>
      <w:r>
        <w:t xml:space="preserve"> на проекта [8] се използва в настоящата оценка на съответствието, за да се предостави съгласувана документация към ДКП [7], и защото адекватно демонстрира методологията на ВА</w:t>
      </w:r>
      <w:r w:rsidR="005B6CCA">
        <w:t>Б</w:t>
      </w:r>
      <w:r>
        <w:t xml:space="preserve"> и основата на ВА</w:t>
      </w:r>
      <w:r w:rsidR="005B6CCA">
        <w:t>Б</w:t>
      </w:r>
      <w:r>
        <w:t xml:space="preserve"> за ключовите проектни решения в цялостния проект на централата AP1000.</w:t>
      </w:r>
    </w:p>
    <w:p w14:paraId="1AF4E36E" w14:textId="07AFFCA6" w:rsidR="008748B0" w:rsidRPr="00785950" w:rsidRDefault="008748B0" w:rsidP="00215187">
      <w:pPr>
        <w:jc w:val="both"/>
      </w:pPr>
      <w:r>
        <w:t xml:space="preserve">В някои случаи обосновката на съответствието с изискването се подобрява чрез позоваване на най-новата документация на референтната централа. Когато това е приложимо, то се включва в оценката на съответствието.  </w:t>
      </w:r>
    </w:p>
    <w:p w14:paraId="5190B42B" w14:textId="1DCB08FB" w:rsidR="000E7D0F" w:rsidRPr="00ED5B78" w:rsidRDefault="00B81FE5" w:rsidP="00086464">
      <w:pPr>
        <w:pStyle w:val="Heading2"/>
      </w:pPr>
      <w:bookmarkStart w:id="15" w:name="_Toc155347765"/>
      <w:r>
        <w:t>Описание на централата AP1000</w:t>
      </w:r>
      <w:bookmarkEnd w:id="15"/>
      <w:r>
        <w:t xml:space="preserve"> </w:t>
      </w:r>
    </w:p>
    <w:p w14:paraId="48F747B6" w14:textId="77777777" w:rsidR="00A9382A" w:rsidRPr="00ED5B78" w:rsidRDefault="00A9382A" w:rsidP="004F6A77">
      <w:pPr>
        <w:pStyle w:val="Heading3"/>
        <w:jc w:val="both"/>
      </w:pPr>
      <w:bookmarkStart w:id="16" w:name="_Toc155347766"/>
      <w:r>
        <w:t>Общ преглед</w:t>
      </w:r>
      <w:bookmarkEnd w:id="16"/>
    </w:p>
    <w:p w14:paraId="2734A427" w14:textId="19989FED" w:rsidR="00A756C1" w:rsidRPr="00ED5B78" w:rsidRDefault="00A756C1" w:rsidP="004F6A77">
      <w:pPr>
        <w:ind w:firstLine="432"/>
        <w:jc w:val="both"/>
      </w:pPr>
      <w:r>
        <w:t>AP1000 представлява реактор с вода под налягане (PWR) с мощност 3400 MW</w:t>
      </w:r>
      <w:r w:rsidR="00694D37">
        <w:rPr>
          <w:lang w:val="en-US"/>
        </w:rPr>
        <w:t>th</w:t>
      </w:r>
      <w:r>
        <w:t xml:space="preserve">, с пасивни функции за безопасност и значителни опростявания на централата, които подобряват конструкцията, експлоатацията, поддръжката и безопасността. Един от ключовите подходи при проектирането на </w:t>
      </w:r>
      <w:r w:rsidR="00040126">
        <w:t xml:space="preserve">реактора </w:t>
      </w:r>
      <w:r>
        <w:t xml:space="preserve">AP1000 е използването на пасивни функции за </w:t>
      </w:r>
      <w:r w:rsidR="00040126">
        <w:t>ограничаване</w:t>
      </w:r>
      <w:r>
        <w:t xml:space="preserve"> на проектни аварии (ПА). В допълнение към резервирането, тези функции включват разнообразие, основано на </w:t>
      </w:r>
      <w:r w:rsidR="005B6CCA">
        <w:t>В</w:t>
      </w:r>
      <w:r>
        <w:t>А</w:t>
      </w:r>
      <w:r w:rsidR="005B6CCA">
        <w:t>Б</w:t>
      </w:r>
      <w:r>
        <w:t>. Активните функции на дълбоко ешелонираната защита (ДЕЗ) осигуряват защита на инвестициите, намаляват изискванията към пасивните функции и поддържат агресивните цели на ВА</w:t>
      </w:r>
      <w:r w:rsidR="005B6CCA">
        <w:t>Б</w:t>
      </w:r>
      <w:r>
        <w:t xml:space="preserve">. </w:t>
      </w:r>
    </w:p>
    <w:p w14:paraId="36C3E262" w14:textId="702F9596" w:rsidR="00A756C1" w:rsidRPr="00ED5B78" w:rsidRDefault="00A756C1" w:rsidP="004F6A77">
      <w:pPr>
        <w:jc w:val="both"/>
      </w:pPr>
      <w:r>
        <w:t xml:space="preserve">AP1000 е проектиран така, че да постигне високи показатели за безопасност и производителност. </w:t>
      </w:r>
      <w:r w:rsidR="00694D37">
        <w:t>Реакторът</w:t>
      </w:r>
      <w:r>
        <w:t xml:space="preserve"> е консервативно базиран на доказаната технология на реакторите с вода под налягане (PWR), но с акцент върху пасивните функции за безопасност. В съответствие със сегашната практика, системите за защита </w:t>
      </w:r>
      <w:r w:rsidR="00694D37">
        <w:t>в дълбочина</w:t>
      </w:r>
      <w:r>
        <w:t xml:space="preserve"> се използват като първо ниво на защита срещу по-вероятни събития. Като второ ниво на защита </w:t>
      </w:r>
      <w:r w:rsidR="00694D37">
        <w:t>реакторът</w:t>
      </w:r>
      <w:r>
        <w:t xml:space="preserve"> AP1000 използва пасивни системи за безопасност, за да се повиши допълнително безопасността на централата и да се удовлетворят </w:t>
      </w:r>
      <w:r w:rsidR="005701C8" w:rsidRPr="00C469CC">
        <w:t xml:space="preserve">техническите </w:t>
      </w:r>
      <w:r>
        <w:t xml:space="preserve">изисквания </w:t>
      </w:r>
      <w:r w:rsidR="002B497C" w:rsidRPr="00C469CC">
        <w:t xml:space="preserve">към отделните системи </w:t>
      </w:r>
      <w:r w:rsidR="005701C8" w:rsidRPr="00C469CC">
        <w:t xml:space="preserve">на съответни организации </w:t>
      </w:r>
      <w:r>
        <w:t>(например EUR и документа на Научноизследователския институт по електроенергетика [</w:t>
      </w:r>
      <w:r w:rsidR="002B497C" w:rsidRPr="00C469CC">
        <w:rPr>
          <w:lang w:val="en-US"/>
        </w:rPr>
        <w:t>EPRI</w:t>
      </w:r>
      <w:r>
        <w:t xml:space="preserve">] Документ с изисквания към АЕЦ с леководни реактор [URD]). Системите за безопасност използват естествени движещи сили, като газ под налягане, гравитационен поток, естествен циркулационен поток и конвекция. Системите за безопасност не използват активни компоненти (като помпи, вентилатори или дизел-генератори) и са проектирани да функционират без поддържащи системи за безопасност (като например захранване с променлив ток [AC]; вода за охлаждане на компоненти; техническа вода; отопление, вентилация и климатизация [ОВиК]). Броят и сложността на действията на оператора, необходими </w:t>
      </w:r>
      <w:r>
        <w:lastRenderedPageBreak/>
        <w:t xml:space="preserve">за управление на системите за безопасност, са сведени до минимум; подходът е да се елиминира действието на оператора, а не да се автоматизира. </w:t>
      </w:r>
    </w:p>
    <w:p w14:paraId="0EE817FD" w14:textId="6C8A7C4C" w:rsidR="00C159A2" w:rsidRDefault="00A756C1" w:rsidP="001C73C8">
      <w:pPr>
        <w:spacing w:after="0"/>
        <w:jc w:val="both"/>
        <w:rPr>
          <w:highlight w:val="yellow"/>
        </w:rPr>
      </w:pPr>
      <w:r>
        <w:t xml:space="preserve">Проектът на централата AP1000 осигурява адекватна защита на здравето на населението и безопасност по отношение на източниците на </w:t>
      </w:r>
      <w:r w:rsidR="008130CE">
        <w:t>йонизиращи лъчения</w:t>
      </w:r>
      <w:r>
        <w:t>. Проектът на AP1000 следва политиката ALARA (</w:t>
      </w:r>
      <w:r w:rsidR="001A58A3">
        <w:t xml:space="preserve">принцип на оптимизацията - </w:t>
      </w:r>
      <w:r>
        <w:t>толкова ниско, колкото е разумно постижимо). Разпоредбите и проектите за поддържане облъчването на персонала ALARA са представени в следващите точки:</w:t>
      </w:r>
    </w:p>
    <w:p w14:paraId="6808233B" w14:textId="0F2A8A95" w:rsidR="0007293F" w:rsidRPr="00306FFC" w:rsidRDefault="00C159A2" w:rsidP="00784989">
      <w:pPr>
        <w:pStyle w:val="ListParagraph"/>
        <w:numPr>
          <w:ilvl w:val="0"/>
          <w:numId w:val="51"/>
        </w:numPr>
        <w:jc w:val="both"/>
      </w:pPr>
      <w:r>
        <w:t>Проектиране на конструкции, системи и компоненти с отчитане на надеждността и ремонтопригодността, като по този начин ефективно се намаляват изискванията за поддръжка на радиоактивни компоненти;</w:t>
      </w:r>
    </w:p>
    <w:p w14:paraId="3DB01628" w14:textId="227F8747" w:rsidR="0007293F" w:rsidRPr="00306FFC" w:rsidRDefault="00C159A2" w:rsidP="00784989">
      <w:pPr>
        <w:pStyle w:val="ListParagraph"/>
        <w:numPr>
          <w:ilvl w:val="0"/>
          <w:numId w:val="50"/>
        </w:numPr>
        <w:jc w:val="both"/>
        <w:rPr>
          <w:kern w:val="0"/>
        </w:rPr>
      </w:pPr>
      <w:r>
        <w:t>Проектиране на конструкции, системи и компоненти с цел намаляване на радиационните полета, което позволява дейностите по експлоатация, поддръжка и инспекция да се извършват в минималното проектно радиационно поле;</w:t>
      </w:r>
    </w:p>
    <w:p w14:paraId="7F73B632" w14:textId="1F3F6971" w:rsidR="0007293F" w:rsidRPr="00306FFC" w:rsidRDefault="00C159A2" w:rsidP="00784989">
      <w:pPr>
        <w:pStyle w:val="ListParagraph"/>
        <w:numPr>
          <w:ilvl w:val="0"/>
          <w:numId w:val="50"/>
        </w:numPr>
        <w:jc w:val="both"/>
        <w:rPr>
          <w:kern w:val="0"/>
        </w:rPr>
      </w:pPr>
      <w:r>
        <w:t>Проектиране на конструкции, системи и компоненти за намаляване на времето за достъп, ремонт и демонтаж, като по този начин ефективно се намалява времето, прекарано в радиационни полета по време на експлоатация, поддръжка и инспекция;</w:t>
      </w:r>
    </w:p>
    <w:p w14:paraId="0B67CAAF" w14:textId="418AA89F" w:rsidR="0007293F" w:rsidRPr="00306FFC" w:rsidRDefault="00C159A2" w:rsidP="00784989">
      <w:pPr>
        <w:pStyle w:val="ListParagraph"/>
        <w:numPr>
          <w:ilvl w:val="0"/>
          <w:numId w:val="50"/>
        </w:numPr>
        <w:jc w:val="both"/>
      </w:pPr>
      <w:r>
        <w:t>Проектиране на конструкции, системи и компоненти, които да позволяват дистанционна и полудистанционна експлоатация, поддръжка и инспекция, като по този начин ефективно се намалява времето, прекарано в радиационни полета.</w:t>
      </w:r>
    </w:p>
    <w:p w14:paraId="5503FA33" w14:textId="62F2CB73" w:rsidR="0058347D" w:rsidRPr="00ED5B78" w:rsidRDefault="00AA65FD" w:rsidP="0058347D">
      <w:pPr>
        <w:pStyle w:val="Heading3"/>
      </w:pPr>
      <w:bookmarkStart w:id="17" w:name="_Toc155347767"/>
      <w:r>
        <w:t>Конструктивни характеристики на съоръженията за радиационна защита</w:t>
      </w:r>
      <w:bookmarkEnd w:id="17"/>
    </w:p>
    <w:p w14:paraId="78BB87A1" w14:textId="17CF6387" w:rsidR="005C78B7" w:rsidRPr="00ED5B78" w:rsidRDefault="00FD3988" w:rsidP="00AA65FD">
      <w:pPr>
        <w:ind w:firstLine="432"/>
        <w:jc w:val="both"/>
      </w:pPr>
      <w:r>
        <w:t>В Глава 12, Подраздел 12.3.1. на Документа за контрол на проект</w:t>
      </w:r>
      <w:r w:rsidR="002B497C">
        <w:t>а</w:t>
      </w:r>
      <w:r>
        <w:t xml:space="preserve"> (ДКП) са описани конкретни конструктивни характеристики за поддържане облъчването на персонала толкова ниско, колкото е разумно постижимо (ALARA). Посоченият раздел съдържа обяснение на всяка от функциите, използвани за защита от вредното въздействие на йонизиращото лъчение.</w:t>
      </w:r>
    </w:p>
    <w:p w14:paraId="0B94D0E9" w14:textId="1A2257C1" w:rsidR="005C78B7" w:rsidRPr="00ED5B78" w:rsidRDefault="00AA65FD" w:rsidP="005C78B7">
      <w:pPr>
        <w:pStyle w:val="Heading3"/>
      </w:pPr>
      <w:bookmarkStart w:id="18" w:name="_Toc155347768"/>
      <w:r>
        <w:t>Екраниране от радиационни въздействия</w:t>
      </w:r>
      <w:bookmarkEnd w:id="18"/>
    </w:p>
    <w:p w14:paraId="5532E4F0" w14:textId="0456F0FE" w:rsidR="00073443" w:rsidRDefault="00AA65FD" w:rsidP="00C54ACA">
      <w:pPr>
        <w:ind w:firstLine="432"/>
        <w:jc w:val="both"/>
        <w:rPr>
          <w:rFonts w:ascii="Symbol" w:hAnsi="Symbol" w:cs="Symbol"/>
        </w:rPr>
      </w:pPr>
      <w:r>
        <w:t xml:space="preserve">Целта на радиационната защита на централата е да се сведе до минимум облъчването на персонала и населението, като същевременно се поддържа програма за контролиран достъп на персонала и пребиваване в </w:t>
      </w:r>
      <w:r w:rsidR="005701C8">
        <w:t>контролираните</w:t>
      </w:r>
      <w:r>
        <w:t xml:space="preserve"> зони. Радиационните нива са в рамките на изискванията на 10 CFR 50 по време на проектни аварии и ALARA в рамките на изискванията на 10 CFR 20 по време на нормална експлоатация. Екранирането, разположението и конструкцията на оборудването се вземат предвид, за да се осигури увереност, че облъчванията се поддържат ALARA по време на очакваните дейности на персонала в зоните на централата, съдържащи радиоактивни материали. Екранирането е предназначено да осигури защита на персонала и се основава на следните експлоатационни състояния: </w:t>
      </w:r>
    </w:p>
    <w:p w14:paraId="58556F03" w14:textId="06F4D98C" w:rsidR="00073443" w:rsidRPr="00073443" w:rsidRDefault="00AA65FD" w:rsidP="00784989">
      <w:pPr>
        <w:pStyle w:val="ListParagraph"/>
        <w:numPr>
          <w:ilvl w:val="0"/>
          <w:numId w:val="53"/>
        </w:numPr>
        <w:jc w:val="both"/>
      </w:pPr>
      <w:r>
        <w:t>Нормална експлоатация на пълна мощност;</w:t>
      </w:r>
    </w:p>
    <w:p w14:paraId="3CC28B4E" w14:textId="2CED9F33" w:rsidR="00073443" w:rsidRPr="00073443" w:rsidRDefault="00AA65FD" w:rsidP="00784989">
      <w:pPr>
        <w:pStyle w:val="ListParagraph"/>
        <w:numPr>
          <w:ilvl w:val="0"/>
          <w:numId w:val="53"/>
        </w:numPr>
        <w:jc w:val="both"/>
      </w:pPr>
      <w:r>
        <w:t>Операци</w:t>
      </w:r>
      <w:r w:rsidR="00AE205B">
        <w:t xml:space="preserve">и при </w:t>
      </w:r>
      <w:r>
        <w:t>спиране</w:t>
      </w:r>
      <w:r w:rsidR="00AE205B">
        <w:t xml:space="preserve"> на блока</w:t>
      </w:r>
      <w:r>
        <w:t>;</w:t>
      </w:r>
    </w:p>
    <w:p w14:paraId="7CF724E7" w14:textId="33013348" w:rsidR="00073443" w:rsidRPr="00073443" w:rsidRDefault="00AA65FD" w:rsidP="00784989">
      <w:pPr>
        <w:pStyle w:val="ListParagraph"/>
        <w:numPr>
          <w:ilvl w:val="0"/>
          <w:numId w:val="53"/>
        </w:numPr>
        <w:jc w:val="both"/>
      </w:pPr>
      <w:r>
        <w:t>Пре</w:t>
      </w:r>
      <w:r w:rsidR="00AE205B">
        <w:t>даване</w:t>
      </w:r>
      <w:r>
        <w:t xml:space="preserve"> на отработената смола;</w:t>
      </w:r>
    </w:p>
    <w:p w14:paraId="4B87D45E" w14:textId="7E4E4B89" w:rsidR="00073443" w:rsidRDefault="00AA65FD" w:rsidP="00784989">
      <w:pPr>
        <w:pStyle w:val="ListParagraph"/>
        <w:numPr>
          <w:ilvl w:val="0"/>
          <w:numId w:val="53"/>
        </w:numPr>
        <w:jc w:val="both"/>
      </w:pPr>
      <w:r>
        <w:t>Аварийни операции (за необходимия достъп до оборудване, свързано с безопасността).</w:t>
      </w:r>
    </w:p>
    <w:p w14:paraId="5E97FD7B" w14:textId="6E7F823B" w:rsidR="00073443" w:rsidRDefault="00AA65FD" w:rsidP="00C54ACA">
      <w:pPr>
        <w:jc w:val="both"/>
      </w:pPr>
      <w:r>
        <w:t xml:space="preserve">Целите на проектирането на екранирането </w:t>
      </w:r>
      <w:r w:rsidR="00AE205B">
        <w:t>з</w:t>
      </w:r>
      <w:r>
        <w:t>а централата по време на тези работни състояния са:</w:t>
      </w:r>
    </w:p>
    <w:p w14:paraId="1A2B46C4" w14:textId="2CB40C51" w:rsidR="00073443" w:rsidRPr="00073443" w:rsidRDefault="43F43DA7" w:rsidP="00784989">
      <w:pPr>
        <w:pStyle w:val="ListParagraph"/>
        <w:numPr>
          <w:ilvl w:val="0"/>
          <w:numId w:val="52"/>
        </w:numPr>
        <w:jc w:val="both"/>
      </w:pPr>
      <w:r>
        <w:lastRenderedPageBreak/>
        <w:t xml:space="preserve">Гарантиране, че радиационното облъчване на експлоатационния персонал на централата, изпълнителите, администраторите, посетителите и лицата </w:t>
      </w:r>
      <w:r w:rsidR="00AE205B">
        <w:t>в</w:t>
      </w:r>
      <w:r>
        <w:t xml:space="preserve"> границите на площадката е ALARA и в рамките на 10 CFR 20;</w:t>
      </w:r>
    </w:p>
    <w:p w14:paraId="229D12E5" w14:textId="42AAE632" w:rsidR="00073443" w:rsidRPr="00073443" w:rsidRDefault="3144AC9D" w:rsidP="00784989">
      <w:pPr>
        <w:pStyle w:val="ListParagraph"/>
        <w:numPr>
          <w:ilvl w:val="0"/>
          <w:numId w:val="52"/>
        </w:numPr>
        <w:jc w:val="both"/>
      </w:pPr>
      <w:r>
        <w:t>Осигуряване на достъп на</w:t>
      </w:r>
      <w:r w:rsidR="00AE205B">
        <w:t xml:space="preserve"> </w:t>
      </w:r>
      <w:r>
        <w:t>достатъч</w:t>
      </w:r>
      <w:r w:rsidR="00AE205B">
        <w:t>но</w:t>
      </w:r>
      <w:r>
        <w:t xml:space="preserve"> на </w:t>
      </w:r>
      <w:r w:rsidR="00AE205B">
        <w:t>брой</w:t>
      </w:r>
      <w:r>
        <w:t xml:space="preserve"> персонал и време за престой, за да се позволи нормалната очаквана поддръжка, инспекция и свързани с безопасността операции, необходими за всяка зона </w:t>
      </w:r>
      <w:r w:rsidR="00AE205B">
        <w:t>с</w:t>
      </w:r>
      <w:r>
        <w:t xml:space="preserve"> оборудване и контролно-измервателни уреди </w:t>
      </w:r>
      <w:r w:rsidR="00AE205B">
        <w:t>в</w:t>
      </w:r>
      <w:r>
        <w:t xml:space="preserve"> централата;</w:t>
      </w:r>
    </w:p>
    <w:p w14:paraId="3C4C259B" w14:textId="2D9F8D36" w:rsidR="00073443" w:rsidRPr="00073443" w:rsidRDefault="00AA65FD" w:rsidP="00784989">
      <w:pPr>
        <w:pStyle w:val="ListParagraph"/>
        <w:numPr>
          <w:ilvl w:val="0"/>
          <w:numId w:val="52"/>
        </w:numPr>
        <w:jc w:val="both"/>
      </w:pPr>
      <w:r>
        <w:t>Намаляване на потенциалната неутронна активация на оборудването и смекчаване на въздействието на радиацията върху материалите;</w:t>
      </w:r>
    </w:p>
    <w:p w14:paraId="1B3DF664" w14:textId="08E3B6CE" w:rsidR="00073443" w:rsidRDefault="00AA65FD" w:rsidP="00784989">
      <w:pPr>
        <w:pStyle w:val="ListParagraph"/>
        <w:numPr>
          <w:ilvl w:val="0"/>
          <w:numId w:val="52"/>
        </w:numPr>
        <w:jc w:val="both"/>
      </w:pPr>
      <w:r>
        <w:t xml:space="preserve">Осигуряване на достатъчно екраниране на </w:t>
      </w:r>
      <w:r w:rsidR="008F4205">
        <w:t xml:space="preserve">блочния </w:t>
      </w:r>
      <w:r>
        <w:t>щит за управление</w:t>
      </w:r>
      <w:r w:rsidR="008F4205">
        <w:t xml:space="preserve"> (БЩУ)</w:t>
      </w:r>
      <w:r>
        <w:t xml:space="preserve">, така че за проектните аварии (ПА) </w:t>
      </w:r>
      <w:r w:rsidR="008F4205">
        <w:t xml:space="preserve">сумата от </w:t>
      </w:r>
      <w:r w:rsidRPr="00112E0A">
        <w:t>доза</w:t>
      </w:r>
      <w:r w:rsidR="008F4205" w:rsidRPr="00F8579F">
        <w:t>та</w:t>
      </w:r>
      <w:r w:rsidR="008F4205">
        <w:t xml:space="preserve"> от външно облъчване</w:t>
      </w:r>
      <w:r>
        <w:t xml:space="preserve"> плюс </w:t>
      </w:r>
      <w:r w:rsidR="00AE205B">
        <w:t>доза</w:t>
      </w:r>
      <w:r w:rsidR="008F4205">
        <w:t>та от вътрешно облъчване</w:t>
      </w:r>
      <w:r>
        <w:t xml:space="preserve"> (изчислена в Глава 15) да не превишава </w:t>
      </w:r>
      <w:r w:rsidR="008F4205">
        <w:t>границите</w:t>
      </w:r>
      <w:r>
        <w:t xml:space="preserve"> определени в 10 CFR 50, Приложение А, Общи критерии за проектиране 19. </w:t>
      </w:r>
    </w:p>
    <w:p w14:paraId="6F532489" w14:textId="3E2BA183" w:rsidR="00073443" w:rsidRPr="00073443" w:rsidRDefault="00AA65FD" w:rsidP="00C54ACA">
      <w:pPr>
        <w:jc w:val="both"/>
      </w:pPr>
      <w:r>
        <w:t xml:space="preserve">Осигурява се екраниране за отслабване </w:t>
      </w:r>
      <w:r w:rsidR="002A54A3">
        <w:t xml:space="preserve">на </w:t>
      </w:r>
      <w:r>
        <w:t>пряк</w:t>
      </w:r>
      <w:r w:rsidR="002A54A3">
        <w:t xml:space="preserve">ото проникване на </w:t>
      </w:r>
      <w:r>
        <w:t xml:space="preserve">радиация през стените и </w:t>
      </w:r>
      <w:r w:rsidRPr="00112E0A">
        <w:t>проход</w:t>
      </w:r>
      <w:r w:rsidR="002A54A3" w:rsidRPr="00112E0A">
        <w:t>к</w:t>
      </w:r>
      <w:r w:rsidRPr="00112E0A">
        <w:t>ите</w:t>
      </w:r>
      <w:r>
        <w:t xml:space="preserve"> и разсеяната радиация до ниво, по-ниско от горната граница на радиационната зона за всяка </w:t>
      </w:r>
      <w:r w:rsidR="002A54A3">
        <w:t>площадка</w:t>
      </w:r>
      <w:r>
        <w:t>, показана на Фигура 12.3.-1 от ДКП, изготвен за централата AP1000. Материалите, използвани за екраниране, обикновено включват олово, стомана, вода и бетон. Материалът, използван за по-голямата част от екранирането на централата, е обикновен бетон с обемна плътност приблизително 2243 kg/m</w:t>
      </w:r>
      <w:r>
        <w:rPr>
          <w:vertAlign w:val="superscript"/>
        </w:rPr>
        <w:t>3</w:t>
      </w:r>
      <w:r>
        <w:t xml:space="preserve"> (140 lb/ft</w:t>
      </w:r>
      <w:r>
        <w:rPr>
          <w:vertAlign w:val="superscript"/>
        </w:rPr>
        <w:t>3</w:t>
      </w:r>
      <w:r>
        <w:t xml:space="preserve">). Когато монолитен бетон се заменя с бетонни блокове, се избира еквивалентна основа на екранирането, определена от плътността на бетонния блок. За екраниране на системата за </w:t>
      </w:r>
      <w:r w:rsidR="006A6298" w:rsidRPr="00C469CC">
        <w:t>очистване на топлоносителя на първи контур</w:t>
      </w:r>
      <w:r>
        <w:t xml:space="preserve"> и други модули, както и около фланеца на корпуса на реактора на пода на шахтата за презареждане с гориво</w:t>
      </w:r>
      <w:r w:rsidR="006A6298" w:rsidRPr="00C469CC">
        <w:t>,</w:t>
      </w:r>
      <w:r>
        <w:t xml:space="preserve"> се използва стомана. Като основен екраниращ материал </w:t>
      </w:r>
      <w:r w:rsidR="006D277C" w:rsidRPr="006A6298">
        <w:t xml:space="preserve">в хранилището за </w:t>
      </w:r>
      <w:r>
        <w:t>отработено гориво и шахтата за презареждане с гориво по време на операции по презареждане се използва вода. Общи сведения за конструкцията на екранирането може да бъдат намерени в Подраздел 12.3.2 на ДКП. Посоченият раздел съдържа обяснение за особеностите на екранирането на AP1000 с разделение по конкретни зони на централата.</w:t>
      </w:r>
    </w:p>
    <w:p w14:paraId="1B78342D" w14:textId="134FDF37" w:rsidR="0058347D" w:rsidRPr="00ED5B78" w:rsidRDefault="00C54ACA" w:rsidP="0060064F">
      <w:pPr>
        <w:pStyle w:val="Heading3"/>
      </w:pPr>
      <w:bookmarkStart w:id="19" w:name="_Toc155347769"/>
      <w:r>
        <w:t>Вентилация</w:t>
      </w:r>
      <w:bookmarkEnd w:id="19"/>
    </w:p>
    <w:p w14:paraId="0ED96731" w14:textId="28D4E669" w:rsidR="00ED5B78" w:rsidRPr="00ED5B78" w:rsidRDefault="00C54ACA" w:rsidP="00ED5B78">
      <w:pPr>
        <w:ind w:firstLine="432"/>
        <w:jc w:val="both"/>
        <w:rPr>
          <w:rFonts w:ascii="Symbol" w:hAnsi="Symbol" w:cs="Symbol"/>
        </w:rPr>
      </w:pPr>
      <w:r>
        <w:t xml:space="preserve">Системите за отопление, вентилация и климатизация на централата са проектирани така, че да осигуряват подходяща среда за персонала и оборудването по време на нормална експлоатация. Системата е проектирана така, че да отговаря на изискванията на 10 CFR 20 и 10 CFR 50. Критериите за проектиране на системите за ОВиК на централата включват следното: </w:t>
      </w:r>
    </w:p>
    <w:p w14:paraId="279AF0D4" w14:textId="77777777" w:rsidR="00ED5B78" w:rsidRPr="00ED5B78" w:rsidRDefault="00C54ACA" w:rsidP="00784989">
      <w:pPr>
        <w:pStyle w:val="ListParagraph"/>
        <w:numPr>
          <w:ilvl w:val="0"/>
          <w:numId w:val="54"/>
        </w:numPr>
        <w:jc w:val="both"/>
      </w:pPr>
      <w:r>
        <w:t>По време на нормална експлоатация средните и максималните нива на радиоактивност във въздуха, на които е изложен персоналът на централата в зоните с ограничен достъп на централата, са ALARA и са в границите, посочени в 10 CFR 20. Средните и максималните нива на радиоактивност във въздуха в зоните с неограничен достъп на централата по време на нормална експлоатация са ALARA и са в границите на 10 CFR 20.</w:t>
      </w:r>
    </w:p>
    <w:p w14:paraId="03B34FC9" w14:textId="2ADFE480" w:rsidR="00ED5B78" w:rsidRPr="00ED5B78" w:rsidRDefault="00C54ACA" w:rsidP="00784989">
      <w:pPr>
        <w:pStyle w:val="ListParagraph"/>
        <w:numPr>
          <w:ilvl w:val="0"/>
          <w:numId w:val="54"/>
        </w:numPr>
        <w:jc w:val="both"/>
      </w:pPr>
      <w:r>
        <w:t xml:space="preserve">По време на нормални операции дозата от концентрациите на радиоактивни </w:t>
      </w:r>
      <w:r w:rsidR="004B4751">
        <w:t>аерозоли</w:t>
      </w:r>
      <w:r>
        <w:t xml:space="preserve"> във въздуха в зоните с неограничен достъп извън границите на площадката е ALARA и е в границите, посочени в 10 CFR 20 и 10 CFR 50, Приложение I.</w:t>
      </w:r>
    </w:p>
    <w:p w14:paraId="7E774F61" w14:textId="56CE4A63" w:rsidR="00C54ACA" w:rsidRPr="00ED5B78" w:rsidRDefault="00C54ACA" w:rsidP="00ED5B78">
      <w:pPr>
        <w:jc w:val="both"/>
      </w:pPr>
      <w:r>
        <w:lastRenderedPageBreak/>
        <w:t>За да се постигнат целите на проектирането и да се сведе до минимум разпространението на радиоактивно замърсяване по въздуха, в AP1000 са реализирани съответни проектни функции. Тези проектни функции са описани в Подраздел 12.3.3 на Глава 12 на ДКП.</w:t>
      </w:r>
    </w:p>
    <w:p w14:paraId="5017E5C5" w14:textId="6A4DC808" w:rsidR="008E2109" w:rsidRDefault="008E2109" w:rsidP="004C67C1">
      <w:pPr>
        <w:pStyle w:val="Heading2"/>
      </w:pPr>
      <w:bookmarkStart w:id="20" w:name="_Toc155347770"/>
      <w:r>
        <w:t xml:space="preserve">Обсъждане на радиационната защита и безопасността на източниците на </w:t>
      </w:r>
      <w:r w:rsidR="008130CE">
        <w:t>йонизиращи лъчения</w:t>
      </w:r>
      <w:r>
        <w:t>: Международен основен стандарт за безопасност в стандартния проект и референтната централа AP1000</w:t>
      </w:r>
      <w:bookmarkEnd w:id="20"/>
    </w:p>
    <w:p w14:paraId="576684FB" w14:textId="3E3A0B62" w:rsidR="008E2109" w:rsidRDefault="008E2109" w:rsidP="005841F8">
      <w:pPr>
        <w:ind w:firstLine="431"/>
        <w:jc w:val="both"/>
        <w:rPr>
          <w:rFonts w:cstheme="minorBidi"/>
        </w:rPr>
      </w:pPr>
      <w:r>
        <w:t>Централата AP1000 е проектирана с административни програми и процедури за максимално използване на добрите инженерни практики и извлечените поуки за постигане на целите “толкова ниско, колкото е разумно постижимо” (ALARA), както е описано в Глава 12 на ДКП [7]. При проектирането на централата AP1000 е приложена философията ALARA. Проектът се преглежда от гледна точка на ALARA и се актуализира и променя с отчитане на опита от действащи централи. Прегледите по ALARA включват проекта на централата и интегрираната планировка, като се отчитат проектите на екранирането, вентилацията и контролно-измервателните уреди, свързани с контрола на трафика, сигурността, контрола на достъпа и дозиметри</w:t>
      </w:r>
      <w:r w:rsidR="004B4751">
        <w:t>мния контрол.</w:t>
      </w:r>
    </w:p>
    <w:p w14:paraId="13086CD3" w14:textId="53D37BED" w:rsidR="008E2109" w:rsidRPr="00EE587A" w:rsidRDefault="008E2109" w:rsidP="005841F8">
      <w:pPr>
        <w:jc w:val="both"/>
      </w:pPr>
      <w:r>
        <w:t xml:space="preserve">По подобен начин, в рамките на проектните работи, се преглежда маршрутът на тръбите, съдържащи радиоактивни флуиди. Това потвърждава, че линиите, за които се очаква да съдържат значителни източници на </w:t>
      </w:r>
      <w:r w:rsidR="008130CE">
        <w:t>йонизиращи лъчения</w:t>
      </w:r>
      <w:r>
        <w:t>, са адекватно екранирани и правилно маршрутизирани, за да се сведе до минимум облъчването на персонала.</w:t>
      </w:r>
    </w:p>
    <w:p w14:paraId="454393BF" w14:textId="640606DB" w:rsidR="008E2109" w:rsidRDefault="008E2109" w:rsidP="005841F8">
      <w:pPr>
        <w:jc w:val="both"/>
        <w:rPr>
          <w:rFonts w:cstheme="minorBidi"/>
        </w:rPr>
      </w:pPr>
      <w:r>
        <w:t xml:space="preserve">Много от инженерите и ръководителите, на които е възложено проектирането на AP1000, са извършвали подобна проектантска или сервизна дейност в други </w:t>
      </w:r>
      <w:r w:rsidR="004B4751">
        <w:t>ядрени</w:t>
      </w:r>
      <w:r>
        <w:t xml:space="preserve"> електроцентрали. Благодарение на този опит те са придобили знания за аспектите на радиационната защита, които се прилагат в проекта на AP1000. Експлоатационният опит от атомни централи е включен в бюлетините за инспекция и правоприлагане на Комисията за ядрено регулиране (NRC), информационни уведомления и други документи. Извършени са независими прегледи от Научноизследователския институт по електроенергетика (</w:t>
      </w:r>
      <w:r w:rsidR="004B4751">
        <w:rPr>
          <w:lang w:val="en-US"/>
        </w:rPr>
        <w:t>EPRI</w:t>
      </w:r>
      <w:r>
        <w:t>) и от Ръководния комитет на експлоатиращите организации и негови подкомитети. При проектирането на AP1000 са приложени знанията за радиационната защита и ALARA. Това дава възможност за интегриране на опита и съображенията за ALARA на операторите и проектантите на централи и насърчава включването на скорошен експлоатационен и сервизен опит и извлечени поуки.</w:t>
      </w:r>
    </w:p>
    <w:p w14:paraId="4C87EFF6" w14:textId="462BB5D4" w:rsidR="008E2109" w:rsidRDefault="008E2109" w:rsidP="005841F8">
      <w:pPr>
        <w:jc w:val="both"/>
        <w:rPr>
          <w:rFonts w:cstheme="minorBidi"/>
        </w:rPr>
      </w:pPr>
      <w:r>
        <w:t>Проектните характеристики на радиационната защита са описани в Подраздел 12.1.3 на ДКП [7]. Този раздел включва схемите на радиационните зони на AP1000 при нормална експлоатация, спиране и следаварийни условия. Радиационните анализи, използвани за разработване на радиационното зониране на централата AP1000, оказват значително влияние върху резултатите, показани в ДКП, както и върху цялостното зониране на централата. Анализите на Уестингхаус, извършени за САЩ, съдържат консервативно отклонение (като се приемат ситуации от около 0,25% дефекти в горивото) и не съответстват на типичните условия на експлоатация, очакваните радиационни полета или експлоатационния опит от съществуващи централи. Тази консервативна методология се използва за ограничаване на различни условия на експлоатация. В други юрисдикции, обаче, се използват по-реалистични методологии.</w:t>
      </w:r>
    </w:p>
    <w:p w14:paraId="160D8796" w14:textId="37A56B12" w:rsidR="008E2109" w:rsidRPr="00160A6E" w:rsidRDefault="008E2109" w:rsidP="005841F8">
      <w:pPr>
        <w:jc w:val="both"/>
        <w:rPr>
          <w:rFonts w:cstheme="minorBidi"/>
        </w:rPr>
      </w:pPr>
      <w:r>
        <w:lastRenderedPageBreak/>
        <w:t xml:space="preserve">AP1000 беше проектирана в съответствие с регулаторната рамка на NRC на САЩ (US NRC). Тази регулаторна рамка е събрана главно в следното: Заглавие 10, Част 20 от Кодекса на федералните наредби (10 CFR, Част 20), “Стандарти за защита от </w:t>
      </w:r>
      <w:r w:rsidR="008130CE">
        <w:t>йонизиращи лъчения</w:t>
      </w:r>
      <w:r>
        <w:t xml:space="preserve">”; 10 CFR, Част 50, “Вътрешно лицензиране на съоръжения за производство и утилизация”; и Приложение I към 10 CFR, Част 50, “Числени ръководства за целите на проектирането и ограничителни условия за експлоатация, за да се изпълни критерият “толкова ниско, колкото е разумно постижимо” за радиоактивните материали в отпадъчните </w:t>
      </w:r>
      <w:r w:rsidR="00922AC9">
        <w:t>радиоактивни води</w:t>
      </w:r>
      <w:r>
        <w:t xml:space="preserve"> на леководни ядрени реактори”.</w:t>
      </w:r>
    </w:p>
    <w:p w14:paraId="20174974" w14:textId="77777777" w:rsidR="008E2109" w:rsidRPr="00160A6E" w:rsidRDefault="008E2109" w:rsidP="005841F8">
      <w:pPr>
        <w:jc w:val="both"/>
        <w:rPr>
          <w:rFonts w:cstheme="minorBidi"/>
        </w:rPr>
      </w:pPr>
      <w:r>
        <w:t>По отношение осигуряването на това, че професионалните радиационни облъчвания са толкова ниски, колкото е разумно постижимо, при проектирането на AP1000:</w:t>
      </w:r>
    </w:p>
    <w:p w14:paraId="3869B751" w14:textId="34055286" w:rsidR="008E2109" w:rsidRPr="00160A6E" w:rsidRDefault="008E2109" w:rsidP="005841F8">
      <w:pPr>
        <w:pStyle w:val="ListParagraph"/>
        <w:numPr>
          <w:ilvl w:val="0"/>
          <w:numId w:val="56"/>
        </w:numPr>
        <w:spacing w:before="120" w:after="120"/>
        <w:jc w:val="both"/>
      </w:pPr>
      <w:r>
        <w:t xml:space="preserve">Спазването на изискванията на 10 CFR 20 от конструкцията на AP1000 е потвърдено за проектирането и експлоатацията на съоръжението в съответствие с Регулаторните ръководства 1.8, 8.8 и 8.10. Съответствието с Регулаторните ръководства е разгледано в Подраздел 12.1.3 на ДКП [3]. Конструкцията на AP1000 съответства на изискванията на раздели C.2 и C.4 на Регулаторното ръководство 8.8, които се отнасят до конструктивните характеристики на съоръжението, оборудването и контролно-измервателните уреди. Характеристиките на съоръжението, които са пример за съответствие с Регулаторното ръководство 8.8, са описани в Раздел 12.3. </w:t>
      </w:r>
    </w:p>
    <w:p w14:paraId="4AAA5F8A" w14:textId="651B71E4" w:rsidR="008E2109" w:rsidRPr="00160A6E" w:rsidRDefault="008E2109" w:rsidP="005841F8">
      <w:pPr>
        <w:pStyle w:val="ListParagraph"/>
        <w:numPr>
          <w:ilvl w:val="0"/>
          <w:numId w:val="56"/>
        </w:numPr>
        <w:spacing w:before="120" w:after="120"/>
        <w:jc w:val="both"/>
      </w:pPr>
      <w:r>
        <w:t>Както е обяснено в Подраздел 12.1.3 на ДКП [7], експлоатационните съображения по ALARA, както и свързаните с тях политики, програми и експлоатационни процедури, които осигуряват спазва</w:t>
      </w:r>
      <w:r w:rsidR="004B4751">
        <w:t>не на</w:t>
      </w:r>
      <w:r>
        <w:t xml:space="preserve"> изискванията за професионалното облъчване, трябва да бъдат разгледани под отговорността на Лицензианта (оператора на </w:t>
      </w:r>
      <w:r w:rsidR="004B4751">
        <w:t>ядрената</w:t>
      </w:r>
      <w:r>
        <w:t xml:space="preserve"> електроцентрала); тук влизат експлоатационните съображения, включени в Стандартния план за преглед (NUREG-0800). Регулаторните ръководства, които ще бъдат разгледани, включват: 8.2, 8.7, 8.9, 8.13, 8.15, 8.20, 8.25, 8.26, 8.27, 8.28, 8.29, 8.34, 8.35, 8.36, и 8.38.</w:t>
      </w:r>
    </w:p>
    <w:p w14:paraId="0520050E" w14:textId="786B367C" w:rsidR="008E2109" w:rsidRDefault="008E2109" w:rsidP="005841F8">
      <w:pPr>
        <w:jc w:val="both"/>
        <w:rPr>
          <w:rFonts w:cstheme="minorBidi"/>
          <w:color w:val="333333"/>
          <w:shd w:val="clear" w:color="auto" w:fill="FFFFFF"/>
        </w:rPr>
      </w:pPr>
      <w:r>
        <w:t xml:space="preserve">Трябва да се отбележи, че Наредбата на NRC за радиационна защита не е актуализирана в съответствие с Публикация 103 на </w:t>
      </w:r>
      <w:r w:rsidR="00D013C9" w:rsidRPr="00C469CC">
        <w:rPr>
          <w:lang w:val="en-US"/>
        </w:rPr>
        <w:t xml:space="preserve">ICRP </w:t>
      </w:r>
      <w:r w:rsidR="00D013C9" w:rsidRPr="00C469CC">
        <w:t xml:space="preserve">(Международна комисия </w:t>
      </w:r>
      <w:r w:rsidR="00D068ED">
        <w:t>за</w:t>
      </w:r>
      <w:r w:rsidR="00D013C9" w:rsidRPr="00C469CC">
        <w:t xml:space="preserve"> радиационна защита)</w:t>
      </w:r>
      <w:r w:rsidRPr="00D013C9">
        <w:t>,</w:t>
      </w:r>
      <w:r>
        <w:t xml:space="preserve"> референция [9], за по-подробно обяснение вж. приложението включено в тази оценка. Въпреки това, NRC на САЩ </w:t>
      </w:r>
      <w:r>
        <w:rPr>
          <w:color w:val="333333"/>
          <w:shd w:val="clear" w:color="auto" w:fill="FFFFFF"/>
        </w:rPr>
        <w:t xml:space="preserve">смята, че настоящата регулаторна рамка на </w:t>
      </w:r>
      <w:r w:rsidR="00CC3CC8">
        <w:rPr>
          <w:color w:val="333333"/>
          <w:shd w:val="clear" w:color="auto" w:fill="FFFFFF"/>
          <w:lang w:val="en-US"/>
        </w:rPr>
        <w:t xml:space="preserve">NRC </w:t>
      </w:r>
      <w:r>
        <w:rPr>
          <w:color w:val="333333"/>
          <w:shd w:val="clear" w:color="auto" w:fill="FFFFFF"/>
        </w:rPr>
        <w:t xml:space="preserve">продължава да защитава адекватно здравето и безопасността на </w:t>
      </w:r>
      <w:r w:rsidR="004B4751">
        <w:rPr>
          <w:color w:val="333333"/>
          <w:shd w:val="clear" w:color="auto" w:fill="FFFFFF"/>
        </w:rPr>
        <w:t>персонала</w:t>
      </w:r>
      <w:r>
        <w:rPr>
          <w:color w:val="333333"/>
          <w:shd w:val="clear" w:color="auto" w:fill="FFFFFF"/>
        </w:rPr>
        <w:t xml:space="preserve"> в ядрената индустрия, населението и околната среда.</w:t>
      </w:r>
    </w:p>
    <w:p w14:paraId="26E744A3" w14:textId="2DAEC3B5" w:rsidR="008E2109" w:rsidRPr="008E2109" w:rsidRDefault="008E2109" w:rsidP="005841F8">
      <w:pPr>
        <w:jc w:val="both"/>
        <w:rPr>
          <w:rFonts w:cstheme="minorBidi"/>
          <w:color w:val="333333"/>
          <w:shd w:val="clear" w:color="auto" w:fill="FFFFFF"/>
        </w:rPr>
      </w:pPr>
      <w:r>
        <w:rPr>
          <w:b/>
          <w:color w:val="333333"/>
          <w:shd w:val="clear" w:color="auto" w:fill="FFFFFF"/>
        </w:rPr>
        <w:t>Стандартният проект на AP1000</w:t>
      </w:r>
      <w:r>
        <w:rPr>
          <w:color w:val="333333"/>
          <w:shd w:val="clear" w:color="auto" w:fill="FFFFFF"/>
        </w:rPr>
        <w:t xml:space="preserve">, съдържащ се в ДКП [7] и референтната централа АЕЦ “Вогъл” за </w:t>
      </w:r>
      <w:r>
        <w:rPr>
          <w:b/>
          <w:color w:val="333333"/>
          <w:shd w:val="clear" w:color="auto" w:fill="FFFFFF"/>
        </w:rPr>
        <w:t xml:space="preserve">основата за лицензиране на </w:t>
      </w:r>
      <w:r>
        <w:rPr>
          <w:b/>
          <w:bCs/>
          <w:color w:val="333333"/>
          <w:shd w:val="clear" w:color="auto" w:fill="FFFFFF"/>
        </w:rPr>
        <w:t>българския проект</w:t>
      </w:r>
      <w:r>
        <w:rPr>
          <w:color w:val="333333"/>
          <w:shd w:val="clear" w:color="auto" w:fill="FFFFFF"/>
        </w:rPr>
        <w:t xml:space="preserve"> </w:t>
      </w:r>
      <w:r>
        <w:rPr>
          <w:b/>
          <w:color w:val="333333"/>
          <w:shd w:val="clear" w:color="auto" w:fill="FFFFFF"/>
        </w:rPr>
        <w:t xml:space="preserve">са базирани на тази регулаторна рамка на NRC на САЩ. </w:t>
      </w:r>
      <w:r>
        <w:rPr>
          <w:b/>
          <w:bCs/>
          <w:color w:val="333333"/>
          <w:shd w:val="clear" w:color="auto" w:fill="FFFFFF"/>
        </w:rPr>
        <w:t xml:space="preserve">Обаче </w:t>
      </w:r>
      <w:r>
        <w:rPr>
          <w:b/>
          <w:color w:val="333333"/>
          <w:shd w:val="clear" w:color="auto" w:fill="FFFFFF"/>
        </w:rPr>
        <w:t>това няма да се смята за несъответствие на проекта,</w:t>
      </w:r>
      <w:r>
        <w:rPr>
          <w:color w:val="333333"/>
          <w:shd w:val="clear" w:color="auto" w:fill="FFFFFF"/>
        </w:rPr>
        <w:t xml:space="preserve"> тъй като широкото използване на съображенията ALARA в проекта и съществуващият анализ показват, че намаляването на някои пределни (гранични) стойности е постижимо с настоящия проект, след като бъдат въведени експлоатационни радиационни програми.</w:t>
      </w:r>
    </w:p>
    <w:p w14:paraId="2B0E3A72" w14:textId="77777777" w:rsidR="008E2109" w:rsidRDefault="008E2109" w:rsidP="005841F8">
      <w:pPr>
        <w:spacing w:after="0"/>
        <w:jc w:val="both"/>
        <w:rPr>
          <w:color w:val="333333"/>
          <w:shd w:val="clear" w:color="auto" w:fill="FFFFFF"/>
        </w:rPr>
      </w:pPr>
      <w:r>
        <w:rPr>
          <w:color w:val="333333"/>
          <w:shd w:val="clear" w:color="auto" w:fill="FFFFFF"/>
        </w:rPr>
        <w:t>Като пример:</w:t>
      </w:r>
    </w:p>
    <w:p w14:paraId="5BE4FCD5" w14:textId="1F40B809" w:rsidR="008E2109" w:rsidRDefault="008E2109" w:rsidP="005841F8">
      <w:pPr>
        <w:jc w:val="both"/>
        <w:rPr>
          <w:rFonts w:cstheme="minorBidi"/>
          <w:color w:val="333333"/>
          <w:shd w:val="clear" w:color="auto" w:fill="FFFFFF"/>
        </w:rPr>
      </w:pPr>
      <w:r>
        <w:rPr>
          <w:color w:val="333333"/>
          <w:shd w:val="clear" w:color="auto" w:fill="FFFFFF"/>
        </w:rPr>
        <w:t xml:space="preserve">Действащият NRC 10 CFR 20.1201 определя професионалните дозови </w:t>
      </w:r>
      <w:r w:rsidR="00BD1244">
        <w:rPr>
          <w:color w:val="333333"/>
          <w:shd w:val="clear" w:color="auto" w:fill="FFFFFF"/>
        </w:rPr>
        <w:t>граници</w:t>
      </w:r>
      <w:r>
        <w:rPr>
          <w:color w:val="333333"/>
          <w:shd w:val="clear" w:color="auto" w:fill="FFFFFF"/>
        </w:rPr>
        <w:t xml:space="preserve"> за </w:t>
      </w:r>
      <w:r w:rsidR="00BD1244">
        <w:rPr>
          <w:color w:val="333333"/>
          <w:shd w:val="clear" w:color="auto" w:fill="FFFFFF"/>
        </w:rPr>
        <w:t>общия ефективен дозов еквивалент</w:t>
      </w:r>
      <w:r>
        <w:rPr>
          <w:color w:val="333333"/>
          <w:shd w:val="clear" w:color="auto" w:fill="FFFFFF"/>
        </w:rPr>
        <w:t xml:space="preserve"> за възрастни до 50 mSv (5 rem) и същевременно определя настоящите изисквания за ALARA, които се съдържат в Подраздел 10 CFR 20, свързан с програмите за радиационна защита 10 CFR 20.1101 (b) и 10 CFR 20.1101 (d). Това е по-високо от сегашната граница от 20 mSv в </w:t>
      </w:r>
      <w:r>
        <w:rPr>
          <w:color w:val="333333"/>
          <w:shd w:val="clear" w:color="auto" w:fill="FFFFFF"/>
        </w:rPr>
        <w:lastRenderedPageBreak/>
        <w:t>референциите [1], [9], [10]. Обаче трябва да се отбележи, че предвид на предишните съображения по ALARA, САЩ (и западноевропейските страни със същия тип реактори) са успели да намалят индивидуалните облъчвания, така че само при много ограничен брой лица да се надхвърлят 20 mSv (2 rem) за година. Въпреки всичко, това</w:t>
      </w:r>
      <w:r>
        <w:rPr>
          <w:b/>
          <w:color w:val="333333"/>
          <w:shd w:val="clear" w:color="auto" w:fill="FFFFFF"/>
        </w:rPr>
        <w:t xml:space="preserve"> ще бъде разглеждано консервативно като съответствие за проектите, при които се изисква; в този случай за съгласуване с такива ограничения ще са необходими някои конкретни изчисления.</w:t>
      </w:r>
      <w:r>
        <w:rPr>
          <w:color w:val="333333"/>
          <w:shd w:val="clear" w:color="auto" w:fill="FFFFFF"/>
        </w:rPr>
        <w:t xml:space="preserve"> Също така, както и в “Оценка на съответствието на централата AP1000 с изискванията на EUR Редакция E Ключови въпроси” [11], е обяснено, че индивидуалната доза за централата AP1000 ще отговаря на целевата индивидуална ефективна доза от 5 mSv/година.</w:t>
      </w:r>
    </w:p>
    <w:p w14:paraId="7AC453E9" w14:textId="14DD3A59" w:rsidR="008E2109" w:rsidRDefault="008E2109" w:rsidP="005841F8">
      <w:pPr>
        <w:jc w:val="both"/>
        <w:rPr>
          <w:rFonts w:cstheme="minorBidi"/>
          <w:color w:val="333333"/>
          <w:shd w:val="clear" w:color="auto" w:fill="FFFFFF"/>
        </w:rPr>
      </w:pPr>
      <w:r>
        <w:rPr>
          <w:color w:val="333333"/>
          <w:shd w:val="clear" w:color="auto" w:fill="FFFFFF"/>
        </w:rPr>
        <w:t>Всички предходни твърдения се потвърждават от NUREG-0173 – достъпен източник на исторически данни за дози; прилагането му към централата AP1000 е документирано в Ръководство по ръководни принципи ALARA за AP1000, референция [12].</w:t>
      </w:r>
    </w:p>
    <w:p w14:paraId="58D41E5C" w14:textId="5A0F741F" w:rsidR="008E2109" w:rsidRDefault="008E2109" w:rsidP="005841F8">
      <w:pPr>
        <w:jc w:val="both"/>
        <w:rPr>
          <w:rFonts w:cstheme="minorBidi"/>
          <w:color w:val="333333"/>
          <w:shd w:val="clear" w:color="auto" w:fill="FFFFFF"/>
        </w:rPr>
      </w:pPr>
      <w:r>
        <w:rPr>
          <w:color w:val="333333"/>
          <w:shd w:val="clear" w:color="auto" w:fill="FFFFFF"/>
        </w:rPr>
        <w:t>Също така, в случай на професионално облъчване на очната леща, приложената долна граница от 20 mSv се различава. Обаче това е било обект на изследване, тъй като пределите на ефективната доза може да са били недостатъчни за съответствие с това изискване:</w:t>
      </w:r>
    </w:p>
    <w:p w14:paraId="5C9D8E0E" w14:textId="3A82B9CF" w:rsidR="008E2109" w:rsidRDefault="008E2109" w:rsidP="005841F8">
      <w:pPr>
        <w:pStyle w:val="ListParagraph"/>
        <w:numPr>
          <w:ilvl w:val="0"/>
          <w:numId w:val="57"/>
        </w:numPr>
        <w:spacing w:before="120" w:after="120"/>
        <w:jc w:val="both"/>
        <w:rPr>
          <w:rFonts w:ascii="Calibri" w:hAnsi="Calibri"/>
          <w:color w:val="333333"/>
        </w:rPr>
      </w:pPr>
      <w:r>
        <w:rPr>
          <w:color w:val="333333"/>
          <w:shd w:val="clear" w:color="auto" w:fill="FFFFFF"/>
        </w:rPr>
        <w:t xml:space="preserve">Службите за радиационна защита в </w:t>
      </w:r>
      <w:r w:rsidR="008D7C38">
        <w:rPr>
          <w:color w:val="333333"/>
          <w:shd w:val="clear" w:color="auto" w:fill="FFFFFF"/>
        </w:rPr>
        <w:t>ядрените</w:t>
      </w:r>
      <w:r>
        <w:rPr>
          <w:color w:val="333333"/>
          <w:shd w:val="clear" w:color="auto" w:fill="FFFFFF"/>
        </w:rPr>
        <w:t xml:space="preserve"> електроцентрали обикновено екранират източниците, </w:t>
      </w:r>
      <w:r>
        <w:rPr>
          <w:color w:val="333333"/>
        </w:rPr>
        <w:t xml:space="preserve">а не отделните лица </w:t>
      </w:r>
      <w:r>
        <w:rPr>
          <w:color w:val="333333"/>
          <w:shd w:val="clear" w:color="auto" w:fill="FFFFFF"/>
        </w:rPr>
        <w:t xml:space="preserve">, за да предпазят </w:t>
      </w:r>
      <w:r w:rsidR="008D7C38">
        <w:rPr>
          <w:color w:val="333333"/>
          <w:shd w:val="clear" w:color="auto" w:fill="FFFFFF"/>
        </w:rPr>
        <w:t>персонала</w:t>
      </w:r>
      <w:r>
        <w:rPr>
          <w:color w:val="333333"/>
          <w:shd w:val="clear" w:color="auto" w:fill="FFFFFF"/>
        </w:rPr>
        <w:t xml:space="preserve"> (например, не е обичайно да се използват защитни оловни престилки</w:t>
      </w:r>
      <w:r>
        <w:rPr>
          <w:color w:val="333333"/>
        </w:rPr>
        <w:t>).</w:t>
      </w:r>
      <w:r>
        <w:rPr>
          <w:color w:val="333333"/>
          <w:shd w:val="clear" w:color="auto" w:fill="FFFFFF"/>
        </w:rPr>
        <w:t xml:space="preserve"> По този начин радиационните полета, на които </w:t>
      </w:r>
      <w:r w:rsidR="008D7C38">
        <w:rPr>
          <w:color w:val="333333"/>
          <w:shd w:val="clear" w:color="auto" w:fill="FFFFFF"/>
        </w:rPr>
        <w:t>е</w:t>
      </w:r>
      <w:r>
        <w:rPr>
          <w:color w:val="333333"/>
          <w:shd w:val="clear" w:color="auto" w:fill="FFFFFF"/>
        </w:rPr>
        <w:t xml:space="preserve"> изложен </w:t>
      </w:r>
      <w:r w:rsidR="008D7C38">
        <w:rPr>
          <w:color w:val="333333"/>
          <w:shd w:val="clear" w:color="auto" w:fill="FFFFFF"/>
        </w:rPr>
        <w:t>персоналът</w:t>
      </w:r>
      <w:r>
        <w:rPr>
          <w:color w:val="333333"/>
          <w:shd w:val="clear" w:color="auto" w:fill="FFFFFF"/>
        </w:rPr>
        <w:t>, в повечето случаи са еднородни както за очната леща, така и за цялото тяло и, следователно, дозиметърът, поставен на гърдите, ще осигури добра оценка както на ефективната доза, така и на еквивалентната доза за лещата.</w:t>
      </w:r>
    </w:p>
    <w:p w14:paraId="235F98BD" w14:textId="77777777" w:rsidR="008E2109" w:rsidRPr="004D74D2" w:rsidRDefault="008E2109" w:rsidP="005841F8">
      <w:pPr>
        <w:pStyle w:val="ListParagraph"/>
        <w:numPr>
          <w:ilvl w:val="0"/>
          <w:numId w:val="57"/>
        </w:numPr>
        <w:spacing w:before="120" w:after="120"/>
        <w:jc w:val="both"/>
        <w:rPr>
          <w:color w:val="333333"/>
          <w:shd w:val="clear" w:color="auto" w:fill="FFFFFF"/>
        </w:rPr>
      </w:pPr>
      <w:r>
        <w:rPr>
          <w:color w:val="333333"/>
          <w:shd w:val="clear" w:color="auto" w:fill="FFFFFF"/>
        </w:rPr>
        <w:t>Дозиметричните величини Hp(10) и/или Hp(0,07) са подходящи за контролиране на дозата за очната леща Hp(3).</w:t>
      </w:r>
    </w:p>
    <w:p w14:paraId="2573427C" w14:textId="7600446F" w:rsidR="008E2109" w:rsidRPr="004D74D2" w:rsidRDefault="008E2109" w:rsidP="005841F8">
      <w:pPr>
        <w:pStyle w:val="ListParagraph"/>
        <w:numPr>
          <w:ilvl w:val="0"/>
          <w:numId w:val="57"/>
        </w:numPr>
        <w:spacing w:before="120" w:after="120"/>
        <w:jc w:val="both"/>
        <w:rPr>
          <w:rFonts w:cstheme="minorBidi"/>
          <w:color w:val="333333"/>
          <w:shd w:val="clear" w:color="auto" w:fill="FFFFFF"/>
        </w:rPr>
      </w:pPr>
      <w:r>
        <w:rPr>
          <w:color w:val="333333"/>
          <w:shd w:val="clear" w:color="auto" w:fill="FFFFFF"/>
        </w:rPr>
        <w:t xml:space="preserve">Източникът на </w:t>
      </w:r>
      <w:r w:rsidR="00AD07CA">
        <w:rPr>
          <w:color w:val="333333"/>
          <w:shd w:val="clear" w:color="auto" w:fill="FFFFFF"/>
        </w:rPr>
        <w:t>йонизиращо лъчение</w:t>
      </w:r>
      <w:r>
        <w:rPr>
          <w:color w:val="333333"/>
          <w:shd w:val="clear" w:color="auto" w:fill="FFFFFF"/>
        </w:rPr>
        <w:t xml:space="preserve"> на </w:t>
      </w:r>
      <w:r w:rsidR="008D7C38">
        <w:rPr>
          <w:color w:val="333333"/>
          <w:shd w:val="clear" w:color="auto" w:fill="FFFFFF"/>
        </w:rPr>
        <w:t>ядрените</w:t>
      </w:r>
      <w:r>
        <w:rPr>
          <w:color w:val="333333"/>
          <w:shd w:val="clear" w:color="auto" w:fill="FFFFFF"/>
        </w:rPr>
        <w:t xml:space="preserve"> електроцентрали се състои главно от нискоенергийни бета-излъчватели (&lt;0,7 MeV), като тези емисии имат слабо въздействие върху дозата за очната леща. </w:t>
      </w:r>
    </w:p>
    <w:p w14:paraId="51CA4EE3" w14:textId="034E4586" w:rsidR="008E2109" w:rsidRPr="004D74D2" w:rsidRDefault="008E2109" w:rsidP="005841F8">
      <w:pPr>
        <w:pStyle w:val="ListParagraph"/>
        <w:numPr>
          <w:ilvl w:val="0"/>
          <w:numId w:val="57"/>
        </w:numPr>
        <w:spacing w:before="120" w:after="120"/>
        <w:jc w:val="both"/>
        <w:rPr>
          <w:rFonts w:cstheme="minorBidi"/>
          <w:color w:val="333333"/>
          <w:shd w:val="clear" w:color="auto" w:fill="FFFFFF"/>
        </w:rPr>
      </w:pPr>
      <w:r>
        <w:rPr>
          <w:color w:val="333333"/>
          <w:shd w:val="clear" w:color="auto" w:fill="FFFFFF"/>
        </w:rPr>
        <w:t xml:space="preserve">В действащите централи не се извършват дейности, които МААЕ смята за рискови по отношение на облъчването на лещата. Не се очаква този аспект да бъде променен поне до работите по демонтаж, при които може да са необходими допълнителни предпазни мерки. Работните практики и предпазните средства, използвани в действащи </w:t>
      </w:r>
      <w:r w:rsidR="008D7C38">
        <w:rPr>
          <w:color w:val="333333"/>
          <w:shd w:val="clear" w:color="auto" w:fill="FFFFFF"/>
        </w:rPr>
        <w:t>ядрени</w:t>
      </w:r>
      <w:r>
        <w:rPr>
          <w:color w:val="333333"/>
          <w:shd w:val="clear" w:color="auto" w:fill="FFFFFF"/>
        </w:rPr>
        <w:t xml:space="preserve"> електроцентрали (защитни очила, а в силно замърсени зони – средства за защита на дихателните органи), осигуряват отслабване на високоенергийните бета-частици. </w:t>
      </w:r>
    </w:p>
    <w:p w14:paraId="59412B03" w14:textId="52E85D49" w:rsidR="008E2109" w:rsidRPr="004D74D2" w:rsidRDefault="008E2109" w:rsidP="005841F8">
      <w:pPr>
        <w:pStyle w:val="ListParagraph"/>
        <w:numPr>
          <w:ilvl w:val="0"/>
          <w:numId w:val="57"/>
        </w:numPr>
        <w:spacing w:before="120" w:after="120"/>
        <w:jc w:val="both"/>
        <w:rPr>
          <w:rFonts w:cstheme="minorBidi"/>
          <w:color w:val="333333"/>
          <w:shd w:val="clear" w:color="auto" w:fill="FFFFFF"/>
        </w:rPr>
      </w:pPr>
      <w:r>
        <w:rPr>
          <w:color w:val="333333"/>
          <w:shd w:val="clear" w:color="auto" w:fill="FFFFFF"/>
        </w:rPr>
        <w:t xml:space="preserve">Дозиметричните данни показват, че </w:t>
      </w:r>
      <w:r w:rsidR="008D7C38">
        <w:rPr>
          <w:color w:val="333333"/>
          <w:shd w:val="clear" w:color="auto" w:fill="FFFFFF"/>
        </w:rPr>
        <w:t>професионалните</w:t>
      </w:r>
      <w:r>
        <w:rPr>
          <w:color w:val="333333"/>
          <w:shd w:val="clear" w:color="auto" w:fill="FFFFFF"/>
        </w:rPr>
        <w:t xml:space="preserve"> дози, получавани в промишлеността, са достатъчно ниски, което заедно с вече приетите от ядрения сектор мерки в рамките на промишлените норми, свързани с предотвратяване на риска, и мерки за защита от радиационно замърсяване на околната среда, които обикновено се използват в инсталациите, позволяват да не се превишава новата гранична доза за очната леща. </w:t>
      </w:r>
    </w:p>
    <w:p w14:paraId="341BF60C" w14:textId="18DA05B9" w:rsidR="008E2109" w:rsidRPr="00964533" w:rsidRDefault="008E2109" w:rsidP="005841F8">
      <w:pPr>
        <w:jc w:val="both"/>
        <w:rPr>
          <w:color w:val="333333"/>
          <w:shd w:val="clear" w:color="auto" w:fill="FFFFFF"/>
        </w:rPr>
      </w:pPr>
      <w:r>
        <w:rPr>
          <w:color w:val="333333"/>
          <w:shd w:val="clear" w:color="auto" w:fill="FFFFFF"/>
        </w:rPr>
        <w:t>Колективните годишни дози са изчислени в APP-SSAR-GSC-565 [13]. Те са актуализирани след стойностите, представени в Глава 12 на ДКП. Колективните годишни дози показват, че проектът на централата AP1000 отговаря на целевата колективна доза от 0,5 човеко-Sv/година за блок.</w:t>
      </w:r>
    </w:p>
    <w:p w14:paraId="6DFDE122" w14:textId="0539468D" w:rsidR="008E2109" w:rsidRPr="00EA5D25" w:rsidRDefault="008E2109" w:rsidP="005841F8">
      <w:pPr>
        <w:jc w:val="both"/>
      </w:pPr>
      <w:r>
        <w:lastRenderedPageBreak/>
        <w:t xml:space="preserve">Освен това, съществуват някои разлики в нормативната уредба по отношение на облъчването на населението; не по отношение на </w:t>
      </w:r>
      <w:r w:rsidR="00125820">
        <w:t>граничната</w:t>
      </w:r>
      <w:r>
        <w:t xml:space="preserve"> доза, която и в двата случая е определена на 1 mSv ефективна доза, но в други области, като например </w:t>
      </w:r>
      <w:r w:rsidR="00125820">
        <w:t>граничните</w:t>
      </w:r>
      <w:r>
        <w:t xml:space="preserve"> дози за очната леща.</w:t>
      </w:r>
    </w:p>
    <w:p w14:paraId="16BD1F88" w14:textId="51586AA0" w:rsidR="004622C6" w:rsidRPr="002776C0" w:rsidRDefault="004622C6" w:rsidP="00D6759A">
      <w:pPr>
        <w:pStyle w:val="Heading2"/>
        <w:spacing w:before="240"/>
      </w:pPr>
      <w:bookmarkStart w:id="21" w:name="_Toc155347771"/>
      <w:r>
        <w:t>Резюме на резултатите от оценката на съответствието</w:t>
      </w:r>
      <w:bookmarkEnd w:id="21"/>
    </w:p>
    <w:p w14:paraId="05AD9952" w14:textId="09E8D268" w:rsidR="00070025" w:rsidRDefault="00F202CD" w:rsidP="002776C0">
      <w:pPr>
        <w:ind w:firstLine="432"/>
        <w:jc w:val="both"/>
      </w:pPr>
      <w:r>
        <w:t xml:space="preserve">Проектът на централата AP1000 отговаря на всички свързани с проекта общи изисквания за безопасност на МААЕ, Част 3, “Радиационна защита и безопасност на източниците на </w:t>
      </w:r>
      <w:r w:rsidR="008130CE">
        <w:t>йонизиращи лъчения</w:t>
      </w:r>
      <w:r>
        <w:t xml:space="preserve">”, тъй като идентифицираните потенциални рискове не се смятат за несъответстващи на изискванията. Това е обяснено в Раздели 1.4 и 1.7 на този документ. Част от изискванията не се отнасят за </w:t>
      </w:r>
      <w:r w:rsidR="00005ED2">
        <w:t>ядрените</w:t>
      </w:r>
      <w:r>
        <w:t xml:space="preserve"> електроцентрали (не са приложими към технологията) и не са разгледани. Част от изискванията са свързани с установяването на правила, норми и добри практики, които са основно работа на Правителството / Регулаторния орган. Голяма част от изискванията са свързани с експлоатацията на технологии, включващи </w:t>
      </w:r>
      <w:r w:rsidR="00005ED2">
        <w:t>ядрени</w:t>
      </w:r>
      <w:r>
        <w:t xml:space="preserve"> електроцентрали, и отговорността за тях е на Собственика / Лицензианта. Само няколко от изискванията са свързани с проекта на AP1000 и тези точки съдържат подходящо описание. Струва си да се отбележи, че Уестингхаус поема основната отговорност за безопасността по време на разработването на проекта, което включва грижа за защита от вредното въздействие на йонизиращото лъчение.</w:t>
      </w:r>
    </w:p>
    <w:p w14:paraId="265BE3F4" w14:textId="2E44E05B" w:rsidR="008C5910" w:rsidRPr="00713449" w:rsidRDefault="007715E1" w:rsidP="008C5910">
      <w:pPr>
        <w:tabs>
          <w:tab w:val="clear" w:pos="720"/>
          <w:tab w:val="clear" w:pos="1296"/>
          <w:tab w:val="clear" w:pos="1872"/>
          <w:tab w:val="clear" w:pos="2448"/>
        </w:tabs>
        <w:autoSpaceDE w:val="0"/>
        <w:autoSpaceDN w:val="0"/>
        <w:adjustRightInd w:val="0"/>
        <w:spacing w:line="240" w:lineRule="auto"/>
        <w:jc w:val="both"/>
        <w:rPr>
          <w:kern w:val="0"/>
        </w:rPr>
      </w:pPr>
      <w:r>
        <w:t>Целта на тази задача по време на предварителния инженеринг и проектиране (FEED) е да се идентифицират потенциалните рискове при проектирането и приоритетите за оценъчните работи, които трябва да се извършат в бъдеща фаза на проекта.</w:t>
      </w:r>
    </w:p>
    <w:p w14:paraId="16F41215" w14:textId="5D9B0F0F" w:rsidR="00637C9F" w:rsidRPr="00713449" w:rsidRDefault="00A10640" w:rsidP="007715E1">
      <w:pPr>
        <w:tabs>
          <w:tab w:val="clear" w:pos="720"/>
          <w:tab w:val="clear" w:pos="1296"/>
          <w:tab w:val="clear" w:pos="1872"/>
          <w:tab w:val="clear" w:pos="2448"/>
        </w:tabs>
        <w:autoSpaceDE w:val="0"/>
        <w:autoSpaceDN w:val="0"/>
        <w:adjustRightInd w:val="0"/>
        <w:spacing w:after="0" w:line="240" w:lineRule="auto"/>
        <w:jc w:val="both"/>
        <w:rPr>
          <w:kern w:val="0"/>
        </w:rPr>
      </w:pPr>
      <w:r>
        <w:t>Високото ниво на о</w:t>
      </w:r>
      <w:r w:rsidR="00343E4B">
        <w:t>ценка на риска на този стандарт се намира в Раздели 1.6 и 1.7 на този документ, като се придържа към заявленията за съответствие в Раздел 2 на този документ. Определени са следните категории на риска:</w:t>
      </w:r>
    </w:p>
    <w:p w14:paraId="66893D81" w14:textId="209D8C37" w:rsidR="00637C9F" w:rsidRPr="00713449" w:rsidRDefault="00343E4B" w:rsidP="007715E1">
      <w:pPr>
        <w:pStyle w:val="ListParagraph"/>
        <w:numPr>
          <w:ilvl w:val="0"/>
          <w:numId w:val="67"/>
        </w:numPr>
        <w:tabs>
          <w:tab w:val="clear" w:pos="720"/>
          <w:tab w:val="clear" w:pos="1296"/>
          <w:tab w:val="clear" w:pos="1872"/>
          <w:tab w:val="clear" w:pos="2448"/>
        </w:tabs>
        <w:autoSpaceDE w:val="0"/>
        <w:autoSpaceDN w:val="0"/>
        <w:adjustRightInd w:val="0"/>
        <w:spacing w:after="0" w:line="240" w:lineRule="auto"/>
        <w:jc w:val="both"/>
        <w:rPr>
          <w:kern w:val="0"/>
        </w:rPr>
      </w:pPr>
      <w:r>
        <w:t>Нисък риск: Очаква се да се демонстрира спазване на наредбите, код</w:t>
      </w:r>
      <w:r w:rsidR="00A10640">
        <w:t>овете</w:t>
      </w:r>
      <w:r>
        <w:t xml:space="preserve"> и стандартите, без да се налага промяна в проекта или да се изискват нови анализи на проекта.</w:t>
      </w:r>
    </w:p>
    <w:p w14:paraId="2B171F4B" w14:textId="5718E4AF" w:rsidR="002112B2" w:rsidRPr="00713449" w:rsidRDefault="00343E4B" w:rsidP="007715E1">
      <w:pPr>
        <w:pStyle w:val="ListParagraph"/>
        <w:numPr>
          <w:ilvl w:val="0"/>
          <w:numId w:val="67"/>
        </w:numPr>
        <w:tabs>
          <w:tab w:val="clear" w:pos="720"/>
          <w:tab w:val="clear" w:pos="1296"/>
          <w:tab w:val="clear" w:pos="1872"/>
          <w:tab w:val="clear" w:pos="2448"/>
        </w:tabs>
        <w:autoSpaceDE w:val="0"/>
        <w:autoSpaceDN w:val="0"/>
        <w:adjustRightInd w:val="0"/>
        <w:spacing w:after="0" w:line="240" w:lineRule="auto"/>
        <w:jc w:val="both"/>
        <w:rPr>
          <w:kern w:val="0"/>
        </w:rPr>
      </w:pPr>
      <w:r>
        <w:t>Среден риск: Очаква се да се демонстрира спазване на наредбите, код</w:t>
      </w:r>
      <w:r w:rsidR="002F678F">
        <w:t>овете</w:t>
      </w:r>
      <w:r>
        <w:t xml:space="preserve"> и стандартите, без да се налага промяна в проекта, а само да се изискват нови анализи на проекта.</w:t>
      </w:r>
    </w:p>
    <w:p w14:paraId="6713B901" w14:textId="7109EB15" w:rsidR="00343E4B" w:rsidRPr="00713449" w:rsidRDefault="00343E4B" w:rsidP="007715E1">
      <w:pPr>
        <w:pStyle w:val="ListParagraph"/>
        <w:numPr>
          <w:ilvl w:val="0"/>
          <w:numId w:val="67"/>
        </w:numPr>
        <w:tabs>
          <w:tab w:val="clear" w:pos="720"/>
          <w:tab w:val="clear" w:pos="1296"/>
          <w:tab w:val="clear" w:pos="1872"/>
          <w:tab w:val="clear" w:pos="2448"/>
        </w:tabs>
        <w:autoSpaceDE w:val="0"/>
        <w:autoSpaceDN w:val="0"/>
        <w:adjustRightInd w:val="0"/>
        <w:spacing w:line="240" w:lineRule="auto"/>
        <w:jc w:val="both"/>
        <w:rPr>
          <w:kern w:val="0"/>
        </w:rPr>
      </w:pPr>
      <w:r>
        <w:t>Висок риск: Очаква се спазването на наредбите, код</w:t>
      </w:r>
      <w:r w:rsidR="002F678F">
        <w:t>овете</w:t>
      </w:r>
      <w:r>
        <w:t xml:space="preserve"> и стандартите да изисква промяна в проекта и евентуално нови анализи на проекта.</w:t>
      </w:r>
    </w:p>
    <w:p w14:paraId="291E12E5" w14:textId="3C04C5D2" w:rsidR="002112B2" w:rsidRPr="00624829" w:rsidRDefault="00343E4B" w:rsidP="00C469CC">
      <w:pPr>
        <w:tabs>
          <w:tab w:val="clear" w:pos="720"/>
          <w:tab w:val="clear" w:pos="1296"/>
          <w:tab w:val="clear" w:pos="1872"/>
          <w:tab w:val="clear" w:pos="2448"/>
        </w:tabs>
        <w:autoSpaceDE w:val="0"/>
        <w:autoSpaceDN w:val="0"/>
        <w:adjustRightInd w:val="0"/>
        <w:spacing w:line="240" w:lineRule="auto"/>
        <w:jc w:val="both"/>
        <w:rPr>
          <w:kern w:val="0"/>
        </w:rPr>
      </w:pPr>
      <w:r>
        <w:t>Ще бъде обоснована категорията, определена за всяка наредба, код или стандарт, а всякакви идентифицирани разлики</w:t>
      </w:r>
      <w:r w:rsidR="002F678F">
        <w:t xml:space="preserve"> </w:t>
      </w:r>
      <w:r>
        <w:t>ще бъдат обсъдени.</w:t>
      </w:r>
    </w:p>
    <w:p w14:paraId="01C15847" w14:textId="1E25CA7B" w:rsidR="00431B2C" w:rsidRDefault="0064016E" w:rsidP="002776C0">
      <w:pPr>
        <w:jc w:val="both"/>
      </w:pPr>
      <w:r>
        <w:t xml:space="preserve">В таблица 1-1 е представено обобщение на оценката на съответствието на централата AP1000 с Общите изисквания за безопасност на МААЕ за радиационна защита и безопасност на източниците на </w:t>
      </w:r>
      <w:r w:rsidR="008130CE">
        <w:t>йонизиращи лъчения</w:t>
      </w:r>
      <w:r>
        <w:t xml:space="preserve">. Категориите за съответствие са определени в Раздел 2.1. Подробната обосновка на съответствието е представена в посочените Раздели 2.2-2.5. </w:t>
      </w:r>
    </w:p>
    <w:tbl>
      <w:tblPr>
        <w:tblStyle w:val="TableGrid"/>
        <w:tblW w:w="9639" w:type="dxa"/>
        <w:jc w:val="center"/>
        <w:tblLayout w:type="fixed"/>
        <w:tblLook w:val="04A0" w:firstRow="1" w:lastRow="0" w:firstColumn="1" w:lastColumn="0" w:noHBand="0" w:noVBand="1"/>
      </w:tblPr>
      <w:tblGrid>
        <w:gridCol w:w="497"/>
        <w:gridCol w:w="2338"/>
        <w:gridCol w:w="1560"/>
        <w:gridCol w:w="4252"/>
        <w:gridCol w:w="992"/>
      </w:tblGrid>
      <w:tr w:rsidR="00070025" w:rsidRPr="007502CF" w14:paraId="2093A334" w14:textId="77777777" w:rsidTr="006628CC">
        <w:trPr>
          <w:tblHeader/>
          <w:jc w:val="center"/>
        </w:trPr>
        <w:tc>
          <w:tcPr>
            <w:tcW w:w="9639" w:type="dxa"/>
            <w:gridSpan w:val="5"/>
            <w:tcBorders>
              <w:top w:val="nil"/>
              <w:left w:val="nil"/>
              <w:bottom w:val="single" w:sz="4" w:space="0" w:color="auto"/>
              <w:right w:val="nil"/>
            </w:tcBorders>
          </w:tcPr>
          <w:p w14:paraId="3F28F033" w14:textId="2AD58536" w:rsidR="00070025" w:rsidRPr="007502CF" w:rsidRDefault="00070025" w:rsidP="001D3ACD">
            <w:pPr>
              <w:jc w:val="center"/>
              <w:rPr>
                <w:b/>
                <w:bCs/>
                <w:highlight w:val="yellow"/>
              </w:rPr>
            </w:pPr>
            <w:r>
              <w:lastRenderedPageBreak/>
              <w:t xml:space="preserve">Таблица 1-1: Обобщение на съответствието на централата AP1000 с Общите изисквания за безопасност на МААЕ, Част 3 № GSR, Част 3, Радиационна защита и безопасност на източниците на </w:t>
            </w:r>
            <w:r w:rsidR="008130CE">
              <w:t>йонизиращи лъчения</w:t>
            </w:r>
            <w:r>
              <w:t>: Международни основни стандарти за безопасност.</w:t>
            </w:r>
          </w:p>
        </w:tc>
      </w:tr>
      <w:tr w:rsidR="00D46916" w:rsidRPr="007502CF" w14:paraId="0BC4D93F" w14:textId="77777777" w:rsidTr="006628CC">
        <w:trPr>
          <w:tblHeader/>
          <w:jc w:val="center"/>
        </w:trPr>
        <w:tc>
          <w:tcPr>
            <w:tcW w:w="2835" w:type="dxa"/>
            <w:gridSpan w:val="2"/>
            <w:tcBorders>
              <w:top w:val="single" w:sz="4" w:space="0" w:color="auto"/>
              <w:left w:val="single" w:sz="4" w:space="0" w:color="auto"/>
              <w:bottom w:val="single" w:sz="4" w:space="0" w:color="auto"/>
              <w:right w:val="single" w:sz="4" w:space="0" w:color="auto"/>
            </w:tcBorders>
            <w:vAlign w:val="center"/>
          </w:tcPr>
          <w:p w14:paraId="69984A3D" w14:textId="1750201D" w:rsidR="00D46916" w:rsidRPr="00D7181A" w:rsidRDefault="00202AB5" w:rsidP="009E5171">
            <w:pPr>
              <w:spacing w:after="0" w:line="240" w:lineRule="auto"/>
              <w:jc w:val="center"/>
              <w:rPr>
                <w:b/>
                <w:bCs/>
              </w:rPr>
            </w:pPr>
            <w:r>
              <w:rPr>
                <w:b/>
              </w:rPr>
              <w:t>Изискване за безопасност на МААЕ</w:t>
            </w:r>
          </w:p>
        </w:tc>
        <w:tc>
          <w:tcPr>
            <w:tcW w:w="1560" w:type="dxa"/>
            <w:tcBorders>
              <w:top w:val="single" w:sz="4" w:space="0" w:color="auto"/>
              <w:left w:val="single" w:sz="4" w:space="0" w:color="auto"/>
              <w:bottom w:val="single" w:sz="4" w:space="0" w:color="auto"/>
              <w:right w:val="single" w:sz="4" w:space="0" w:color="auto"/>
            </w:tcBorders>
            <w:vAlign w:val="center"/>
          </w:tcPr>
          <w:p w14:paraId="1264F6C8" w14:textId="77777777" w:rsidR="00D46916" w:rsidRPr="00D7181A" w:rsidRDefault="00D46916" w:rsidP="009E5171">
            <w:pPr>
              <w:spacing w:after="0" w:line="240" w:lineRule="auto"/>
              <w:jc w:val="center"/>
              <w:rPr>
                <w:b/>
                <w:bCs/>
              </w:rPr>
            </w:pPr>
            <w:r>
              <w:rPr>
                <w:b/>
              </w:rPr>
              <w:t>Съответствие</w:t>
            </w:r>
          </w:p>
        </w:tc>
        <w:tc>
          <w:tcPr>
            <w:tcW w:w="4252" w:type="dxa"/>
            <w:tcBorders>
              <w:top w:val="single" w:sz="4" w:space="0" w:color="auto"/>
              <w:left w:val="single" w:sz="4" w:space="0" w:color="auto"/>
              <w:bottom w:val="single" w:sz="4" w:space="0" w:color="auto"/>
              <w:right w:val="single" w:sz="4" w:space="0" w:color="auto"/>
            </w:tcBorders>
            <w:vAlign w:val="center"/>
          </w:tcPr>
          <w:p w14:paraId="465C0A5B" w14:textId="77777777" w:rsidR="00D46916" w:rsidRPr="00D7181A" w:rsidRDefault="00D46916" w:rsidP="009E5171">
            <w:pPr>
              <w:spacing w:after="0" w:line="240" w:lineRule="auto"/>
              <w:jc w:val="center"/>
              <w:rPr>
                <w:b/>
                <w:bCs/>
              </w:rPr>
            </w:pPr>
            <w:r>
              <w:rPr>
                <w:b/>
              </w:rPr>
              <w:t>Резюме</w:t>
            </w:r>
          </w:p>
        </w:tc>
        <w:tc>
          <w:tcPr>
            <w:tcW w:w="992" w:type="dxa"/>
            <w:tcBorders>
              <w:top w:val="single" w:sz="4" w:space="0" w:color="auto"/>
              <w:left w:val="single" w:sz="4" w:space="0" w:color="auto"/>
              <w:bottom w:val="single" w:sz="4" w:space="0" w:color="auto"/>
              <w:right w:val="single" w:sz="4" w:space="0" w:color="auto"/>
            </w:tcBorders>
            <w:vAlign w:val="center"/>
          </w:tcPr>
          <w:p w14:paraId="54062BA2" w14:textId="77ECC21D" w:rsidR="00D46916" w:rsidRPr="00D7181A" w:rsidRDefault="00D46916" w:rsidP="009E5171">
            <w:pPr>
              <w:spacing w:after="0" w:line="240" w:lineRule="auto"/>
              <w:jc w:val="center"/>
              <w:rPr>
                <w:b/>
                <w:bCs/>
              </w:rPr>
            </w:pPr>
            <w:r>
              <w:rPr>
                <w:b/>
              </w:rPr>
              <w:t>Раздел</w:t>
            </w:r>
          </w:p>
        </w:tc>
      </w:tr>
      <w:tr w:rsidR="00A9625D" w:rsidRPr="007502CF" w14:paraId="02A713F9" w14:textId="77777777" w:rsidTr="006628CC">
        <w:trPr>
          <w:jc w:val="center"/>
        </w:trPr>
        <w:tc>
          <w:tcPr>
            <w:tcW w:w="9639" w:type="dxa"/>
            <w:gridSpan w:val="5"/>
            <w:tcBorders>
              <w:top w:val="single" w:sz="4" w:space="0" w:color="auto"/>
            </w:tcBorders>
            <w:vAlign w:val="center"/>
          </w:tcPr>
          <w:p w14:paraId="3C040E58" w14:textId="0150C9F8" w:rsidR="00973942" w:rsidRPr="00D7181A" w:rsidRDefault="00973942" w:rsidP="00D7181A">
            <w:pPr>
              <w:spacing w:after="0"/>
              <w:jc w:val="center"/>
              <w:rPr>
                <w:b/>
                <w:bCs/>
              </w:rPr>
            </w:pPr>
            <w:r>
              <w:rPr>
                <w:b/>
              </w:rPr>
              <w:t>ОБЩИ ИЗИСКВАНИЯ ЗА ЗАЩИТА И БЕЗОПАСНОСТ</w:t>
            </w:r>
          </w:p>
        </w:tc>
      </w:tr>
      <w:tr w:rsidR="00D7181A" w:rsidRPr="007502CF" w14:paraId="511348F0" w14:textId="77777777" w:rsidTr="006628CC">
        <w:trPr>
          <w:jc w:val="center"/>
        </w:trPr>
        <w:tc>
          <w:tcPr>
            <w:tcW w:w="497" w:type="dxa"/>
            <w:tcBorders>
              <w:top w:val="single" w:sz="4" w:space="0" w:color="auto"/>
            </w:tcBorders>
          </w:tcPr>
          <w:p w14:paraId="4A3B8386" w14:textId="3216F189" w:rsidR="00D7181A" w:rsidRDefault="00D7181A" w:rsidP="00B422BD">
            <w:pPr>
              <w:jc w:val="center"/>
              <w:rPr>
                <w:highlight w:val="yellow"/>
              </w:rPr>
            </w:pPr>
            <w:r>
              <w:rPr>
                <w:rFonts w:ascii="Calibri" w:hAnsi="Calibri"/>
                <w:color w:val="000000"/>
              </w:rPr>
              <w:t>1</w:t>
            </w:r>
          </w:p>
        </w:tc>
        <w:tc>
          <w:tcPr>
            <w:tcW w:w="2338" w:type="dxa"/>
            <w:tcBorders>
              <w:top w:val="single" w:sz="4" w:space="0" w:color="auto"/>
            </w:tcBorders>
          </w:tcPr>
          <w:p w14:paraId="683181FF" w14:textId="5AE59E66" w:rsidR="00D7181A" w:rsidRPr="007502CF" w:rsidRDefault="00D7181A" w:rsidP="00D7181A">
            <w:pPr>
              <w:rPr>
                <w:highlight w:val="yellow"/>
              </w:rPr>
            </w:pPr>
            <w:r>
              <w:rPr>
                <w:sz w:val="21"/>
              </w:rPr>
              <w:t>Прилагане на принципите на радиационната защита</w:t>
            </w:r>
          </w:p>
        </w:tc>
        <w:tc>
          <w:tcPr>
            <w:tcW w:w="1560" w:type="dxa"/>
            <w:tcBorders>
              <w:top w:val="single" w:sz="4" w:space="0" w:color="auto"/>
            </w:tcBorders>
          </w:tcPr>
          <w:p w14:paraId="4E54F711" w14:textId="0F3EE9B2" w:rsidR="00D7181A" w:rsidRPr="003168AF" w:rsidRDefault="00674A80" w:rsidP="00B422BD">
            <w:pPr>
              <w:jc w:val="center"/>
            </w:pPr>
            <w:r>
              <w:t>COM, CWO, OR, EP</w:t>
            </w:r>
          </w:p>
        </w:tc>
        <w:tc>
          <w:tcPr>
            <w:tcW w:w="4252" w:type="dxa"/>
            <w:tcBorders>
              <w:top w:val="single" w:sz="4" w:space="0" w:color="auto"/>
            </w:tcBorders>
          </w:tcPr>
          <w:p w14:paraId="655E66A3" w14:textId="3D3CADBE" w:rsidR="00674A80" w:rsidRDefault="00870241" w:rsidP="00D7181A">
            <w:pPr>
              <w:rPr>
                <w:rFonts w:eastAsiaTheme="minorHAnsi" w:cstheme="minorBidi"/>
                <w:kern w:val="0"/>
              </w:rPr>
            </w:pPr>
            <w:r>
              <w:t>Проектът на AP1000 съответства на тези изисквания, които се смятат за изисквания към проектирането. Не е установено несъответствие.</w:t>
            </w:r>
          </w:p>
          <w:p w14:paraId="196C6594" w14:textId="3AF85EEC" w:rsidR="00D7181A" w:rsidRDefault="004675BA" w:rsidP="00D7181A">
            <w:pPr>
              <w:rPr>
                <w:rFonts w:eastAsiaTheme="minorHAnsi" w:cstheme="minorBidi"/>
                <w:kern w:val="0"/>
              </w:rPr>
            </w:pPr>
            <w:r>
              <w:t>Това е отговорност на Собственика / Лицензианта или/и външни страни.</w:t>
            </w:r>
          </w:p>
          <w:p w14:paraId="2C972271" w14:textId="4F3D7A56" w:rsidR="004675BA" w:rsidRPr="004675BA" w:rsidRDefault="00674A80" w:rsidP="004675BA">
            <w:pPr>
              <w:jc w:val="both"/>
              <w:rPr>
                <w:rFonts w:cstheme="minorBidi"/>
              </w:rPr>
            </w:pPr>
            <w:r>
              <w:t xml:space="preserve">Както е обяснено в Раздел 1.4 на тази оценка, настоящият проект на AP1000 е в състояние да изпълни това изискване при наличието на подходящи радиационни програми, въпреки че тези </w:t>
            </w:r>
            <w:r w:rsidR="0096028E">
              <w:t>гранични стойности</w:t>
            </w:r>
            <w:r>
              <w:t xml:space="preserve"> се различават от използваните в 10 CFR 20. В стандарта има някои разлики по отношение на облъчването на населението; не по отношение на </w:t>
            </w:r>
            <w:r w:rsidR="0096028E">
              <w:t>граничната</w:t>
            </w:r>
            <w:r>
              <w:t xml:space="preserve"> доза, която и в двата случая е определена на 1 mSv ефективна доза, но в области като </w:t>
            </w:r>
            <w:r w:rsidR="0096028E">
              <w:t>граничните</w:t>
            </w:r>
            <w:r>
              <w:t xml:space="preserve"> дози за очната леща. Въпреки това, компанията Уестингхаус е убедена, че централата AP1000 може да спази </w:t>
            </w:r>
            <w:r w:rsidR="0096028E">
              <w:t>граничните</w:t>
            </w:r>
            <w:r>
              <w:t xml:space="preserve"> дози, предвидени в този стандарт, като извърши допълнителни изчисления, основани на съответни допускания. По такъв начин, от консервативна гледна точка те се смятат за CWO, тъй като в определен момент потенциално може да възникне необходимост за извършване на допълнителни анализи.</w:t>
            </w:r>
          </w:p>
        </w:tc>
        <w:tc>
          <w:tcPr>
            <w:tcW w:w="992" w:type="dxa"/>
            <w:tcBorders>
              <w:top w:val="single" w:sz="4" w:space="0" w:color="auto"/>
            </w:tcBorders>
          </w:tcPr>
          <w:p w14:paraId="3D1105AB" w14:textId="6796D4F8" w:rsidR="00D7181A" w:rsidRPr="007502CF" w:rsidRDefault="00D7181A" w:rsidP="00B422BD">
            <w:pPr>
              <w:jc w:val="center"/>
              <w:rPr>
                <w:highlight w:val="yellow"/>
              </w:rPr>
            </w:pPr>
            <w:r>
              <w:rPr>
                <w:rFonts w:ascii="Calibri" w:hAnsi="Calibri"/>
                <w:color w:val="000000"/>
              </w:rPr>
              <w:t>2.2.1</w:t>
            </w:r>
          </w:p>
        </w:tc>
      </w:tr>
      <w:tr w:rsidR="00D7181A" w:rsidRPr="007502CF" w14:paraId="4968769F" w14:textId="77777777" w:rsidTr="006628CC">
        <w:trPr>
          <w:jc w:val="center"/>
        </w:trPr>
        <w:tc>
          <w:tcPr>
            <w:tcW w:w="497" w:type="dxa"/>
            <w:tcBorders>
              <w:top w:val="single" w:sz="4" w:space="0" w:color="auto"/>
            </w:tcBorders>
          </w:tcPr>
          <w:p w14:paraId="4390B21D" w14:textId="353CD01D" w:rsidR="00D7181A" w:rsidRDefault="00D7181A" w:rsidP="00B422BD">
            <w:pPr>
              <w:jc w:val="center"/>
              <w:rPr>
                <w:highlight w:val="yellow"/>
              </w:rPr>
            </w:pPr>
            <w:r>
              <w:rPr>
                <w:rFonts w:ascii="Calibri" w:hAnsi="Calibri"/>
                <w:color w:val="000000"/>
              </w:rPr>
              <w:t>2</w:t>
            </w:r>
          </w:p>
        </w:tc>
        <w:tc>
          <w:tcPr>
            <w:tcW w:w="2338" w:type="dxa"/>
            <w:tcBorders>
              <w:top w:val="single" w:sz="4" w:space="0" w:color="auto"/>
            </w:tcBorders>
          </w:tcPr>
          <w:p w14:paraId="210DCA9E" w14:textId="19B78FA1" w:rsidR="00D7181A" w:rsidRPr="007502CF" w:rsidRDefault="00D7181A" w:rsidP="00D7181A">
            <w:pPr>
              <w:rPr>
                <w:highlight w:val="yellow"/>
              </w:rPr>
            </w:pPr>
            <w:r>
              <w:rPr>
                <w:sz w:val="21"/>
              </w:rPr>
              <w:t>Създаване на правна и регулаторна рамка</w:t>
            </w:r>
          </w:p>
        </w:tc>
        <w:tc>
          <w:tcPr>
            <w:tcW w:w="1560" w:type="dxa"/>
            <w:tcBorders>
              <w:top w:val="single" w:sz="4" w:space="0" w:color="auto"/>
            </w:tcBorders>
          </w:tcPr>
          <w:p w14:paraId="2922DF33" w14:textId="0D02CE2A" w:rsidR="00D7181A" w:rsidRPr="003168AF" w:rsidRDefault="008F7B4D" w:rsidP="00B422BD">
            <w:pPr>
              <w:jc w:val="center"/>
            </w:pPr>
            <w:r>
              <w:t>EP</w:t>
            </w:r>
          </w:p>
        </w:tc>
        <w:tc>
          <w:tcPr>
            <w:tcW w:w="4252" w:type="dxa"/>
            <w:tcBorders>
              <w:top w:val="single" w:sz="4" w:space="0" w:color="auto"/>
            </w:tcBorders>
          </w:tcPr>
          <w:p w14:paraId="39D96C2A" w14:textId="7CB2A625" w:rsidR="00D7181A" w:rsidRPr="007502CF" w:rsidRDefault="00E70076" w:rsidP="00D7181A">
            <w:pPr>
              <w:rPr>
                <w:highlight w:val="yellow"/>
              </w:rPr>
            </w:pPr>
            <w:r>
              <w:t>Това е отговорност на Правителството.</w:t>
            </w:r>
          </w:p>
        </w:tc>
        <w:tc>
          <w:tcPr>
            <w:tcW w:w="992" w:type="dxa"/>
            <w:tcBorders>
              <w:top w:val="single" w:sz="4" w:space="0" w:color="auto"/>
            </w:tcBorders>
          </w:tcPr>
          <w:p w14:paraId="6517496B" w14:textId="079D02C8" w:rsidR="00D7181A" w:rsidRPr="007502CF" w:rsidRDefault="00D7181A" w:rsidP="00B422BD">
            <w:pPr>
              <w:jc w:val="center"/>
              <w:rPr>
                <w:highlight w:val="yellow"/>
              </w:rPr>
            </w:pPr>
            <w:r>
              <w:rPr>
                <w:rFonts w:ascii="Calibri" w:hAnsi="Calibri"/>
                <w:color w:val="000000"/>
              </w:rPr>
              <w:t>2.2.2</w:t>
            </w:r>
          </w:p>
        </w:tc>
      </w:tr>
      <w:tr w:rsidR="00D7181A" w:rsidRPr="007502CF" w14:paraId="021DBC94" w14:textId="77777777" w:rsidTr="006628CC">
        <w:trPr>
          <w:jc w:val="center"/>
        </w:trPr>
        <w:tc>
          <w:tcPr>
            <w:tcW w:w="497" w:type="dxa"/>
            <w:tcBorders>
              <w:top w:val="single" w:sz="4" w:space="0" w:color="auto"/>
            </w:tcBorders>
          </w:tcPr>
          <w:p w14:paraId="41F867C2" w14:textId="7908BCFA" w:rsidR="00D7181A" w:rsidRDefault="00D7181A" w:rsidP="00B422BD">
            <w:pPr>
              <w:jc w:val="center"/>
              <w:rPr>
                <w:highlight w:val="yellow"/>
              </w:rPr>
            </w:pPr>
            <w:r>
              <w:rPr>
                <w:rFonts w:ascii="Calibri" w:hAnsi="Calibri"/>
                <w:color w:val="000000"/>
              </w:rPr>
              <w:t>3</w:t>
            </w:r>
          </w:p>
        </w:tc>
        <w:tc>
          <w:tcPr>
            <w:tcW w:w="2338" w:type="dxa"/>
            <w:tcBorders>
              <w:top w:val="single" w:sz="4" w:space="0" w:color="auto"/>
            </w:tcBorders>
          </w:tcPr>
          <w:p w14:paraId="71B14508" w14:textId="1069D9C9" w:rsidR="00D7181A" w:rsidRPr="007502CF" w:rsidRDefault="00D7181A" w:rsidP="00D7181A">
            <w:pPr>
              <w:rPr>
                <w:highlight w:val="yellow"/>
              </w:rPr>
            </w:pPr>
            <w:r>
              <w:rPr>
                <w:sz w:val="21"/>
              </w:rPr>
              <w:t>Отговорности на регулаторния орган</w:t>
            </w:r>
          </w:p>
        </w:tc>
        <w:tc>
          <w:tcPr>
            <w:tcW w:w="1560" w:type="dxa"/>
            <w:tcBorders>
              <w:top w:val="single" w:sz="4" w:space="0" w:color="auto"/>
            </w:tcBorders>
          </w:tcPr>
          <w:p w14:paraId="38B22FA7" w14:textId="6E06483F" w:rsidR="00D7181A" w:rsidRPr="003168AF" w:rsidRDefault="00626733" w:rsidP="00B422BD">
            <w:pPr>
              <w:jc w:val="center"/>
            </w:pPr>
            <w:r>
              <w:t>EP</w:t>
            </w:r>
          </w:p>
        </w:tc>
        <w:tc>
          <w:tcPr>
            <w:tcW w:w="4252" w:type="dxa"/>
            <w:tcBorders>
              <w:top w:val="single" w:sz="4" w:space="0" w:color="auto"/>
            </w:tcBorders>
          </w:tcPr>
          <w:p w14:paraId="26DAFB4D" w14:textId="052735B7" w:rsidR="00D7181A" w:rsidRPr="007502CF" w:rsidRDefault="00E70076" w:rsidP="00D7181A">
            <w:pPr>
              <w:rPr>
                <w:highlight w:val="yellow"/>
              </w:rPr>
            </w:pPr>
            <w:r>
              <w:t>Това е отговорност на Регулаторния орган.</w:t>
            </w:r>
          </w:p>
        </w:tc>
        <w:tc>
          <w:tcPr>
            <w:tcW w:w="992" w:type="dxa"/>
            <w:tcBorders>
              <w:top w:val="single" w:sz="4" w:space="0" w:color="auto"/>
            </w:tcBorders>
          </w:tcPr>
          <w:p w14:paraId="39E78673" w14:textId="49B1D477" w:rsidR="00D7181A" w:rsidRPr="007502CF" w:rsidRDefault="00D7181A" w:rsidP="00B422BD">
            <w:pPr>
              <w:jc w:val="center"/>
              <w:rPr>
                <w:highlight w:val="yellow"/>
              </w:rPr>
            </w:pPr>
            <w:r>
              <w:rPr>
                <w:rFonts w:ascii="Calibri" w:hAnsi="Calibri"/>
                <w:color w:val="000000"/>
              </w:rPr>
              <w:t>2.2.3</w:t>
            </w:r>
          </w:p>
        </w:tc>
      </w:tr>
      <w:tr w:rsidR="00D7181A" w:rsidRPr="007502CF" w14:paraId="0C024593" w14:textId="77777777" w:rsidTr="006628CC">
        <w:trPr>
          <w:jc w:val="center"/>
        </w:trPr>
        <w:tc>
          <w:tcPr>
            <w:tcW w:w="497" w:type="dxa"/>
            <w:tcBorders>
              <w:top w:val="single" w:sz="4" w:space="0" w:color="auto"/>
            </w:tcBorders>
          </w:tcPr>
          <w:p w14:paraId="5BA7227B" w14:textId="5F46B7DB" w:rsidR="00D7181A" w:rsidRDefault="00D7181A" w:rsidP="00B422BD">
            <w:pPr>
              <w:jc w:val="center"/>
              <w:rPr>
                <w:highlight w:val="yellow"/>
              </w:rPr>
            </w:pPr>
            <w:r>
              <w:rPr>
                <w:rFonts w:ascii="Calibri" w:hAnsi="Calibri"/>
                <w:color w:val="000000"/>
              </w:rPr>
              <w:lastRenderedPageBreak/>
              <w:t>4</w:t>
            </w:r>
          </w:p>
        </w:tc>
        <w:tc>
          <w:tcPr>
            <w:tcW w:w="2338" w:type="dxa"/>
            <w:tcBorders>
              <w:top w:val="single" w:sz="4" w:space="0" w:color="auto"/>
            </w:tcBorders>
          </w:tcPr>
          <w:p w14:paraId="35E2A2D3" w14:textId="2D7AA24E" w:rsidR="00D7181A" w:rsidRPr="007502CF" w:rsidRDefault="00D7181A" w:rsidP="00D7181A">
            <w:pPr>
              <w:rPr>
                <w:highlight w:val="yellow"/>
              </w:rPr>
            </w:pPr>
            <w:r>
              <w:rPr>
                <w:sz w:val="21"/>
              </w:rPr>
              <w:t>Отговорности за защита и безопасност</w:t>
            </w:r>
          </w:p>
        </w:tc>
        <w:tc>
          <w:tcPr>
            <w:tcW w:w="1560" w:type="dxa"/>
            <w:tcBorders>
              <w:top w:val="single" w:sz="4" w:space="0" w:color="auto"/>
            </w:tcBorders>
          </w:tcPr>
          <w:p w14:paraId="528D3FD5" w14:textId="23A75E4E" w:rsidR="00D7181A" w:rsidRPr="003168AF" w:rsidRDefault="00DE5355" w:rsidP="00B422BD">
            <w:pPr>
              <w:jc w:val="center"/>
            </w:pPr>
            <w:r>
              <w:t>OR, EP, NR</w:t>
            </w:r>
          </w:p>
        </w:tc>
        <w:tc>
          <w:tcPr>
            <w:tcW w:w="4252" w:type="dxa"/>
            <w:tcBorders>
              <w:top w:val="single" w:sz="4" w:space="0" w:color="auto"/>
            </w:tcBorders>
          </w:tcPr>
          <w:p w14:paraId="0FD6BDA7" w14:textId="1EF6C0A3" w:rsidR="00674A80" w:rsidRPr="004675BA" w:rsidRDefault="004675BA" w:rsidP="00D7181A">
            <w:pPr>
              <w:rPr>
                <w:rFonts w:eastAsiaTheme="minorHAnsi" w:cstheme="minorBidi"/>
                <w:kern w:val="0"/>
              </w:rPr>
            </w:pPr>
            <w:r>
              <w:t>Това е отговорност на Собственика / Лицензианта / други външни страни.</w:t>
            </w:r>
          </w:p>
        </w:tc>
        <w:tc>
          <w:tcPr>
            <w:tcW w:w="992" w:type="dxa"/>
            <w:tcBorders>
              <w:top w:val="single" w:sz="4" w:space="0" w:color="auto"/>
            </w:tcBorders>
          </w:tcPr>
          <w:p w14:paraId="3C365907" w14:textId="2FBBB078" w:rsidR="00D7181A" w:rsidRPr="007502CF" w:rsidRDefault="00D7181A" w:rsidP="00B422BD">
            <w:pPr>
              <w:jc w:val="center"/>
              <w:rPr>
                <w:highlight w:val="yellow"/>
              </w:rPr>
            </w:pPr>
            <w:r>
              <w:rPr>
                <w:rFonts w:ascii="Calibri" w:hAnsi="Calibri"/>
                <w:color w:val="000000"/>
              </w:rPr>
              <w:t>2.2.4</w:t>
            </w:r>
          </w:p>
        </w:tc>
      </w:tr>
      <w:tr w:rsidR="00D7181A" w:rsidRPr="007502CF" w14:paraId="6E58C1A9" w14:textId="77777777" w:rsidTr="006628CC">
        <w:trPr>
          <w:jc w:val="center"/>
        </w:trPr>
        <w:tc>
          <w:tcPr>
            <w:tcW w:w="497" w:type="dxa"/>
            <w:tcBorders>
              <w:top w:val="single" w:sz="4" w:space="0" w:color="auto"/>
            </w:tcBorders>
          </w:tcPr>
          <w:p w14:paraId="7D3A89D2" w14:textId="37084246" w:rsidR="00D7181A" w:rsidRDefault="00D7181A" w:rsidP="00B422BD">
            <w:pPr>
              <w:jc w:val="center"/>
              <w:rPr>
                <w:highlight w:val="yellow"/>
              </w:rPr>
            </w:pPr>
            <w:r>
              <w:rPr>
                <w:rFonts w:ascii="Calibri" w:hAnsi="Calibri"/>
                <w:color w:val="000000"/>
              </w:rPr>
              <w:t>5</w:t>
            </w:r>
          </w:p>
        </w:tc>
        <w:tc>
          <w:tcPr>
            <w:tcW w:w="2338" w:type="dxa"/>
            <w:tcBorders>
              <w:top w:val="single" w:sz="4" w:space="0" w:color="auto"/>
            </w:tcBorders>
          </w:tcPr>
          <w:p w14:paraId="49C627FD" w14:textId="2F4B41CE" w:rsidR="00D7181A" w:rsidRPr="007502CF" w:rsidRDefault="00D7181A" w:rsidP="00D7181A">
            <w:pPr>
              <w:rPr>
                <w:highlight w:val="yellow"/>
              </w:rPr>
            </w:pPr>
            <w:r>
              <w:rPr>
                <w:sz w:val="21"/>
              </w:rPr>
              <w:t>Управление за защита и безопасност</w:t>
            </w:r>
          </w:p>
        </w:tc>
        <w:tc>
          <w:tcPr>
            <w:tcW w:w="1560" w:type="dxa"/>
            <w:tcBorders>
              <w:top w:val="single" w:sz="4" w:space="0" w:color="auto"/>
            </w:tcBorders>
          </w:tcPr>
          <w:p w14:paraId="51F8E190" w14:textId="3999B2C4" w:rsidR="00D7181A" w:rsidRPr="003168AF" w:rsidRDefault="00DE5355" w:rsidP="00B422BD">
            <w:pPr>
              <w:jc w:val="center"/>
            </w:pPr>
            <w:r>
              <w:t>OR, EP</w:t>
            </w:r>
          </w:p>
        </w:tc>
        <w:tc>
          <w:tcPr>
            <w:tcW w:w="4252" w:type="dxa"/>
            <w:tcBorders>
              <w:top w:val="single" w:sz="4" w:space="0" w:color="auto"/>
            </w:tcBorders>
          </w:tcPr>
          <w:p w14:paraId="53F2242F" w14:textId="28ED5209" w:rsidR="007E5153" w:rsidRPr="004675BA" w:rsidRDefault="004675BA" w:rsidP="001A3FB2">
            <w:pPr>
              <w:rPr>
                <w:rFonts w:eastAsiaTheme="minorHAnsi" w:cstheme="minorBidi"/>
                <w:kern w:val="0"/>
              </w:rPr>
            </w:pPr>
            <w:r>
              <w:t>Това е отговорност на Собственика / Лицензианта / други външни страни.</w:t>
            </w:r>
          </w:p>
        </w:tc>
        <w:tc>
          <w:tcPr>
            <w:tcW w:w="992" w:type="dxa"/>
            <w:tcBorders>
              <w:top w:val="single" w:sz="4" w:space="0" w:color="auto"/>
            </w:tcBorders>
          </w:tcPr>
          <w:p w14:paraId="0B62F4DF" w14:textId="7E83F38B" w:rsidR="00D7181A" w:rsidRPr="007502CF" w:rsidRDefault="00D7181A" w:rsidP="00B422BD">
            <w:pPr>
              <w:jc w:val="center"/>
              <w:rPr>
                <w:highlight w:val="yellow"/>
              </w:rPr>
            </w:pPr>
            <w:r>
              <w:rPr>
                <w:rFonts w:ascii="Calibri" w:hAnsi="Calibri"/>
                <w:color w:val="000000"/>
              </w:rPr>
              <w:t>2.2.5</w:t>
            </w:r>
          </w:p>
        </w:tc>
      </w:tr>
      <w:tr w:rsidR="00973942" w:rsidRPr="007502CF" w14:paraId="0C294E84" w14:textId="77777777" w:rsidTr="006628CC">
        <w:trPr>
          <w:jc w:val="center"/>
        </w:trPr>
        <w:tc>
          <w:tcPr>
            <w:tcW w:w="9639" w:type="dxa"/>
            <w:gridSpan w:val="5"/>
            <w:tcBorders>
              <w:top w:val="single" w:sz="4" w:space="0" w:color="auto"/>
            </w:tcBorders>
            <w:vAlign w:val="center"/>
          </w:tcPr>
          <w:p w14:paraId="14A4AA63" w14:textId="5314422B" w:rsidR="00973942" w:rsidRPr="003168AF" w:rsidRDefault="00973942" w:rsidP="00B422BD">
            <w:pPr>
              <w:spacing w:after="0"/>
              <w:jc w:val="center"/>
              <w:rPr>
                <w:b/>
                <w:bCs/>
              </w:rPr>
            </w:pPr>
            <w:r>
              <w:rPr>
                <w:b/>
              </w:rPr>
              <w:t>СИТУАЦИИ НА ПЛАНИРАНО ОБЛЪЧВАНЕ</w:t>
            </w:r>
          </w:p>
        </w:tc>
      </w:tr>
      <w:tr w:rsidR="00D7181A" w:rsidRPr="007502CF" w14:paraId="326F94CF" w14:textId="77777777" w:rsidTr="006628CC">
        <w:trPr>
          <w:jc w:val="center"/>
        </w:trPr>
        <w:tc>
          <w:tcPr>
            <w:tcW w:w="497" w:type="dxa"/>
            <w:tcBorders>
              <w:top w:val="single" w:sz="4" w:space="0" w:color="auto"/>
            </w:tcBorders>
          </w:tcPr>
          <w:p w14:paraId="74312C1F" w14:textId="52E3389E" w:rsidR="00D7181A" w:rsidRDefault="00D7181A" w:rsidP="00B422BD">
            <w:pPr>
              <w:jc w:val="center"/>
              <w:rPr>
                <w:highlight w:val="yellow"/>
              </w:rPr>
            </w:pPr>
            <w:r>
              <w:rPr>
                <w:rFonts w:ascii="Calibri" w:hAnsi="Calibri"/>
                <w:color w:val="000000"/>
              </w:rPr>
              <w:t>6</w:t>
            </w:r>
          </w:p>
        </w:tc>
        <w:tc>
          <w:tcPr>
            <w:tcW w:w="2338" w:type="dxa"/>
            <w:tcBorders>
              <w:top w:val="single" w:sz="4" w:space="0" w:color="auto"/>
            </w:tcBorders>
          </w:tcPr>
          <w:p w14:paraId="1D76896A" w14:textId="43CD0E3D" w:rsidR="00D7181A" w:rsidRPr="007502CF" w:rsidRDefault="00D7181A" w:rsidP="00D7181A">
            <w:pPr>
              <w:rPr>
                <w:highlight w:val="yellow"/>
              </w:rPr>
            </w:pPr>
            <w:r>
              <w:rPr>
                <w:sz w:val="21"/>
              </w:rPr>
              <w:t>Диференциран подход</w:t>
            </w:r>
          </w:p>
        </w:tc>
        <w:tc>
          <w:tcPr>
            <w:tcW w:w="1560" w:type="dxa"/>
            <w:tcBorders>
              <w:top w:val="single" w:sz="4" w:space="0" w:color="auto"/>
            </w:tcBorders>
          </w:tcPr>
          <w:p w14:paraId="67826D90" w14:textId="028E20F9" w:rsidR="00D7181A" w:rsidRPr="003168AF" w:rsidRDefault="00626733" w:rsidP="00B422BD">
            <w:pPr>
              <w:jc w:val="center"/>
            </w:pPr>
            <w:r>
              <w:t>COM, OR, EP</w:t>
            </w:r>
          </w:p>
        </w:tc>
        <w:tc>
          <w:tcPr>
            <w:tcW w:w="4252" w:type="dxa"/>
            <w:tcBorders>
              <w:top w:val="single" w:sz="4" w:space="0" w:color="auto"/>
            </w:tcBorders>
          </w:tcPr>
          <w:p w14:paraId="07E6FABE" w14:textId="24AB4A51" w:rsidR="00317754" w:rsidRDefault="00317754" w:rsidP="00317754">
            <w:pPr>
              <w:rPr>
                <w:rFonts w:eastAsiaTheme="minorHAnsi" w:cstheme="minorBidi"/>
                <w:kern w:val="0"/>
              </w:rPr>
            </w:pPr>
            <w:r>
              <w:t>Проектът на AP1000 съответства на тези изисквания, които се смятат за изисквания към проектирането. Не е установено несъответствие.</w:t>
            </w:r>
          </w:p>
          <w:p w14:paraId="11B22726" w14:textId="5CF5DD16" w:rsidR="004675BA" w:rsidRPr="007502CF" w:rsidRDefault="004675BA" w:rsidP="00D7181A">
            <w:pPr>
              <w:rPr>
                <w:highlight w:val="yellow"/>
              </w:rPr>
            </w:pPr>
            <w:r>
              <w:t>Това е отговорност на Собственика / Лицензианта / други външни страни.</w:t>
            </w:r>
          </w:p>
        </w:tc>
        <w:tc>
          <w:tcPr>
            <w:tcW w:w="992" w:type="dxa"/>
            <w:tcBorders>
              <w:top w:val="single" w:sz="4" w:space="0" w:color="auto"/>
            </w:tcBorders>
          </w:tcPr>
          <w:p w14:paraId="7A949D9D" w14:textId="0CA8A123" w:rsidR="00D7181A" w:rsidRPr="007502CF" w:rsidRDefault="00D7181A" w:rsidP="00B422BD">
            <w:pPr>
              <w:jc w:val="center"/>
              <w:rPr>
                <w:highlight w:val="yellow"/>
              </w:rPr>
            </w:pPr>
            <w:r>
              <w:rPr>
                <w:rFonts w:ascii="Calibri" w:hAnsi="Calibri"/>
                <w:color w:val="000000"/>
              </w:rPr>
              <w:t>2.3.1</w:t>
            </w:r>
          </w:p>
        </w:tc>
      </w:tr>
      <w:tr w:rsidR="00D7181A" w:rsidRPr="007502CF" w14:paraId="54DD0B78" w14:textId="77777777" w:rsidTr="006628CC">
        <w:trPr>
          <w:jc w:val="center"/>
        </w:trPr>
        <w:tc>
          <w:tcPr>
            <w:tcW w:w="497" w:type="dxa"/>
            <w:tcBorders>
              <w:top w:val="single" w:sz="4" w:space="0" w:color="auto"/>
            </w:tcBorders>
          </w:tcPr>
          <w:p w14:paraId="24252F09" w14:textId="71FFE049" w:rsidR="00D7181A" w:rsidRDefault="00D7181A" w:rsidP="00B422BD">
            <w:pPr>
              <w:jc w:val="center"/>
              <w:rPr>
                <w:highlight w:val="yellow"/>
              </w:rPr>
            </w:pPr>
            <w:r>
              <w:rPr>
                <w:rFonts w:ascii="Calibri" w:hAnsi="Calibri"/>
                <w:color w:val="000000"/>
              </w:rPr>
              <w:t>7</w:t>
            </w:r>
          </w:p>
        </w:tc>
        <w:tc>
          <w:tcPr>
            <w:tcW w:w="2338" w:type="dxa"/>
            <w:tcBorders>
              <w:top w:val="single" w:sz="4" w:space="0" w:color="auto"/>
            </w:tcBorders>
          </w:tcPr>
          <w:p w14:paraId="418A30C1" w14:textId="7E75E7EF" w:rsidR="00D7181A" w:rsidRPr="007502CF" w:rsidRDefault="00D7181A" w:rsidP="00D7181A">
            <w:pPr>
              <w:rPr>
                <w:highlight w:val="yellow"/>
              </w:rPr>
            </w:pPr>
            <w:r>
              <w:rPr>
                <w:sz w:val="21"/>
              </w:rPr>
              <w:t>Уведомление и официално разрешение</w:t>
            </w:r>
          </w:p>
        </w:tc>
        <w:tc>
          <w:tcPr>
            <w:tcW w:w="1560" w:type="dxa"/>
            <w:tcBorders>
              <w:top w:val="single" w:sz="4" w:space="0" w:color="auto"/>
            </w:tcBorders>
          </w:tcPr>
          <w:p w14:paraId="6D7D36B3" w14:textId="3F356957" w:rsidR="00D7181A" w:rsidRPr="003168AF" w:rsidRDefault="00DE5355" w:rsidP="00B422BD">
            <w:pPr>
              <w:jc w:val="center"/>
            </w:pPr>
            <w:r>
              <w:t>OR</w:t>
            </w:r>
          </w:p>
        </w:tc>
        <w:tc>
          <w:tcPr>
            <w:tcW w:w="4252" w:type="dxa"/>
            <w:tcBorders>
              <w:top w:val="single" w:sz="4" w:space="0" w:color="auto"/>
            </w:tcBorders>
          </w:tcPr>
          <w:p w14:paraId="77A86204" w14:textId="7A3708D2" w:rsidR="00D7181A" w:rsidRPr="007502CF" w:rsidRDefault="004675BA" w:rsidP="00D7181A">
            <w:pPr>
              <w:rPr>
                <w:highlight w:val="yellow"/>
              </w:rPr>
            </w:pPr>
            <w:r>
              <w:t>Това е отговорност на Собственика / Лицензианта.</w:t>
            </w:r>
          </w:p>
        </w:tc>
        <w:tc>
          <w:tcPr>
            <w:tcW w:w="992" w:type="dxa"/>
            <w:tcBorders>
              <w:top w:val="single" w:sz="4" w:space="0" w:color="auto"/>
            </w:tcBorders>
          </w:tcPr>
          <w:p w14:paraId="11C5305D" w14:textId="3E4EB26E" w:rsidR="00D7181A" w:rsidRPr="007502CF" w:rsidRDefault="00DD635E" w:rsidP="00B422BD">
            <w:pPr>
              <w:jc w:val="center"/>
              <w:rPr>
                <w:highlight w:val="yellow"/>
              </w:rPr>
            </w:pPr>
            <w:r>
              <w:rPr>
                <w:rFonts w:ascii="Calibri" w:hAnsi="Calibri"/>
                <w:color w:val="000000"/>
              </w:rPr>
              <w:t>2.3.2</w:t>
            </w:r>
          </w:p>
        </w:tc>
      </w:tr>
      <w:tr w:rsidR="00D7181A" w:rsidRPr="007502CF" w14:paraId="51F5097F" w14:textId="77777777" w:rsidTr="006628CC">
        <w:trPr>
          <w:jc w:val="center"/>
        </w:trPr>
        <w:tc>
          <w:tcPr>
            <w:tcW w:w="497" w:type="dxa"/>
            <w:tcBorders>
              <w:top w:val="single" w:sz="4" w:space="0" w:color="auto"/>
            </w:tcBorders>
          </w:tcPr>
          <w:p w14:paraId="7A7149DF" w14:textId="004C3707" w:rsidR="00D7181A" w:rsidRDefault="00D7181A" w:rsidP="00B422BD">
            <w:pPr>
              <w:jc w:val="center"/>
              <w:rPr>
                <w:highlight w:val="yellow"/>
              </w:rPr>
            </w:pPr>
            <w:r>
              <w:rPr>
                <w:rFonts w:ascii="Calibri" w:hAnsi="Calibri"/>
                <w:color w:val="000000"/>
              </w:rPr>
              <w:t>8</w:t>
            </w:r>
          </w:p>
        </w:tc>
        <w:tc>
          <w:tcPr>
            <w:tcW w:w="2338" w:type="dxa"/>
            <w:tcBorders>
              <w:top w:val="single" w:sz="4" w:space="0" w:color="auto"/>
            </w:tcBorders>
          </w:tcPr>
          <w:p w14:paraId="672BEEB7" w14:textId="048B13A8" w:rsidR="00D7181A" w:rsidRPr="00C469CC" w:rsidRDefault="00D7181A" w:rsidP="00D7181A">
            <w:r>
              <w:rPr>
                <w:sz w:val="21"/>
              </w:rPr>
              <w:t xml:space="preserve">Освобождаване </w:t>
            </w:r>
            <w:r w:rsidR="00173232" w:rsidRPr="00C469CC">
              <w:rPr>
                <w:sz w:val="21"/>
              </w:rPr>
              <w:t xml:space="preserve">от регулиране </w:t>
            </w:r>
            <w:r>
              <w:rPr>
                <w:sz w:val="21"/>
              </w:rPr>
              <w:t>и освобождаване от контрол</w:t>
            </w:r>
          </w:p>
        </w:tc>
        <w:tc>
          <w:tcPr>
            <w:tcW w:w="1560" w:type="dxa"/>
            <w:tcBorders>
              <w:top w:val="single" w:sz="4" w:space="0" w:color="auto"/>
            </w:tcBorders>
          </w:tcPr>
          <w:p w14:paraId="1B71C251" w14:textId="7CC23B49" w:rsidR="00D7181A" w:rsidRPr="003168AF" w:rsidRDefault="008F7B4D" w:rsidP="00B422BD">
            <w:pPr>
              <w:jc w:val="center"/>
            </w:pPr>
            <w:r>
              <w:t>EP</w:t>
            </w:r>
          </w:p>
        </w:tc>
        <w:tc>
          <w:tcPr>
            <w:tcW w:w="4252" w:type="dxa"/>
            <w:tcBorders>
              <w:top w:val="single" w:sz="4" w:space="0" w:color="auto"/>
            </w:tcBorders>
          </w:tcPr>
          <w:p w14:paraId="76385D1D" w14:textId="7982A6CF" w:rsidR="00D7181A" w:rsidRPr="007502CF" w:rsidRDefault="004675BA" w:rsidP="00D7181A">
            <w:pPr>
              <w:rPr>
                <w:highlight w:val="yellow"/>
              </w:rPr>
            </w:pPr>
            <w:r>
              <w:t>Това е отговорност на другите външни страни.</w:t>
            </w:r>
          </w:p>
        </w:tc>
        <w:tc>
          <w:tcPr>
            <w:tcW w:w="992" w:type="dxa"/>
            <w:tcBorders>
              <w:top w:val="single" w:sz="4" w:space="0" w:color="auto"/>
            </w:tcBorders>
          </w:tcPr>
          <w:p w14:paraId="6B590A82" w14:textId="601CB041" w:rsidR="00D7181A" w:rsidRPr="007502CF" w:rsidRDefault="00D7181A" w:rsidP="00B422BD">
            <w:pPr>
              <w:jc w:val="center"/>
              <w:rPr>
                <w:highlight w:val="yellow"/>
              </w:rPr>
            </w:pPr>
            <w:r>
              <w:rPr>
                <w:rFonts w:ascii="Calibri" w:hAnsi="Calibri"/>
                <w:color w:val="000000"/>
              </w:rPr>
              <w:t>2.3.3</w:t>
            </w:r>
          </w:p>
        </w:tc>
      </w:tr>
      <w:tr w:rsidR="00D7181A" w:rsidRPr="007502CF" w14:paraId="79BDD322" w14:textId="77777777" w:rsidTr="006628CC">
        <w:trPr>
          <w:jc w:val="center"/>
        </w:trPr>
        <w:tc>
          <w:tcPr>
            <w:tcW w:w="497" w:type="dxa"/>
            <w:tcBorders>
              <w:top w:val="single" w:sz="4" w:space="0" w:color="auto"/>
            </w:tcBorders>
          </w:tcPr>
          <w:p w14:paraId="2BA8E1E3" w14:textId="06E7A73E" w:rsidR="00D7181A" w:rsidRDefault="00D7181A" w:rsidP="00B422BD">
            <w:pPr>
              <w:jc w:val="center"/>
              <w:rPr>
                <w:highlight w:val="yellow"/>
              </w:rPr>
            </w:pPr>
            <w:r>
              <w:rPr>
                <w:rFonts w:ascii="Calibri" w:hAnsi="Calibri"/>
                <w:color w:val="000000"/>
              </w:rPr>
              <w:t>9</w:t>
            </w:r>
          </w:p>
        </w:tc>
        <w:tc>
          <w:tcPr>
            <w:tcW w:w="2338" w:type="dxa"/>
            <w:tcBorders>
              <w:top w:val="single" w:sz="4" w:space="0" w:color="auto"/>
            </w:tcBorders>
          </w:tcPr>
          <w:p w14:paraId="08EE7BFD" w14:textId="2970F024" w:rsidR="00D7181A" w:rsidRPr="007502CF" w:rsidRDefault="00D7181A" w:rsidP="00D7181A">
            <w:pPr>
              <w:rPr>
                <w:highlight w:val="yellow"/>
              </w:rPr>
            </w:pPr>
            <w:r>
              <w:rPr>
                <w:sz w:val="21"/>
              </w:rPr>
              <w:t>Отговорности на регистрирани лица и лицензианти в ситуации на планирано облъчване</w:t>
            </w:r>
          </w:p>
        </w:tc>
        <w:tc>
          <w:tcPr>
            <w:tcW w:w="1560" w:type="dxa"/>
            <w:tcBorders>
              <w:top w:val="single" w:sz="4" w:space="0" w:color="auto"/>
            </w:tcBorders>
          </w:tcPr>
          <w:p w14:paraId="40174711" w14:textId="34D0A801" w:rsidR="00D7181A" w:rsidRPr="003168AF" w:rsidRDefault="00DE5355" w:rsidP="00B422BD">
            <w:pPr>
              <w:jc w:val="center"/>
            </w:pPr>
            <w:r>
              <w:t>OR</w:t>
            </w:r>
          </w:p>
        </w:tc>
        <w:tc>
          <w:tcPr>
            <w:tcW w:w="4252" w:type="dxa"/>
            <w:tcBorders>
              <w:top w:val="single" w:sz="4" w:space="0" w:color="auto"/>
            </w:tcBorders>
          </w:tcPr>
          <w:p w14:paraId="580E2CD1" w14:textId="6B31A931" w:rsidR="00D7181A" w:rsidRPr="007502CF" w:rsidRDefault="004675BA" w:rsidP="00D7181A">
            <w:pPr>
              <w:rPr>
                <w:highlight w:val="yellow"/>
              </w:rPr>
            </w:pPr>
            <w:r>
              <w:t>Това е отговорност на Собственика / Лицензианта.</w:t>
            </w:r>
          </w:p>
        </w:tc>
        <w:tc>
          <w:tcPr>
            <w:tcW w:w="992" w:type="dxa"/>
            <w:tcBorders>
              <w:top w:val="single" w:sz="4" w:space="0" w:color="auto"/>
            </w:tcBorders>
          </w:tcPr>
          <w:p w14:paraId="32DA3F5E" w14:textId="578A9A58" w:rsidR="00D7181A" w:rsidRPr="007502CF" w:rsidRDefault="00DD635E" w:rsidP="00B422BD">
            <w:pPr>
              <w:jc w:val="center"/>
              <w:rPr>
                <w:highlight w:val="yellow"/>
              </w:rPr>
            </w:pPr>
            <w:r>
              <w:t>2.3.4</w:t>
            </w:r>
          </w:p>
        </w:tc>
      </w:tr>
      <w:tr w:rsidR="00D7181A" w:rsidRPr="007502CF" w14:paraId="10D4CAF3" w14:textId="77777777" w:rsidTr="006628CC">
        <w:trPr>
          <w:jc w:val="center"/>
        </w:trPr>
        <w:tc>
          <w:tcPr>
            <w:tcW w:w="497" w:type="dxa"/>
            <w:tcBorders>
              <w:top w:val="single" w:sz="4" w:space="0" w:color="auto"/>
            </w:tcBorders>
          </w:tcPr>
          <w:p w14:paraId="38D5AFB2" w14:textId="0007A2A3" w:rsidR="00D7181A" w:rsidRDefault="00D7181A" w:rsidP="00B422BD">
            <w:pPr>
              <w:jc w:val="center"/>
              <w:rPr>
                <w:highlight w:val="yellow"/>
              </w:rPr>
            </w:pPr>
            <w:r>
              <w:rPr>
                <w:rFonts w:ascii="Calibri" w:hAnsi="Calibri"/>
                <w:color w:val="000000"/>
              </w:rPr>
              <w:t>10</w:t>
            </w:r>
          </w:p>
        </w:tc>
        <w:tc>
          <w:tcPr>
            <w:tcW w:w="2338" w:type="dxa"/>
            <w:tcBorders>
              <w:top w:val="single" w:sz="4" w:space="0" w:color="auto"/>
            </w:tcBorders>
          </w:tcPr>
          <w:p w14:paraId="78C21741" w14:textId="06801FB1" w:rsidR="00D7181A" w:rsidRPr="007502CF" w:rsidRDefault="00D7181A" w:rsidP="00D7181A">
            <w:pPr>
              <w:rPr>
                <w:highlight w:val="yellow"/>
              </w:rPr>
            </w:pPr>
            <w:r>
              <w:rPr>
                <w:sz w:val="21"/>
              </w:rPr>
              <w:t>Обосновка на практическите дейности</w:t>
            </w:r>
          </w:p>
        </w:tc>
        <w:tc>
          <w:tcPr>
            <w:tcW w:w="1560" w:type="dxa"/>
            <w:tcBorders>
              <w:top w:val="single" w:sz="4" w:space="0" w:color="auto"/>
            </w:tcBorders>
          </w:tcPr>
          <w:p w14:paraId="4902FF6A" w14:textId="68C59452" w:rsidR="00D7181A" w:rsidRPr="003168AF" w:rsidRDefault="008F7B4D" w:rsidP="00B422BD">
            <w:pPr>
              <w:jc w:val="center"/>
            </w:pPr>
            <w:r>
              <w:t>EP, NAP, NR</w:t>
            </w:r>
          </w:p>
        </w:tc>
        <w:tc>
          <w:tcPr>
            <w:tcW w:w="4252" w:type="dxa"/>
            <w:tcBorders>
              <w:top w:val="single" w:sz="4" w:space="0" w:color="auto"/>
            </w:tcBorders>
          </w:tcPr>
          <w:p w14:paraId="246EB66B" w14:textId="4AFDAA06" w:rsidR="001E70C6" w:rsidRDefault="004675BA" w:rsidP="00D7181A">
            <w:pPr>
              <w:rPr>
                <w:rFonts w:eastAsiaTheme="minorHAnsi" w:cstheme="minorBidi"/>
              </w:rPr>
            </w:pPr>
            <w:r>
              <w:t>Това е отговорност на Собственика / Лицензианта / Правителството / Регулаторния орган.</w:t>
            </w:r>
          </w:p>
          <w:p w14:paraId="130D6771" w14:textId="667DC269" w:rsidR="00B422BD" w:rsidRPr="007502CF" w:rsidRDefault="008C4FDA" w:rsidP="005B53E6">
            <w:pPr>
              <w:spacing w:after="200"/>
              <w:rPr>
                <w:highlight w:val="yellow"/>
              </w:rPr>
            </w:pPr>
            <w:r>
              <w:t xml:space="preserve">Една от точките, включени в това изискване, е обяснително </w:t>
            </w:r>
            <w:r w:rsidR="00AF0073">
              <w:t>становище</w:t>
            </w:r>
            <w:r>
              <w:t>, а някои от другите са квалифицирани като неприложими за технологията.</w:t>
            </w:r>
          </w:p>
        </w:tc>
        <w:tc>
          <w:tcPr>
            <w:tcW w:w="992" w:type="dxa"/>
            <w:tcBorders>
              <w:top w:val="single" w:sz="4" w:space="0" w:color="auto"/>
            </w:tcBorders>
          </w:tcPr>
          <w:p w14:paraId="04461D0A" w14:textId="683128BD" w:rsidR="00D7181A" w:rsidRPr="007502CF" w:rsidRDefault="00DD635E" w:rsidP="00B422BD">
            <w:pPr>
              <w:jc w:val="center"/>
              <w:rPr>
                <w:highlight w:val="yellow"/>
              </w:rPr>
            </w:pPr>
            <w:r>
              <w:t>2.3.5</w:t>
            </w:r>
          </w:p>
        </w:tc>
      </w:tr>
      <w:tr w:rsidR="00D7181A" w:rsidRPr="007502CF" w14:paraId="218B261C" w14:textId="77777777" w:rsidTr="006628CC">
        <w:trPr>
          <w:jc w:val="center"/>
        </w:trPr>
        <w:tc>
          <w:tcPr>
            <w:tcW w:w="497" w:type="dxa"/>
            <w:tcBorders>
              <w:top w:val="single" w:sz="4" w:space="0" w:color="auto"/>
            </w:tcBorders>
          </w:tcPr>
          <w:p w14:paraId="6608C58F" w14:textId="3FF6F00B" w:rsidR="00D7181A" w:rsidRDefault="00D7181A" w:rsidP="00B422BD">
            <w:pPr>
              <w:jc w:val="center"/>
              <w:rPr>
                <w:highlight w:val="yellow"/>
              </w:rPr>
            </w:pPr>
            <w:r>
              <w:rPr>
                <w:rFonts w:ascii="Calibri" w:hAnsi="Calibri"/>
                <w:color w:val="000000"/>
              </w:rPr>
              <w:lastRenderedPageBreak/>
              <w:t>11</w:t>
            </w:r>
          </w:p>
        </w:tc>
        <w:tc>
          <w:tcPr>
            <w:tcW w:w="2338" w:type="dxa"/>
            <w:tcBorders>
              <w:top w:val="single" w:sz="4" w:space="0" w:color="auto"/>
            </w:tcBorders>
          </w:tcPr>
          <w:p w14:paraId="798FFE79" w14:textId="1D3371C7" w:rsidR="00D7181A" w:rsidRPr="007502CF" w:rsidRDefault="00D7181A" w:rsidP="00D7181A">
            <w:pPr>
              <w:rPr>
                <w:highlight w:val="yellow"/>
              </w:rPr>
            </w:pPr>
            <w:r>
              <w:rPr>
                <w:sz w:val="21"/>
              </w:rPr>
              <w:t>Оптимизация на защитата и безопасността</w:t>
            </w:r>
          </w:p>
        </w:tc>
        <w:tc>
          <w:tcPr>
            <w:tcW w:w="1560" w:type="dxa"/>
            <w:tcBorders>
              <w:top w:val="single" w:sz="4" w:space="0" w:color="auto"/>
            </w:tcBorders>
          </w:tcPr>
          <w:p w14:paraId="24226E01" w14:textId="7292181F" w:rsidR="00D7181A" w:rsidRPr="003168AF" w:rsidRDefault="00DE5355" w:rsidP="00B422BD">
            <w:pPr>
              <w:jc w:val="center"/>
            </w:pPr>
            <w:r>
              <w:t>OR, EP</w:t>
            </w:r>
          </w:p>
        </w:tc>
        <w:tc>
          <w:tcPr>
            <w:tcW w:w="4252" w:type="dxa"/>
            <w:tcBorders>
              <w:top w:val="single" w:sz="4" w:space="0" w:color="auto"/>
            </w:tcBorders>
          </w:tcPr>
          <w:p w14:paraId="57E2F48E" w14:textId="5B118EFA" w:rsidR="00D7181A" w:rsidRPr="007502CF" w:rsidRDefault="00317754" w:rsidP="00D7181A">
            <w:pPr>
              <w:rPr>
                <w:highlight w:val="yellow"/>
              </w:rPr>
            </w:pPr>
            <w:r>
              <w:t>Това е отговорност на Собственика / Лицензианта / Правителството / Регулаторния орган.</w:t>
            </w:r>
          </w:p>
        </w:tc>
        <w:tc>
          <w:tcPr>
            <w:tcW w:w="992" w:type="dxa"/>
            <w:tcBorders>
              <w:top w:val="single" w:sz="4" w:space="0" w:color="auto"/>
            </w:tcBorders>
          </w:tcPr>
          <w:p w14:paraId="38CCBD69" w14:textId="200FE7A1" w:rsidR="00D7181A" w:rsidRPr="00DD635E" w:rsidRDefault="00DD635E" w:rsidP="00B422BD">
            <w:pPr>
              <w:jc w:val="center"/>
            </w:pPr>
            <w:r>
              <w:t>2.3.6</w:t>
            </w:r>
          </w:p>
        </w:tc>
      </w:tr>
      <w:tr w:rsidR="00D7181A" w:rsidRPr="007502CF" w14:paraId="169CCA87" w14:textId="77777777" w:rsidTr="006628CC">
        <w:trPr>
          <w:jc w:val="center"/>
        </w:trPr>
        <w:tc>
          <w:tcPr>
            <w:tcW w:w="497" w:type="dxa"/>
            <w:tcBorders>
              <w:top w:val="single" w:sz="4" w:space="0" w:color="auto"/>
            </w:tcBorders>
          </w:tcPr>
          <w:p w14:paraId="02E80BDB" w14:textId="7F63A05A" w:rsidR="00D7181A" w:rsidRDefault="00D7181A" w:rsidP="00B422BD">
            <w:pPr>
              <w:jc w:val="center"/>
              <w:rPr>
                <w:highlight w:val="yellow"/>
              </w:rPr>
            </w:pPr>
            <w:r>
              <w:rPr>
                <w:rFonts w:ascii="Calibri" w:hAnsi="Calibri"/>
                <w:color w:val="000000"/>
              </w:rPr>
              <w:t>12</w:t>
            </w:r>
          </w:p>
        </w:tc>
        <w:tc>
          <w:tcPr>
            <w:tcW w:w="2338" w:type="dxa"/>
            <w:tcBorders>
              <w:top w:val="single" w:sz="4" w:space="0" w:color="auto"/>
            </w:tcBorders>
          </w:tcPr>
          <w:p w14:paraId="1B1B90DA" w14:textId="019820B2" w:rsidR="00D7181A" w:rsidRPr="007502CF" w:rsidRDefault="00CF23E4" w:rsidP="00D7181A">
            <w:pPr>
              <w:rPr>
                <w:highlight w:val="yellow"/>
              </w:rPr>
            </w:pPr>
            <w:r>
              <w:rPr>
                <w:sz w:val="21"/>
              </w:rPr>
              <w:t>Гранични</w:t>
            </w:r>
            <w:r w:rsidR="00D7181A">
              <w:rPr>
                <w:sz w:val="21"/>
              </w:rPr>
              <w:t xml:space="preserve"> дози</w:t>
            </w:r>
          </w:p>
        </w:tc>
        <w:tc>
          <w:tcPr>
            <w:tcW w:w="1560" w:type="dxa"/>
            <w:tcBorders>
              <w:top w:val="single" w:sz="4" w:space="0" w:color="auto"/>
            </w:tcBorders>
          </w:tcPr>
          <w:p w14:paraId="0B90BFD4" w14:textId="55B1C350" w:rsidR="00D7181A" w:rsidRPr="003168AF" w:rsidRDefault="00626733" w:rsidP="00B422BD">
            <w:pPr>
              <w:jc w:val="center"/>
            </w:pPr>
            <w:r>
              <w:t>CWO, OR, EP</w:t>
            </w:r>
          </w:p>
        </w:tc>
        <w:tc>
          <w:tcPr>
            <w:tcW w:w="4252" w:type="dxa"/>
            <w:tcBorders>
              <w:top w:val="single" w:sz="4" w:space="0" w:color="auto"/>
            </w:tcBorders>
          </w:tcPr>
          <w:p w14:paraId="3F5C41EC" w14:textId="1EE1F465" w:rsidR="00D7181A" w:rsidRDefault="00317754" w:rsidP="00D7181A">
            <w:pPr>
              <w:rPr>
                <w:rFonts w:eastAsiaTheme="minorHAnsi" w:cstheme="minorBidi"/>
              </w:rPr>
            </w:pPr>
            <w:r>
              <w:t>Това е отговорност на Собственика / Лицензианта / Правителството / Регулаторния орган.</w:t>
            </w:r>
          </w:p>
          <w:p w14:paraId="4B1BE289" w14:textId="555162B5" w:rsidR="00870241" w:rsidRPr="007502CF" w:rsidRDefault="00870241" w:rsidP="00D7181A">
            <w:pPr>
              <w:rPr>
                <w:highlight w:val="yellow"/>
              </w:rPr>
            </w:pPr>
            <w:r>
              <w:t xml:space="preserve">Както е обяснено в Раздел 1.4 на тази оценка, настоящият проект на AP1000 е в състояние да изпълни това изискване при наличие на подходящи радиационни програми, въпреки че тези </w:t>
            </w:r>
            <w:r w:rsidR="00CF23E4">
              <w:t>граници</w:t>
            </w:r>
            <w:r>
              <w:t xml:space="preserve"> се различават от използваните в 10 CFR 20. Налице са някои разлики в стандарта по отношение на облъчването на населението; не с </w:t>
            </w:r>
            <w:r w:rsidR="00CF23E4">
              <w:t>граничната</w:t>
            </w:r>
            <w:r>
              <w:t xml:space="preserve"> доза, която и в двата случая е определена на 1 mSv ефективна доза, но в области като </w:t>
            </w:r>
            <w:r w:rsidR="00CF23E4">
              <w:t>граничните</w:t>
            </w:r>
            <w:r>
              <w:t xml:space="preserve"> дози за очната леща. Въпреки това, компанията Уестингхаус е убедена, че централата AP1000 може да спази </w:t>
            </w:r>
            <w:r w:rsidR="00CF23E4">
              <w:t>граничните</w:t>
            </w:r>
            <w:r>
              <w:t xml:space="preserve"> дози, предвидени в този стандарт, като извърши допълнителни изчисления, основани на съответни допускания. По такъв начин, от консервативна гледна точка те се смятат за CWO, тъй като в определен момент потенциално може да възникне необходимост </w:t>
            </w:r>
            <w:r w:rsidR="00CF23E4">
              <w:t>от</w:t>
            </w:r>
            <w:r>
              <w:t xml:space="preserve"> извършване на допълнителни анализи.</w:t>
            </w:r>
          </w:p>
        </w:tc>
        <w:tc>
          <w:tcPr>
            <w:tcW w:w="992" w:type="dxa"/>
            <w:tcBorders>
              <w:top w:val="single" w:sz="4" w:space="0" w:color="auto"/>
            </w:tcBorders>
          </w:tcPr>
          <w:p w14:paraId="07CE764B" w14:textId="614FCB72" w:rsidR="00D7181A" w:rsidRPr="00DD635E" w:rsidRDefault="00DD635E" w:rsidP="00B422BD">
            <w:pPr>
              <w:jc w:val="center"/>
            </w:pPr>
            <w:r>
              <w:t>2.3.7</w:t>
            </w:r>
          </w:p>
        </w:tc>
      </w:tr>
      <w:tr w:rsidR="00D7181A" w:rsidRPr="007502CF" w14:paraId="3CBB1553" w14:textId="77777777" w:rsidTr="006628CC">
        <w:trPr>
          <w:jc w:val="center"/>
        </w:trPr>
        <w:tc>
          <w:tcPr>
            <w:tcW w:w="497" w:type="dxa"/>
            <w:tcBorders>
              <w:top w:val="single" w:sz="4" w:space="0" w:color="auto"/>
            </w:tcBorders>
          </w:tcPr>
          <w:p w14:paraId="2EAC7FAA" w14:textId="2C0B92C9" w:rsidR="00D7181A" w:rsidRDefault="00D7181A" w:rsidP="00B422BD">
            <w:pPr>
              <w:jc w:val="center"/>
              <w:rPr>
                <w:highlight w:val="yellow"/>
              </w:rPr>
            </w:pPr>
            <w:r>
              <w:rPr>
                <w:rFonts w:ascii="Calibri" w:hAnsi="Calibri"/>
                <w:color w:val="000000"/>
              </w:rPr>
              <w:t>13</w:t>
            </w:r>
          </w:p>
        </w:tc>
        <w:tc>
          <w:tcPr>
            <w:tcW w:w="2338" w:type="dxa"/>
            <w:tcBorders>
              <w:top w:val="single" w:sz="4" w:space="0" w:color="auto"/>
            </w:tcBorders>
          </w:tcPr>
          <w:p w14:paraId="2AAA65E4" w14:textId="3F33C080" w:rsidR="00D7181A" w:rsidRPr="007502CF" w:rsidRDefault="00D7181A" w:rsidP="00D7181A">
            <w:pPr>
              <w:rPr>
                <w:highlight w:val="yellow"/>
              </w:rPr>
            </w:pPr>
            <w:r>
              <w:rPr>
                <w:sz w:val="21"/>
              </w:rPr>
              <w:t>Оценка на безопасността</w:t>
            </w:r>
          </w:p>
        </w:tc>
        <w:tc>
          <w:tcPr>
            <w:tcW w:w="1560" w:type="dxa"/>
            <w:tcBorders>
              <w:top w:val="single" w:sz="4" w:space="0" w:color="auto"/>
            </w:tcBorders>
          </w:tcPr>
          <w:p w14:paraId="66139A17" w14:textId="51D9874F" w:rsidR="00D7181A" w:rsidRPr="003168AF" w:rsidRDefault="00DE5355" w:rsidP="00B422BD">
            <w:pPr>
              <w:jc w:val="center"/>
            </w:pPr>
            <w:r>
              <w:t>OR, EP</w:t>
            </w:r>
          </w:p>
        </w:tc>
        <w:tc>
          <w:tcPr>
            <w:tcW w:w="4252" w:type="dxa"/>
            <w:tcBorders>
              <w:top w:val="single" w:sz="4" w:space="0" w:color="auto"/>
            </w:tcBorders>
          </w:tcPr>
          <w:p w14:paraId="1B2036D4" w14:textId="0E6D5365" w:rsidR="00B716FE" w:rsidRDefault="00317754" w:rsidP="00B716FE">
            <w:pPr>
              <w:rPr>
                <w:rFonts w:eastAsiaTheme="minorHAnsi" w:cstheme="minorBidi"/>
              </w:rPr>
            </w:pPr>
            <w:r>
              <w:t>Това е отговорност на Собственика / Лицензианта / Регулаторния орган.</w:t>
            </w:r>
          </w:p>
          <w:p w14:paraId="190B6263" w14:textId="2E44A953" w:rsidR="004675BA" w:rsidRPr="004675BA" w:rsidRDefault="004675BA" w:rsidP="00B716FE">
            <w:pPr>
              <w:rPr>
                <w:shd w:val="clear" w:color="auto" w:fill="FFFFFF"/>
              </w:rPr>
            </w:pPr>
            <w:r>
              <w:rPr>
                <w:shd w:val="clear" w:color="auto" w:fill="FFFFFF"/>
              </w:rPr>
              <w:t xml:space="preserve">Бъдещият оператор ще бъде подпомаган от Уестингхаус при извършването на специфичните за площадката оценки на безопасността, като се започне с предварителния отчет за анализ на </w:t>
            </w:r>
            <w:r>
              <w:rPr>
                <w:shd w:val="clear" w:color="auto" w:fill="FFFFFF"/>
              </w:rPr>
              <w:lastRenderedPageBreak/>
              <w:t xml:space="preserve">безопасността, подкрепящ заявлението за получаване на </w:t>
            </w:r>
            <w:r w:rsidR="00CF23E4">
              <w:rPr>
                <w:shd w:val="clear" w:color="auto" w:fill="FFFFFF"/>
              </w:rPr>
              <w:t>разрешение</w:t>
            </w:r>
            <w:r>
              <w:rPr>
                <w:shd w:val="clear" w:color="auto" w:fill="FFFFFF"/>
              </w:rPr>
              <w:t xml:space="preserve"> за строителство. Този предварителен анализ на безопасността показва, че конструкцията на AP1000 е безопасна технология и отговаря на всички установени изисквания.</w:t>
            </w:r>
          </w:p>
        </w:tc>
        <w:tc>
          <w:tcPr>
            <w:tcW w:w="992" w:type="dxa"/>
            <w:tcBorders>
              <w:top w:val="single" w:sz="4" w:space="0" w:color="auto"/>
            </w:tcBorders>
          </w:tcPr>
          <w:p w14:paraId="64CA375F" w14:textId="2B70E893" w:rsidR="00D7181A" w:rsidRPr="00DD635E" w:rsidRDefault="00DD635E" w:rsidP="00B422BD">
            <w:pPr>
              <w:jc w:val="center"/>
            </w:pPr>
            <w:r>
              <w:lastRenderedPageBreak/>
              <w:t>2.3.8</w:t>
            </w:r>
          </w:p>
        </w:tc>
      </w:tr>
      <w:tr w:rsidR="00817924" w:rsidRPr="007502CF" w14:paraId="4EE55045" w14:textId="77777777" w:rsidTr="006628CC">
        <w:trPr>
          <w:jc w:val="center"/>
        </w:trPr>
        <w:tc>
          <w:tcPr>
            <w:tcW w:w="497" w:type="dxa"/>
            <w:tcBorders>
              <w:top w:val="single" w:sz="4" w:space="0" w:color="auto"/>
            </w:tcBorders>
          </w:tcPr>
          <w:p w14:paraId="55D742A0" w14:textId="530AE6AF" w:rsidR="00817924" w:rsidRDefault="00817924" w:rsidP="00B422BD">
            <w:pPr>
              <w:jc w:val="center"/>
              <w:rPr>
                <w:highlight w:val="yellow"/>
              </w:rPr>
            </w:pPr>
            <w:r>
              <w:rPr>
                <w:rFonts w:ascii="Calibri" w:hAnsi="Calibri"/>
                <w:color w:val="000000"/>
              </w:rPr>
              <w:t>14</w:t>
            </w:r>
          </w:p>
        </w:tc>
        <w:tc>
          <w:tcPr>
            <w:tcW w:w="2338" w:type="dxa"/>
            <w:tcBorders>
              <w:top w:val="single" w:sz="4" w:space="0" w:color="auto"/>
            </w:tcBorders>
          </w:tcPr>
          <w:p w14:paraId="3E23DB74" w14:textId="1B20A5DA" w:rsidR="00817924" w:rsidRPr="007502CF" w:rsidRDefault="00817924" w:rsidP="00817924">
            <w:pPr>
              <w:rPr>
                <w:highlight w:val="yellow"/>
              </w:rPr>
            </w:pPr>
            <w:r>
              <w:rPr>
                <w:sz w:val="21"/>
              </w:rPr>
              <w:t xml:space="preserve">Мониторинг с цел проверка на </w:t>
            </w:r>
            <w:r w:rsidR="00CF23E4">
              <w:rPr>
                <w:sz w:val="21"/>
              </w:rPr>
              <w:t>съответствията</w:t>
            </w:r>
          </w:p>
        </w:tc>
        <w:tc>
          <w:tcPr>
            <w:tcW w:w="1560" w:type="dxa"/>
            <w:tcBorders>
              <w:top w:val="single" w:sz="4" w:space="0" w:color="auto"/>
            </w:tcBorders>
          </w:tcPr>
          <w:p w14:paraId="00A6B721" w14:textId="7DED9179" w:rsidR="00817924" w:rsidRPr="003168AF" w:rsidRDefault="00DE5355" w:rsidP="00B422BD">
            <w:pPr>
              <w:jc w:val="center"/>
            </w:pPr>
            <w:r>
              <w:t>OR, EP</w:t>
            </w:r>
          </w:p>
        </w:tc>
        <w:tc>
          <w:tcPr>
            <w:tcW w:w="4252" w:type="dxa"/>
            <w:tcBorders>
              <w:top w:val="single" w:sz="4" w:space="0" w:color="auto"/>
            </w:tcBorders>
          </w:tcPr>
          <w:p w14:paraId="16CC1321" w14:textId="6005C48E" w:rsidR="00817924" w:rsidRPr="007502CF" w:rsidRDefault="00317754" w:rsidP="00817924">
            <w:pPr>
              <w:rPr>
                <w:highlight w:val="yellow"/>
              </w:rPr>
            </w:pPr>
            <w:r>
              <w:t>Това е отговорност на Собственика / Лицензианта / Регулаторния орган.</w:t>
            </w:r>
          </w:p>
        </w:tc>
        <w:tc>
          <w:tcPr>
            <w:tcW w:w="992" w:type="dxa"/>
            <w:tcBorders>
              <w:top w:val="single" w:sz="4" w:space="0" w:color="auto"/>
            </w:tcBorders>
          </w:tcPr>
          <w:p w14:paraId="2E069DED" w14:textId="36DF4141" w:rsidR="00817924" w:rsidRPr="00DD635E" w:rsidRDefault="00DD635E" w:rsidP="00B422BD">
            <w:pPr>
              <w:jc w:val="center"/>
            </w:pPr>
            <w:r>
              <w:t>2.3.9</w:t>
            </w:r>
          </w:p>
        </w:tc>
      </w:tr>
      <w:tr w:rsidR="00817924" w:rsidRPr="007502CF" w14:paraId="65CAC9B7" w14:textId="77777777" w:rsidTr="006628CC">
        <w:trPr>
          <w:jc w:val="center"/>
        </w:trPr>
        <w:tc>
          <w:tcPr>
            <w:tcW w:w="497" w:type="dxa"/>
            <w:tcBorders>
              <w:top w:val="single" w:sz="4" w:space="0" w:color="auto"/>
            </w:tcBorders>
          </w:tcPr>
          <w:p w14:paraId="0B379B47" w14:textId="6440B438" w:rsidR="00817924" w:rsidRDefault="00817924" w:rsidP="00B422BD">
            <w:pPr>
              <w:jc w:val="center"/>
              <w:rPr>
                <w:highlight w:val="yellow"/>
              </w:rPr>
            </w:pPr>
            <w:r>
              <w:rPr>
                <w:rFonts w:ascii="Calibri" w:hAnsi="Calibri"/>
                <w:color w:val="000000"/>
              </w:rPr>
              <w:t>15</w:t>
            </w:r>
          </w:p>
        </w:tc>
        <w:tc>
          <w:tcPr>
            <w:tcW w:w="2338" w:type="dxa"/>
            <w:tcBorders>
              <w:top w:val="single" w:sz="4" w:space="0" w:color="auto"/>
            </w:tcBorders>
          </w:tcPr>
          <w:p w14:paraId="6F4CB88C" w14:textId="1BB6500B" w:rsidR="00817924" w:rsidRPr="007502CF" w:rsidRDefault="00817924" w:rsidP="00817924">
            <w:pPr>
              <w:rPr>
                <w:highlight w:val="yellow"/>
              </w:rPr>
            </w:pPr>
            <w:r>
              <w:rPr>
                <w:sz w:val="21"/>
              </w:rPr>
              <w:t>Предотвратяване и смекчаване на последиците от аварии</w:t>
            </w:r>
          </w:p>
        </w:tc>
        <w:tc>
          <w:tcPr>
            <w:tcW w:w="1560" w:type="dxa"/>
            <w:tcBorders>
              <w:top w:val="single" w:sz="4" w:space="0" w:color="auto"/>
            </w:tcBorders>
          </w:tcPr>
          <w:p w14:paraId="6D50D72E" w14:textId="06B5CE9D" w:rsidR="00817924" w:rsidRPr="003168AF" w:rsidRDefault="00870241" w:rsidP="00B422BD">
            <w:pPr>
              <w:jc w:val="center"/>
            </w:pPr>
            <w:r>
              <w:t>COM, OR</w:t>
            </w:r>
          </w:p>
        </w:tc>
        <w:tc>
          <w:tcPr>
            <w:tcW w:w="4252" w:type="dxa"/>
            <w:tcBorders>
              <w:top w:val="single" w:sz="4" w:space="0" w:color="auto"/>
            </w:tcBorders>
          </w:tcPr>
          <w:p w14:paraId="14425FA5" w14:textId="6182732E" w:rsidR="00317754" w:rsidRDefault="00317754" w:rsidP="00817924">
            <w:pPr>
              <w:rPr>
                <w:rFonts w:eastAsiaTheme="minorHAnsi" w:cstheme="minorBidi"/>
                <w:kern w:val="0"/>
              </w:rPr>
            </w:pPr>
            <w:r>
              <w:t>Проектът на AP1000 съответства на тези изисквания, които се смятат за изисквания към проектирането. Не е установено несъответствие.</w:t>
            </w:r>
          </w:p>
          <w:p w14:paraId="515BF785" w14:textId="1F5D5FDE" w:rsidR="00817924" w:rsidRPr="007502CF" w:rsidRDefault="00317754" w:rsidP="00817924">
            <w:pPr>
              <w:rPr>
                <w:highlight w:val="yellow"/>
              </w:rPr>
            </w:pPr>
            <w:r>
              <w:t>Това е отговорност на Собственика / Лицензианта.</w:t>
            </w:r>
          </w:p>
        </w:tc>
        <w:tc>
          <w:tcPr>
            <w:tcW w:w="992" w:type="dxa"/>
            <w:tcBorders>
              <w:top w:val="single" w:sz="4" w:space="0" w:color="auto"/>
            </w:tcBorders>
          </w:tcPr>
          <w:p w14:paraId="5033943D" w14:textId="48412930" w:rsidR="00817924" w:rsidRPr="00DD635E" w:rsidRDefault="00DD635E" w:rsidP="00B422BD">
            <w:pPr>
              <w:jc w:val="center"/>
            </w:pPr>
            <w:r>
              <w:t>2.3.10</w:t>
            </w:r>
          </w:p>
        </w:tc>
      </w:tr>
      <w:tr w:rsidR="00817924" w:rsidRPr="007502CF" w14:paraId="5A9F8413" w14:textId="77777777" w:rsidTr="006628CC">
        <w:trPr>
          <w:jc w:val="center"/>
        </w:trPr>
        <w:tc>
          <w:tcPr>
            <w:tcW w:w="497" w:type="dxa"/>
            <w:tcBorders>
              <w:top w:val="single" w:sz="4" w:space="0" w:color="auto"/>
            </w:tcBorders>
          </w:tcPr>
          <w:p w14:paraId="299F09E6" w14:textId="214EB0B9" w:rsidR="00817924" w:rsidRDefault="00817924" w:rsidP="00B422BD">
            <w:pPr>
              <w:jc w:val="center"/>
              <w:rPr>
                <w:highlight w:val="yellow"/>
              </w:rPr>
            </w:pPr>
            <w:r>
              <w:rPr>
                <w:rFonts w:ascii="Calibri" w:hAnsi="Calibri"/>
                <w:color w:val="000000"/>
              </w:rPr>
              <w:t>16</w:t>
            </w:r>
          </w:p>
        </w:tc>
        <w:tc>
          <w:tcPr>
            <w:tcW w:w="2338" w:type="dxa"/>
            <w:tcBorders>
              <w:top w:val="single" w:sz="4" w:space="0" w:color="auto"/>
            </w:tcBorders>
          </w:tcPr>
          <w:p w14:paraId="554B7E6A" w14:textId="71B9FB6D" w:rsidR="00817924" w:rsidRPr="007502CF" w:rsidRDefault="00817924" w:rsidP="00817924">
            <w:pPr>
              <w:rPr>
                <w:highlight w:val="yellow"/>
              </w:rPr>
            </w:pPr>
            <w:r>
              <w:rPr>
                <w:sz w:val="21"/>
              </w:rPr>
              <w:t>Разследвания и обратна връзка за информация по експлоатационния опит</w:t>
            </w:r>
          </w:p>
        </w:tc>
        <w:tc>
          <w:tcPr>
            <w:tcW w:w="1560" w:type="dxa"/>
            <w:tcBorders>
              <w:top w:val="single" w:sz="4" w:space="0" w:color="auto"/>
            </w:tcBorders>
          </w:tcPr>
          <w:p w14:paraId="4C3D9BBF" w14:textId="75E4A31F" w:rsidR="00817924" w:rsidRPr="003168AF" w:rsidRDefault="00DE5355" w:rsidP="00B422BD">
            <w:pPr>
              <w:jc w:val="center"/>
            </w:pPr>
            <w:r>
              <w:t>OR</w:t>
            </w:r>
          </w:p>
        </w:tc>
        <w:tc>
          <w:tcPr>
            <w:tcW w:w="4252" w:type="dxa"/>
            <w:tcBorders>
              <w:top w:val="single" w:sz="4" w:space="0" w:color="auto"/>
            </w:tcBorders>
          </w:tcPr>
          <w:p w14:paraId="728CD629" w14:textId="68C305E8" w:rsidR="00817924" w:rsidRPr="007502CF" w:rsidRDefault="00317754" w:rsidP="00817924">
            <w:pPr>
              <w:rPr>
                <w:highlight w:val="yellow"/>
              </w:rPr>
            </w:pPr>
            <w:r>
              <w:t>Това е отговорност на Собственика / Лицензианта.</w:t>
            </w:r>
          </w:p>
        </w:tc>
        <w:tc>
          <w:tcPr>
            <w:tcW w:w="992" w:type="dxa"/>
            <w:tcBorders>
              <w:top w:val="single" w:sz="4" w:space="0" w:color="auto"/>
            </w:tcBorders>
          </w:tcPr>
          <w:p w14:paraId="2000D2B1" w14:textId="7BD667D0" w:rsidR="00817924" w:rsidRPr="00DD635E" w:rsidRDefault="00DD635E" w:rsidP="00B422BD">
            <w:pPr>
              <w:jc w:val="center"/>
            </w:pPr>
            <w:r>
              <w:t>2.3.11</w:t>
            </w:r>
          </w:p>
        </w:tc>
      </w:tr>
      <w:tr w:rsidR="00817924" w:rsidRPr="007502CF" w14:paraId="432EE346" w14:textId="77777777" w:rsidTr="006628CC">
        <w:trPr>
          <w:jc w:val="center"/>
        </w:trPr>
        <w:tc>
          <w:tcPr>
            <w:tcW w:w="497" w:type="dxa"/>
            <w:tcBorders>
              <w:top w:val="single" w:sz="4" w:space="0" w:color="auto"/>
            </w:tcBorders>
          </w:tcPr>
          <w:p w14:paraId="172E974D" w14:textId="62DE5DA8" w:rsidR="00817924" w:rsidRDefault="00817924" w:rsidP="00B422BD">
            <w:pPr>
              <w:jc w:val="center"/>
              <w:rPr>
                <w:highlight w:val="yellow"/>
              </w:rPr>
            </w:pPr>
            <w:r>
              <w:rPr>
                <w:rFonts w:ascii="Calibri" w:hAnsi="Calibri"/>
                <w:color w:val="000000"/>
              </w:rPr>
              <w:t>17</w:t>
            </w:r>
          </w:p>
        </w:tc>
        <w:tc>
          <w:tcPr>
            <w:tcW w:w="2338" w:type="dxa"/>
            <w:tcBorders>
              <w:top w:val="single" w:sz="4" w:space="0" w:color="auto"/>
            </w:tcBorders>
          </w:tcPr>
          <w:p w14:paraId="716F196B" w14:textId="7782DDD2" w:rsidR="00817924" w:rsidRPr="007502CF" w:rsidRDefault="00817924" w:rsidP="00817924">
            <w:pPr>
              <w:rPr>
                <w:highlight w:val="yellow"/>
              </w:rPr>
            </w:pPr>
            <w:r>
              <w:rPr>
                <w:sz w:val="21"/>
              </w:rPr>
              <w:t>Генер</w:t>
            </w:r>
            <w:r w:rsidR="00D11C9D">
              <w:rPr>
                <w:sz w:val="21"/>
              </w:rPr>
              <w:t>атори</w:t>
            </w:r>
            <w:r>
              <w:rPr>
                <w:sz w:val="21"/>
              </w:rPr>
              <w:t xml:space="preserve"> на </w:t>
            </w:r>
            <w:r w:rsidR="00D11C9D">
              <w:rPr>
                <w:sz w:val="21"/>
              </w:rPr>
              <w:t>йонизиращи лъчения</w:t>
            </w:r>
            <w:r>
              <w:rPr>
                <w:sz w:val="21"/>
              </w:rPr>
              <w:t xml:space="preserve"> и радиоактивни източници</w:t>
            </w:r>
          </w:p>
        </w:tc>
        <w:tc>
          <w:tcPr>
            <w:tcW w:w="1560" w:type="dxa"/>
            <w:tcBorders>
              <w:top w:val="single" w:sz="4" w:space="0" w:color="auto"/>
            </w:tcBorders>
          </w:tcPr>
          <w:p w14:paraId="4E2F23C4" w14:textId="435305BD" w:rsidR="00817924" w:rsidRPr="003168AF" w:rsidRDefault="00817924" w:rsidP="00B422BD">
            <w:pPr>
              <w:jc w:val="center"/>
            </w:pPr>
            <w:r>
              <w:t>NAP</w:t>
            </w:r>
          </w:p>
        </w:tc>
        <w:tc>
          <w:tcPr>
            <w:tcW w:w="4252" w:type="dxa"/>
            <w:tcBorders>
              <w:top w:val="single" w:sz="4" w:space="0" w:color="auto"/>
            </w:tcBorders>
          </w:tcPr>
          <w:p w14:paraId="017C06D3" w14:textId="59C27CC9" w:rsidR="00F4428F" w:rsidRPr="007502CF" w:rsidRDefault="00EE5FB4" w:rsidP="00817924">
            <w:pPr>
              <w:rPr>
                <w:highlight w:val="yellow"/>
              </w:rPr>
            </w:pPr>
            <w:r>
              <w:t>Това не е приложимо за технологията.</w:t>
            </w:r>
          </w:p>
        </w:tc>
        <w:tc>
          <w:tcPr>
            <w:tcW w:w="992" w:type="dxa"/>
            <w:tcBorders>
              <w:top w:val="single" w:sz="4" w:space="0" w:color="auto"/>
            </w:tcBorders>
          </w:tcPr>
          <w:p w14:paraId="0E1E805B" w14:textId="436A7A8A" w:rsidR="00817924" w:rsidRPr="00DD635E" w:rsidRDefault="00DD635E" w:rsidP="00B422BD">
            <w:pPr>
              <w:jc w:val="center"/>
            </w:pPr>
            <w:r>
              <w:t>2.3.12</w:t>
            </w:r>
          </w:p>
        </w:tc>
      </w:tr>
      <w:tr w:rsidR="00F4428F" w:rsidRPr="007502CF" w14:paraId="0E3DB3E4" w14:textId="77777777" w:rsidTr="006628CC">
        <w:trPr>
          <w:jc w:val="center"/>
        </w:trPr>
        <w:tc>
          <w:tcPr>
            <w:tcW w:w="497" w:type="dxa"/>
            <w:tcBorders>
              <w:top w:val="single" w:sz="4" w:space="0" w:color="auto"/>
            </w:tcBorders>
          </w:tcPr>
          <w:p w14:paraId="134338BF" w14:textId="07BBD592" w:rsidR="00F4428F" w:rsidRDefault="00F4428F" w:rsidP="00F4428F">
            <w:pPr>
              <w:jc w:val="center"/>
              <w:rPr>
                <w:highlight w:val="yellow"/>
              </w:rPr>
            </w:pPr>
            <w:r>
              <w:rPr>
                <w:rFonts w:ascii="Calibri" w:hAnsi="Calibri"/>
                <w:color w:val="000000"/>
              </w:rPr>
              <w:t>18</w:t>
            </w:r>
          </w:p>
        </w:tc>
        <w:tc>
          <w:tcPr>
            <w:tcW w:w="2338" w:type="dxa"/>
            <w:tcBorders>
              <w:top w:val="single" w:sz="4" w:space="0" w:color="auto"/>
            </w:tcBorders>
          </w:tcPr>
          <w:p w14:paraId="14E4A792" w14:textId="7284BB0B" w:rsidR="00F4428F" w:rsidRPr="007502CF" w:rsidRDefault="00F4428F" w:rsidP="00F4428F">
            <w:pPr>
              <w:rPr>
                <w:highlight w:val="yellow"/>
              </w:rPr>
            </w:pPr>
            <w:r>
              <w:rPr>
                <w:sz w:val="21"/>
              </w:rPr>
              <w:t xml:space="preserve">Образни изследвания с използване на </w:t>
            </w:r>
            <w:r w:rsidR="000E4085">
              <w:rPr>
                <w:sz w:val="21"/>
              </w:rPr>
              <w:t>йонизиращи лъчения</w:t>
            </w:r>
            <w:r>
              <w:rPr>
                <w:sz w:val="21"/>
              </w:rPr>
              <w:t xml:space="preserve"> за цели, различни от медицинска диагностика, медицинско лечение </w:t>
            </w:r>
            <w:r>
              <w:rPr>
                <w:sz w:val="21"/>
              </w:rPr>
              <w:lastRenderedPageBreak/>
              <w:t>или биомедицински изследвания</w:t>
            </w:r>
          </w:p>
        </w:tc>
        <w:tc>
          <w:tcPr>
            <w:tcW w:w="1560" w:type="dxa"/>
            <w:tcBorders>
              <w:top w:val="single" w:sz="4" w:space="0" w:color="auto"/>
            </w:tcBorders>
          </w:tcPr>
          <w:p w14:paraId="22FD37A6" w14:textId="6CAB1FAD" w:rsidR="00F4428F" w:rsidRPr="003168AF" w:rsidRDefault="68360882" w:rsidP="00F4428F">
            <w:pPr>
              <w:jc w:val="center"/>
            </w:pPr>
            <w:r>
              <w:lastRenderedPageBreak/>
              <w:t>NAP</w:t>
            </w:r>
          </w:p>
        </w:tc>
        <w:tc>
          <w:tcPr>
            <w:tcW w:w="4252" w:type="dxa"/>
            <w:tcBorders>
              <w:top w:val="single" w:sz="4" w:space="0" w:color="auto"/>
            </w:tcBorders>
          </w:tcPr>
          <w:p w14:paraId="5F093FE9" w14:textId="5DDC5AAD" w:rsidR="008C4FDA" w:rsidRPr="007502CF" w:rsidRDefault="567A5A15" w:rsidP="12D5F94C">
            <w:pPr>
              <w:rPr>
                <w:highlight w:val="yellow"/>
              </w:rPr>
            </w:pPr>
            <w:r>
              <w:t xml:space="preserve"> Това не е приложимо за технологията.</w:t>
            </w:r>
          </w:p>
          <w:p w14:paraId="674CAA34" w14:textId="74B3B053" w:rsidR="008C4FDA" w:rsidRPr="007502CF" w:rsidRDefault="008C4FDA" w:rsidP="00F4428F">
            <w:pPr>
              <w:rPr>
                <w:rFonts w:eastAsiaTheme="minorEastAsia" w:cstheme="minorBidi"/>
              </w:rPr>
            </w:pPr>
          </w:p>
        </w:tc>
        <w:tc>
          <w:tcPr>
            <w:tcW w:w="992" w:type="dxa"/>
            <w:tcBorders>
              <w:top w:val="single" w:sz="4" w:space="0" w:color="auto"/>
            </w:tcBorders>
          </w:tcPr>
          <w:p w14:paraId="032A7100" w14:textId="37B58E8A" w:rsidR="00F4428F" w:rsidRPr="00DD635E" w:rsidRDefault="00DD635E" w:rsidP="00F4428F">
            <w:pPr>
              <w:jc w:val="center"/>
            </w:pPr>
            <w:r>
              <w:t>2.3.13</w:t>
            </w:r>
          </w:p>
        </w:tc>
      </w:tr>
      <w:tr w:rsidR="00F4428F" w:rsidRPr="007502CF" w14:paraId="47ABEBA2" w14:textId="77777777" w:rsidTr="006628CC">
        <w:trPr>
          <w:jc w:val="center"/>
        </w:trPr>
        <w:tc>
          <w:tcPr>
            <w:tcW w:w="497" w:type="dxa"/>
            <w:tcBorders>
              <w:top w:val="single" w:sz="4" w:space="0" w:color="auto"/>
            </w:tcBorders>
          </w:tcPr>
          <w:p w14:paraId="20E4207F" w14:textId="4BFCE5DB" w:rsidR="00F4428F" w:rsidRDefault="00F4428F" w:rsidP="00F4428F">
            <w:pPr>
              <w:jc w:val="center"/>
              <w:rPr>
                <w:highlight w:val="yellow"/>
              </w:rPr>
            </w:pPr>
            <w:r>
              <w:rPr>
                <w:rFonts w:ascii="Calibri" w:hAnsi="Calibri"/>
                <w:color w:val="000000"/>
              </w:rPr>
              <w:t>19</w:t>
            </w:r>
          </w:p>
        </w:tc>
        <w:tc>
          <w:tcPr>
            <w:tcW w:w="2338" w:type="dxa"/>
            <w:tcBorders>
              <w:top w:val="single" w:sz="4" w:space="0" w:color="auto"/>
            </w:tcBorders>
          </w:tcPr>
          <w:p w14:paraId="6ABF5E9B" w14:textId="01F7C6B4" w:rsidR="00F4428F" w:rsidRPr="007502CF" w:rsidRDefault="00F4428F" w:rsidP="00F4428F">
            <w:pPr>
              <w:rPr>
                <w:highlight w:val="yellow"/>
              </w:rPr>
            </w:pPr>
            <w:r>
              <w:rPr>
                <w:sz w:val="21"/>
              </w:rPr>
              <w:t>Отговорности на регулаторния орган по отношение на професионалното облъчване.</w:t>
            </w:r>
          </w:p>
        </w:tc>
        <w:tc>
          <w:tcPr>
            <w:tcW w:w="1560" w:type="dxa"/>
            <w:tcBorders>
              <w:top w:val="single" w:sz="4" w:space="0" w:color="auto"/>
            </w:tcBorders>
          </w:tcPr>
          <w:p w14:paraId="4A9D6289" w14:textId="45253456" w:rsidR="00F4428F" w:rsidRPr="003168AF" w:rsidRDefault="008F7B4D" w:rsidP="00F4428F">
            <w:pPr>
              <w:jc w:val="center"/>
            </w:pPr>
            <w:r>
              <w:t>EP</w:t>
            </w:r>
          </w:p>
        </w:tc>
        <w:tc>
          <w:tcPr>
            <w:tcW w:w="4252" w:type="dxa"/>
            <w:tcBorders>
              <w:top w:val="single" w:sz="4" w:space="0" w:color="auto"/>
            </w:tcBorders>
          </w:tcPr>
          <w:p w14:paraId="12D9EFC6" w14:textId="686F0E17" w:rsidR="00F4428F" w:rsidRPr="007502CF" w:rsidRDefault="00317754" w:rsidP="00F4428F">
            <w:pPr>
              <w:rPr>
                <w:highlight w:val="yellow"/>
              </w:rPr>
            </w:pPr>
            <w:r>
              <w:t>Това е отговорност на Правителството / Регулаторния орган.</w:t>
            </w:r>
          </w:p>
        </w:tc>
        <w:tc>
          <w:tcPr>
            <w:tcW w:w="992" w:type="dxa"/>
            <w:tcBorders>
              <w:top w:val="single" w:sz="4" w:space="0" w:color="auto"/>
            </w:tcBorders>
          </w:tcPr>
          <w:p w14:paraId="4DD035C7" w14:textId="1448E58E" w:rsidR="00F4428F" w:rsidRPr="00DD635E" w:rsidRDefault="00DD635E" w:rsidP="00F4428F">
            <w:pPr>
              <w:jc w:val="center"/>
            </w:pPr>
            <w:r>
              <w:t>2.3.14</w:t>
            </w:r>
          </w:p>
        </w:tc>
      </w:tr>
      <w:tr w:rsidR="00F4428F" w:rsidRPr="007502CF" w14:paraId="25529457" w14:textId="77777777" w:rsidTr="006628CC">
        <w:trPr>
          <w:jc w:val="center"/>
        </w:trPr>
        <w:tc>
          <w:tcPr>
            <w:tcW w:w="497" w:type="dxa"/>
            <w:tcBorders>
              <w:top w:val="single" w:sz="4" w:space="0" w:color="auto"/>
            </w:tcBorders>
          </w:tcPr>
          <w:p w14:paraId="0CC645C7" w14:textId="400AD5A8" w:rsidR="00F4428F" w:rsidRDefault="00F4428F" w:rsidP="00F4428F">
            <w:pPr>
              <w:jc w:val="center"/>
              <w:rPr>
                <w:highlight w:val="yellow"/>
              </w:rPr>
            </w:pPr>
            <w:r>
              <w:rPr>
                <w:rFonts w:ascii="Calibri" w:hAnsi="Calibri"/>
                <w:color w:val="000000"/>
              </w:rPr>
              <w:t>20</w:t>
            </w:r>
          </w:p>
        </w:tc>
        <w:tc>
          <w:tcPr>
            <w:tcW w:w="2338" w:type="dxa"/>
            <w:tcBorders>
              <w:top w:val="single" w:sz="4" w:space="0" w:color="auto"/>
            </w:tcBorders>
          </w:tcPr>
          <w:p w14:paraId="2D6F992B" w14:textId="10423808" w:rsidR="00F4428F" w:rsidRPr="007502CF" w:rsidRDefault="00F4428F" w:rsidP="00F4428F">
            <w:pPr>
              <w:rPr>
                <w:highlight w:val="yellow"/>
              </w:rPr>
            </w:pPr>
            <w:r>
              <w:rPr>
                <w:sz w:val="21"/>
              </w:rPr>
              <w:t>Изисквания за мониторинг и регистриране на професионални облъчвания</w:t>
            </w:r>
          </w:p>
        </w:tc>
        <w:tc>
          <w:tcPr>
            <w:tcW w:w="1560" w:type="dxa"/>
            <w:tcBorders>
              <w:top w:val="single" w:sz="4" w:space="0" w:color="auto"/>
            </w:tcBorders>
          </w:tcPr>
          <w:p w14:paraId="2D53D11A" w14:textId="67BA5DA1" w:rsidR="00F4428F" w:rsidRPr="003168AF" w:rsidRDefault="00593EFC" w:rsidP="00F4428F">
            <w:pPr>
              <w:jc w:val="center"/>
            </w:pPr>
            <w:r>
              <w:t>EP</w:t>
            </w:r>
          </w:p>
        </w:tc>
        <w:tc>
          <w:tcPr>
            <w:tcW w:w="4252" w:type="dxa"/>
            <w:tcBorders>
              <w:top w:val="single" w:sz="4" w:space="0" w:color="auto"/>
            </w:tcBorders>
          </w:tcPr>
          <w:p w14:paraId="03899B0E" w14:textId="761D4A9D" w:rsidR="00F4428F" w:rsidRPr="007502CF" w:rsidRDefault="00E70076" w:rsidP="00F4428F">
            <w:pPr>
              <w:rPr>
                <w:highlight w:val="yellow"/>
              </w:rPr>
            </w:pPr>
            <w:r>
              <w:t>Това е отговорност на Регулаторния орган.</w:t>
            </w:r>
          </w:p>
        </w:tc>
        <w:tc>
          <w:tcPr>
            <w:tcW w:w="992" w:type="dxa"/>
            <w:tcBorders>
              <w:top w:val="single" w:sz="4" w:space="0" w:color="auto"/>
            </w:tcBorders>
          </w:tcPr>
          <w:p w14:paraId="510E1BF0" w14:textId="12E40BF2" w:rsidR="00DD635E" w:rsidRPr="00DD635E" w:rsidRDefault="00DD635E" w:rsidP="00DD635E">
            <w:pPr>
              <w:jc w:val="center"/>
            </w:pPr>
            <w:r>
              <w:t>2.3.15</w:t>
            </w:r>
          </w:p>
        </w:tc>
      </w:tr>
      <w:tr w:rsidR="00F4428F" w:rsidRPr="007502CF" w14:paraId="3E32E5F5" w14:textId="77777777" w:rsidTr="006628CC">
        <w:trPr>
          <w:jc w:val="center"/>
        </w:trPr>
        <w:tc>
          <w:tcPr>
            <w:tcW w:w="497" w:type="dxa"/>
            <w:tcBorders>
              <w:top w:val="single" w:sz="4" w:space="0" w:color="auto"/>
            </w:tcBorders>
          </w:tcPr>
          <w:p w14:paraId="1B7AFAEE" w14:textId="7AB3525D" w:rsidR="00F4428F" w:rsidRDefault="00F4428F" w:rsidP="00F4428F">
            <w:pPr>
              <w:jc w:val="center"/>
              <w:rPr>
                <w:highlight w:val="yellow"/>
              </w:rPr>
            </w:pPr>
            <w:r>
              <w:rPr>
                <w:rFonts w:ascii="Calibri" w:hAnsi="Calibri"/>
                <w:color w:val="000000"/>
              </w:rPr>
              <w:t>21</w:t>
            </w:r>
          </w:p>
        </w:tc>
        <w:tc>
          <w:tcPr>
            <w:tcW w:w="2338" w:type="dxa"/>
            <w:tcBorders>
              <w:top w:val="single" w:sz="4" w:space="0" w:color="auto"/>
            </w:tcBorders>
          </w:tcPr>
          <w:p w14:paraId="57F93E9F" w14:textId="69089BA4" w:rsidR="00F4428F" w:rsidRPr="007502CF" w:rsidRDefault="00F4428F" w:rsidP="00F4428F">
            <w:pPr>
              <w:rPr>
                <w:highlight w:val="yellow"/>
              </w:rPr>
            </w:pPr>
            <w:r>
              <w:rPr>
                <w:sz w:val="21"/>
              </w:rPr>
              <w:t xml:space="preserve">Отговорности на работодатели, регистрирани лица и лицензианти за защитата на </w:t>
            </w:r>
            <w:r w:rsidR="004B098C">
              <w:rPr>
                <w:sz w:val="21"/>
              </w:rPr>
              <w:t>персонала</w:t>
            </w:r>
          </w:p>
        </w:tc>
        <w:tc>
          <w:tcPr>
            <w:tcW w:w="1560" w:type="dxa"/>
            <w:tcBorders>
              <w:top w:val="single" w:sz="4" w:space="0" w:color="auto"/>
            </w:tcBorders>
          </w:tcPr>
          <w:p w14:paraId="0FE44284" w14:textId="23A14511" w:rsidR="00F4428F" w:rsidRPr="003168AF" w:rsidRDefault="00626733" w:rsidP="00F4428F">
            <w:pPr>
              <w:jc w:val="center"/>
            </w:pPr>
            <w:r>
              <w:t>CWO, OR, EP, NR</w:t>
            </w:r>
          </w:p>
        </w:tc>
        <w:tc>
          <w:tcPr>
            <w:tcW w:w="4252" w:type="dxa"/>
            <w:tcBorders>
              <w:top w:val="single" w:sz="4" w:space="0" w:color="auto"/>
            </w:tcBorders>
          </w:tcPr>
          <w:p w14:paraId="009AB4D3" w14:textId="62C57073" w:rsidR="00F4428F" w:rsidRDefault="00317754" w:rsidP="00F4428F">
            <w:pPr>
              <w:rPr>
                <w:rFonts w:eastAsiaTheme="minorEastAsia" w:cstheme="minorBidi"/>
                <w:kern w:val="0"/>
              </w:rPr>
            </w:pPr>
            <w:r>
              <w:t>Това е отговорност на Собственика / Лицензианта или/и други външни страни.</w:t>
            </w:r>
          </w:p>
          <w:p w14:paraId="42D872E2" w14:textId="7F6FCB62" w:rsidR="0043331C" w:rsidRPr="007502CF" w:rsidRDefault="0043331C" w:rsidP="00F4428F">
            <w:pPr>
              <w:rPr>
                <w:highlight w:val="yellow"/>
              </w:rPr>
            </w:pPr>
            <w:r>
              <w:t xml:space="preserve">Както е обяснено в Раздел 1.4 на тази оценка, настоящият проект на AP1000 е в състояние да изпълни това изискване при наличие на подходящи радиационни програми, въпреки че тези </w:t>
            </w:r>
            <w:r w:rsidR="004B098C">
              <w:t>граници</w:t>
            </w:r>
            <w:r>
              <w:t xml:space="preserve"> се различават от използваните в 10 CFR 20. По такъв начин, консервативно това се смята за CWO, тъй като в определен момент потенциално може да възникне необходимост </w:t>
            </w:r>
            <w:r w:rsidR="004B098C">
              <w:t>от</w:t>
            </w:r>
            <w:r>
              <w:t xml:space="preserve"> извършване на допълнителни анализи.</w:t>
            </w:r>
          </w:p>
        </w:tc>
        <w:tc>
          <w:tcPr>
            <w:tcW w:w="992" w:type="dxa"/>
            <w:tcBorders>
              <w:top w:val="single" w:sz="4" w:space="0" w:color="auto"/>
            </w:tcBorders>
          </w:tcPr>
          <w:p w14:paraId="04BC1309" w14:textId="293963B2" w:rsidR="00F4428F" w:rsidRPr="00DD635E" w:rsidRDefault="00DD635E" w:rsidP="00F4428F">
            <w:pPr>
              <w:jc w:val="center"/>
            </w:pPr>
            <w:r>
              <w:t>2.3.16</w:t>
            </w:r>
          </w:p>
        </w:tc>
      </w:tr>
      <w:tr w:rsidR="00F4428F" w:rsidRPr="007502CF" w14:paraId="71E1AFF2" w14:textId="77777777" w:rsidTr="006628CC">
        <w:trPr>
          <w:jc w:val="center"/>
        </w:trPr>
        <w:tc>
          <w:tcPr>
            <w:tcW w:w="497" w:type="dxa"/>
            <w:tcBorders>
              <w:top w:val="single" w:sz="4" w:space="0" w:color="auto"/>
            </w:tcBorders>
          </w:tcPr>
          <w:p w14:paraId="0428E97B" w14:textId="4C6BACCD" w:rsidR="00F4428F" w:rsidRDefault="00F4428F" w:rsidP="00F4428F">
            <w:pPr>
              <w:jc w:val="center"/>
              <w:rPr>
                <w:highlight w:val="yellow"/>
              </w:rPr>
            </w:pPr>
            <w:r>
              <w:rPr>
                <w:rFonts w:ascii="Calibri" w:hAnsi="Calibri"/>
                <w:color w:val="000000"/>
              </w:rPr>
              <w:t>22</w:t>
            </w:r>
          </w:p>
        </w:tc>
        <w:tc>
          <w:tcPr>
            <w:tcW w:w="2338" w:type="dxa"/>
            <w:tcBorders>
              <w:top w:val="single" w:sz="4" w:space="0" w:color="auto"/>
            </w:tcBorders>
          </w:tcPr>
          <w:p w14:paraId="3091D34D" w14:textId="7EDA58EC" w:rsidR="00F4428F" w:rsidRPr="007502CF" w:rsidRDefault="00F4428F" w:rsidP="00F4428F">
            <w:pPr>
              <w:rPr>
                <w:highlight w:val="yellow"/>
              </w:rPr>
            </w:pPr>
            <w:r>
              <w:rPr>
                <w:sz w:val="21"/>
              </w:rPr>
              <w:t xml:space="preserve">Спазване на изискванията от </w:t>
            </w:r>
            <w:r w:rsidR="004B098C">
              <w:rPr>
                <w:sz w:val="21"/>
              </w:rPr>
              <w:t>персонала</w:t>
            </w:r>
          </w:p>
        </w:tc>
        <w:tc>
          <w:tcPr>
            <w:tcW w:w="1560" w:type="dxa"/>
            <w:tcBorders>
              <w:top w:val="single" w:sz="4" w:space="0" w:color="auto"/>
            </w:tcBorders>
          </w:tcPr>
          <w:p w14:paraId="6563EC9D" w14:textId="4ABD1557" w:rsidR="00F4428F" w:rsidRPr="003168AF" w:rsidRDefault="00DE5355" w:rsidP="00F4428F">
            <w:pPr>
              <w:jc w:val="center"/>
            </w:pPr>
            <w:r>
              <w:t>OR</w:t>
            </w:r>
          </w:p>
        </w:tc>
        <w:tc>
          <w:tcPr>
            <w:tcW w:w="4252" w:type="dxa"/>
            <w:tcBorders>
              <w:top w:val="single" w:sz="4" w:space="0" w:color="auto"/>
            </w:tcBorders>
          </w:tcPr>
          <w:p w14:paraId="4579335A" w14:textId="1FA4EFD8" w:rsidR="00F4428F" w:rsidRPr="007502CF" w:rsidRDefault="00317754" w:rsidP="00F4428F">
            <w:pPr>
              <w:rPr>
                <w:highlight w:val="yellow"/>
              </w:rPr>
            </w:pPr>
            <w:r>
              <w:t>Това е отговорност на Собственика / Лицензианта.</w:t>
            </w:r>
          </w:p>
        </w:tc>
        <w:tc>
          <w:tcPr>
            <w:tcW w:w="992" w:type="dxa"/>
            <w:tcBorders>
              <w:top w:val="single" w:sz="4" w:space="0" w:color="auto"/>
            </w:tcBorders>
          </w:tcPr>
          <w:p w14:paraId="55B3E840" w14:textId="61FB674B" w:rsidR="00F4428F" w:rsidRPr="00DD635E" w:rsidRDefault="00DD635E" w:rsidP="00F4428F">
            <w:pPr>
              <w:jc w:val="center"/>
            </w:pPr>
            <w:r>
              <w:t>2.3.17</w:t>
            </w:r>
          </w:p>
        </w:tc>
      </w:tr>
      <w:tr w:rsidR="00F4428F" w:rsidRPr="007502CF" w14:paraId="4332FE13" w14:textId="77777777" w:rsidTr="006628CC">
        <w:trPr>
          <w:jc w:val="center"/>
        </w:trPr>
        <w:tc>
          <w:tcPr>
            <w:tcW w:w="497" w:type="dxa"/>
            <w:tcBorders>
              <w:top w:val="single" w:sz="4" w:space="0" w:color="auto"/>
            </w:tcBorders>
          </w:tcPr>
          <w:p w14:paraId="09A24898" w14:textId="59D1076B" w:rsidR="00F4428F" w:rsidRDefault="00F4428F" w:rsidP="00F4428F">
            <w:pPr>
              <w:jc w:val="center"/>
              <w:rPr>
                <w:highlight w:val="yellow"/>
              </w:rPr>
            </w:pPr>
            <w:r>
              <w:rPr>
                <w:rFonts w:ascii="Calibri" w:hAnsi="Calibri"/>
                <w:color w:val="000000"/>
              </w:rPr>
              <w:t>23</w:t>
            </w:r>
          </w:p>
        </w:tc>
        <w:tc>
          <w:tcPr>
            <w:tcW w:w="2338" w:type="dxa"/>
            <w:tcBorders>
              <w:top w:val="single" w:sz="4" w:space="0" w:color="auto"/>
            </w:tcBorders>
          </w:tcPr>
          <w:p w14:paraId="31C7B7D3" w14:textId="4BF3836D" w:rsidR="00F4428F" w:rsidRPr="007502CF" w:rsidRDefault="00F4428F" w:rsidP="00F4428F">
            <w:pPr>
              <w:rPr>
                <w:highlight w:val="yellow"/>
              </w:rPr>
            </w:pPr>
            <w:r>
              <w:rPr>
                <w:sz w:val="21"/>
              </w:rPr>
              <w:t>Сътрудничество между работодатели и регистрирани лица и лицензианти</w:t>
            </w:r>
          </w:p>
        </w:tc>
        <w:tc>
          <w:tcPr>
            <w:tcW w:w="1560" w:type="dxa"/>
            <w:tcBorders>
              <w:top w:val="single" w:sz="4" w:space="0" w:color="auto"/>
            </w:tcBorders>
          </w:tcPr>
          <w:p w14:paraId="55E3F3DD" w14:textId="7D2ACAF9" w:rsidR="00F4428F" w:rsidRPr="003168AF" w:rsidRDefault="00DE5355" w:rsidP="00F4428F">
            <w:pPr>
              <w:jc w:val="center"/>
            </w:pPr>
            <w:r>
              <w:t>OR, EP</w:t>
            </w:r>
          </w:p>
        </w:tc>
        <w:tc>
          <w:tcPr>
            <w:tcW w:w="4252" w:type="dxa"/>
            <w:tcBorders>
              <w:top w:val="single" w:sz="4" w:space="0" w:color="auto"/>
            </w:tcBorders>
          </w:tcPr>
          <w:p w14:paraId="250F59CD" w14:textId="1A3AC360" w:rsidR="00F4428F" w:rsidRPr="007502CF" w:rsidRDefault="00317754" w:rsidP="00F4428F">
            <w:pPr>
              <w:rPr>
                <w:highlight w:val="yellow"/>
              </w:rPr>
            </w:pPr>
            <w:r>
              <w:t>Това е отговорност на Собственика / Лицензианта.</w:t>
            </w:r>
          </w:p>
        </w:tc>
        <w:tc>
          <w:tcPr>
            <w:tcW w:w="992" w:type="dxa"/>
            <w:tcBorders>
              <w:top w:val="single" w:sz="4" w:space="0" w:color="auto"/>
            </w:tcBorders>
          </w:tcPr>
          <w:p w14:paraId="58F4D241" w14:textId="52EB0D40" w:rsidR="00F4428F" w:rsidRPr="00DD635E" w:rsidRDefault="00DD635E" w:rsidP="00F4428F">
            <w:pPr>
              <w:jc w:val="center"/>
            </w:pPr>
            <w:r>
              <w:t>2.3.18</w:t>
            </w:r>
          </w:p>
        </w:tc>
      </w:tr>
      <w:tr w:rsidR="00F4428F" w:rsidRPr="007502CF" w14:paraId="5BC09C50" w14:textId="77777777" w:rsidTr="006628CC">
        <w:trPr>
          <w:jc w:val="center"/>
        </w:trPr>
        <w:tc>
          <w:tcPr>
            <w:tcW w:w="497" w:type="dxa"/>
            <w:tcBorders>
              <w:top w:val="single" w:sz="4" w:space="0" w:color="auto"/>
            </w:tcBorders>
          </w:tcPr>
          <w:p w14:paraId="4D340793" w14:textId="431670A2" w:rsidR="00F4428F" w:rsidRDefault="00F4428F" w:rsidP="00F4428F">
            <w:pPr>
              <w:jc w:val="center"/>
              <w:rPr>
                <w:highlight w:val="yellow"/>
              </w:rPr>
            </w:pPr>
            <w:r>
              <w:rPr>
                <w:rFonts w:ascii="Calibri" w:hAnsi="Calibri"/>
                <w:color w:val="000000"/>
              </w:rPr>
              <w:lastRenderedPageBreak/>
              <w:t>24</w:t>
            </w:r>
          </w:p>
        </w:tc>
        <w:tc>
          <w:tcPr>
            <w:tcW w:w="2338" w:type="dxa"/>
            <w:tcBorders>
              <w:top w:val="single" w:sz="4" w:space="0" w:color="auto"/>
            </w:tcBorders>
          </w:tcPr>
          <w:p w14:paraId="6013808C" w14:textId="35EE27D0" w:rsidR="00F4428F" w:rsidRPr="007502CF" w:rsidRDefault="00F4428F" w:rsidP="00F4428F">
            <w:pPr>
              <w:rPr>
                <w:highlight w:val="yellow"/>
              </w:rPr>
            </w:pPr>
            <w:r>
              <w:rPr>
                <w:sz w:val="21"/>
              </w:rPr>
              <w:t>Мерки в рамките на програмата за радиационна защита</w:t>
            </w:r>
          </w:p>
        </w:tc>
        <w:tc>
          <w:tcPr>
            <w:tcW w:w="1560" w:type="dxa"/>
            <w:tcBorders>
              <w:top w:val="single" w:sz="4" w:space="0" w:color="auto"/>
            </w:tcBorders>
          </w:tcPr>
          <w:p w14:paraId="67375525" w14:textId="373D73CE" w:rsidR="00F4428F" w:rsidRPr="003168AF" w:rsidRDefault="00DE5355" w:rsidP="00F4428F">
            <w:pPr>
              <w:jc w:val="center"/>
            </w:pPr>
            <w:r>
              <w:t>OR, EP</w:t>
            </w:r>
          </w:p>
        </w:tc>
        <w:tc>
          <w:tcPr>
            <w:tcW w:w="4252" w:type="dxa"/>
            <w:tcBorders>
              <w:top w:val="single" w:sz="4" w:space="0" w:color="auto"/>
            </w:tcBorders>
          </w:tcPr>
          <w:p w14:paraId="50CA67EC" w14:textId="0402D7E1" w:rsidR="00F4428F" w:rsidRPr="007502CF" w:rsidRDefault="00317754" w:rsidP="00F4428F">
            <w:pPr>
              <w:rPr>
                <w:highlight w:val="yellow"/>
              </w:rPr>
            </w:pPr>
            <w:r>
              <w:t>Това е отговорност на Собственика / Лицензианта.</w:t>
            </w:r>
          </w:p>
        </w:tc>
        <w:tc>
          <w:tcPr>
            <w:tcW w:w="992" w:type="dxa"/>
            <w:tcBorders>
              <w:top w:val="single" w:sz="4" w:space="0" w:color="auto"/>
            </w:tcBorders>
          </w:tcPr>
          <w:p w14:paraId="0001AFC4" w14:textId="49EEA216" w:rsidR="00F4428F" w:rsidRPr="00DD635E" w:rsidRDefault="00DD635E" w:rsidP="00F4428F">
            <w:pPr>
              <w:jc w:val="center"/>
            </w:pPr>
            <w:r>
              <w:t>2.3.19</w:t>
            </w:r>
          </w:p>
        </w:tc>
      </w:tr>
      <w:tr w:rsidR="00F4428F" w:rsidRPr="007502CF" w14:paraId="1CE69ECB" w14:textId="77777777" w:rsidTr="006628CC">
        <w:trPr>
          <w:jc w:val="center"/>
        </w:trPr>
        <w:tc>
          <w:tcPr>
            <w:tcW w:w="497" w:type="dxa"/>
            <w:tcBorders>
              <w:top w:val="single" w:sz="4" w:space="0" w:color="auto"/>
            </w:tcBorders>
          </w:tcPr>
          <w:p w14:paraId="14C06633" w14:textId="4EEBCBBF" w:rsidR="00F4428F" w:rsidRDefault="00F4428F" w:rsidP="00F4428F">
            <w:pPr>
              <w:jc w:val="center"/>
              <w:rPr>
                <w:highlight w:val="yellow"/>
              </w:rPr>
            </w:pPr>
            <w:r>
              <w:rPr>
                <w:rFonts w:ascii="Calibri" w:hAnsi="Calibri"/>
                <w:color w:val="000000"/>
              </w:rPr>
              <w:t>25</w:t>
            </w:r>
          </w:p>
        </w:tc>
        <w:tc>
          <w:tcPr>
            <w:tcW w:w="2338" w:type="dxa"/>
            <w:tcBorders>
              <w:top w:val="single" w:sz="4" w:space="0" w:color="auto"/>
            </w:tcBorders>
          </w:tcPr>
          <w:p w14:paraId="341D60FC" w14:textId="19924C59" w:rsidR="00F4428F" w:rsidRPr="007502CF" w:rsidRDefault="00F4428F" w:rsidP="00F4428F">
            <w:pPr>
              <w:rPr>
                <w:highlight w:val="yellow"/>
              </w:rPr>
            </w:pPr>
            <w:r>
              <w:rPr>
                <w:sz w:val="21"/>
              </w:rPr>
              <w:t xml:space="preserve">Оценка на професионалното облъчване и наблюдение на здравето на </w:t>
            </w:r>
            <w:r w:rsidR="004B098C">
              <w:rPr>
                <w:sz w:val="21"/>
              </w:rPr>
              <w:t>персонала</w:t>
            </w:r>
          </w:p>
        </w:tc>
        <w:tc>
          <w:tcPr>
            <w:tcW w:w="1560" w:type="dxa"/>
            <w:tcBorders>
              <w:top w:val="single" w:sz="4" w:space="0" w:color="auto"/>
            </w:tcBorders>
          </w:tcPr>
          <w:p w14:paraId="661E6EB3" w14:textId="16A10258" w:rsidR="00F4428F" w:rsidRPr="003168AF" w:rsidRDefault="00DE5355" w:rsidP="00F4428F">
            <w:pPr>
              <w:jc w:val="center"/>
            </w:pPr>
            <w:r>
              <w:t>OR, EP</w:t>
            </w:r>
          </w:p>
        </w:tc>
        <w:tc>
          <w:tcPr>
            <w:tcW w:w="4252" w:type="dxa"/>
            <w:tcBorders>
              <w:top w:val="single" w:sz="4" w:space="0" w:color="auto"/>
            </w:tcBorders>
          </w:tcPr>
          <w:p w14:paraId="3889A9FC" w14:textId="7FFEBECF" w:rsidR="00F4428F" w:rsidRPr="007502CF" w:rsidRDefault="00317754" w:rsidP="00F4428F">
            <w:pPr>
              <w:rPr>
                <w:highlight w:val="yellow"/>
              </w:rPr>
            </w:pPr>
            <w:r>
              <w:t>Това е отговорност на Собственика / Лицензианта.</w:t>
            </w:r>
          </w:p>
        </w:tc>
        <w:tc>
          <w:tcPr>
            <w:tcW w:w="992" w:type="dxa"/>
            <w:tcBorders>
              <w:top w:val="single" w:sz="4" w:space="0" w:color="auto"/>
            </w:tcBorders>
          </w:tcPr>
          <w:p w14:paraId="144B040A" w14:textId="63BD9278" w:rsidR="00F4428F" w:rsidRPr="00DD635E" w:rsidRDefault="00DD635E" w:rsidP="00F4428F">
            <w:pPr>
              <w:jc w:val="center"/>
            </w:pPr>
            <w:r>
              <w:t>2.3.20</w:t>
            </w:r>
          </w:p>
        </w:tc>
      </w:tr>
      <w:tr w:rsidR="00F4428F" w:rsidRPr="007502CF" w14:paraId="762C4C54" w14:textId="77777777" w:rsidTr="006628CC">
        <w:trPr>
          <w:jc w:val="center"/>
        </w:trPr>
        <w:tc>
          <w:tcPr>
            <w:tcW w:w="497" w:type="dxa"/>
            <w:tcBorders>
              <w:top w:val="single" w:sz="4" w:space="0" w:color="auto"/>
            </w:tcBorders>
          </w:tcPr>
          <w:p w14:paraId="29ACC8D6" w14:textId="46F43082" w:rsidR="00F4428F" w:rsidRDefault="00F4428F" w:rsidP="00F4428F">
            <w:pPr>
              <w:jc w:val="center"/>
              <w:rPr>
                <w:highlight w:val="yellow"/>
              </w:rPr>
            </w:pPr>
            <w:r>
              <w:rPr>
                <w:rFonts w:ascii="Calibri" w:hAnsi="Calibri"/>
                <w:color w:val="000000"/>
              </w:rPr>
              <w:t>26</w:t>
            </w:r>
          </w:p>
        </w:tc>
        <w:tc>
          <w:tcPr>
            <w:tcW w:w="2338" w:type="dxa"/>
            <w:tcBorders>
              <w:top w:val="single" w:sz="4" w:space="0" w:color="auto"/>
            </w:tcBorders>
          </w:tcPr>
          <w:p w14:paraId="64A18C3C" w14:textId="26583B2F" w:rsidR="00F4428F" w:rsidRPr="007502CF" w:rsidRDefault="00F4428F" w:rsidP="00F4428F">
            <w:pPr>
              <w:rPr>
                <w:highlight w:val="yellow"/>
              </w:rPr>
            </w:pPr>
            <w:r>
              <w:rPr>
                <w:sz w:val="21"/>
              </w:rPr>
              <w:t>Информация, инструктаж и обучение</w:t>
            </w:r>
          </w:p>
        </w:tc>
        <w:tc>
          <w:tcPr>
            <w:tcW w:w="1560" w:type="dxa"/>
            <w:tcBorders>
              <w:top w:val="single" w:sz="4" w:space="0" w:color="auto"/>
            </w:tcBorders>
          </w:tcPr>
          <w:p w14:paraId="248DD97A" w14:textId="0439C6C8" w:rsidR="00F4428F" w:rsidRPr="003168AF" w:rsidRDefault="00626733" w:rsidP="00F4428F">
            <w:pPr>
              <w:jc w:val="center"/>
            </w:pPr>
            <w:r>
              <w:t>OR, EP</w:t>
            </w:r>
          </w:p>
        </w:tc>
        <w:tc>
          <w:tcPr>
            <w:tcW w:w="4252" w:type="dxa"/>
            <w:tcBorders>
              <w:top w:val="single" w:sz="4" w:space="0" w:color="auto"/>
            </w:tcBorders>
          </w:tcPr>
          <w:p w14:paraId="70DCE493" w14:textId="6D592A37" w:rsidR="00F4428F" w:rsidRPr="007502CF" w:rsidRDefault="00317754" w:rsidP="00F4428F">
            <w:pPr>
              <w:rPr>
                <w:highlight w:val="yellow"/>
              </w:rPr>
            </w:pPr>
            <w:r>
              <w:t>Това е отговорност на Собственика / Лицензианта.</w:t>
            </w:r>
          </w:p>
        </w:tc>
        <w:tc>
          <w:tcPr>
            <w:tcW w:w="992" w:type="dxa"/>
            <w:tcBorders>
              <w:top w:val="single" w:sz="4" w:space="0" w:color="auto"/>
            </w:tcBorders>
          </w:tcPr>
          <w:p w14:paraId="6539D1A3" w14:textId="3D924075" w:rsidR="00F4428F" w:rsidRPr="00DD635E" w:rsidRDefault="00DD635E" w:rsidP="00F4428F">
            <w:pPr>
              <w:jc w:val="center"/>
            </w:pPr>
            <w:r>
              <w:t>2.3.21</w:t>
            </w:r>
          </w:p>
        </w:tc>
      </w:tr>
      <w:tr w:rsidR="00F4428F" w:rsidRPr="007502CF" w14:paraId="5545E6C7" w14:textId="77777777" w:rsidTr="006628CC">
        <w:trPr>
          <w:jc w:val="center"/>
        </w:trPr>
        <w:tc>
          <w:tcPr>
            <w:tcW w:w="497" w:type="dxa"/>
            <w:tcBorders>
              <w:top w:val="single" w:sz="4" w:space="0" w:color="auto"/>
            </w:tcBorders>
          </w:tcPr>
          <w:p w14:paraId="03C73254" w14:textId="20F5C811" w:rsidR="00F4428F" w:rsidRDefault="00F4428F" w:rsidP="00F4428F">
            <w:pPr>
              <w:jc w:val="center"/>
              <w:rPr>
                <w:highlight w:val="yellow"/>
              </w:rPr>
            </w:pPr>
            <w:r>
              <w:rPr>
                <w:rFonts w:ascii="Calibri" w:hAnsi="Calibri"/>
                <w:color w:val="000000"/>
              </w:rPr>
              <w:t>27</w:t>
            </w:r>
          </w:p>
        </w:tc>
        <w:tc>
          <w:tcPr>
            <w:tcW w:w="2338" w:type="dxa"/>
            <w:tcBorders>
              <w:top w:val="single" w:sz="4" w:space="0" w:color="auto"/>
            </w:tcBorders>
          </w:tcPr>
          <w:p w14:paraId="0BE2859A" w14:textId="6C0BB9A8" w:rsidR="00F4428F" w:rsidRPr="007502CF" w:rsidRDefault="00F4428F" w:rsidP="00F4428F">
            <w:pPr>
              <w:rPr>
                <w:highlight w:val="yellow"/>
              </w:rPr>
            </w:pPr>
            <w:r>
              <w:rPr>
                <w:sz w:val="21"/>
              </w:rPr>
              <w:t>Условия на труд</w:t>
            </w:r>
          </w:p>
        </w:tc>
        <w:tc>
          <w:tcPr>
            <w:tcW w:w="1560" w:type="dxa"/>
            <w:tcBorders>
              <w:top w:val="single" w:sz="4" w:space="0" w:color="auto"/>
            </w:tcBorders>
          </w:tcPr>
          <w:p w14:paraId="0C2C2A8F" w14:textId="7EFA2F7C" w:rsidR="00F4428F" w:rsidRPr="003168AF" w:rsidRDefault="00DE5355" w:rsidP="00F4428F">
            <w:pPr>
              <w:jc w:val="center"/>
            </w:pPr>
            <w:r>
              <w:t>OR, EP</w:t>
            </w:r>
          </w:p>
        </w:tc>
        <w:tc>
          <w:tcPr>
            <w:tcW w:w="4252" w:type="dxa"/>
            <w:tcBorders>
              <w:top w:val="single" w:sz="4" w:space="0" w:color="auto"/>
            </w:tcBorders>
          </w:tcPr>
          <w:p w14:paraId="1569599D" w14:textId="07B86240" w:rsidR="00F4428F" w:rsidRPr="007502CF" w:rsidRDefault="00317754" w:rsidP="00F4428F">
            <w:pPr>
              <w:rPr>
                <w:highlight w:val="yellow"/>
              </w:rPr>
            </w:pPr>
            <w:r>
              <w:t>Това е отговорност на Собственика / Лицензианта.</w:t>
            </w:r>
          </w:p>
        </w:tc>
        <w:tc>
          <w:tcPr>
            <w:tcW w:w="992" w:type="dxa"/>
            <w:tcBorders>
              <w:top w:val="single" w:sz="4" w:space="0" w:color="auto"/>
            </w:tcBorders>
          </w:tcPr>
          <w:p w14:paraId="059F8F37" w14:textId="1BAAF6D7" w:rsidR="00F4428F" w:rsidRPr="00DD635E" w:rsidRDefault="00DD635E" w:rsidP="00F4428F">
            <w:pPr>
              <w:jc w:val="center"/>
            </w:pPr>
            <w:r>
              <w:t>2.3.22</w:t>
            </w:r>
          </w:p>
        </w:tc>
      </w:tr>
      <w:tr w:rsidR="00F4428F" w:rsidRPr="007502CF" w14:paraId="24964C98" w14:textId="77777777" w:rsidTr="006628CC">
        <w:trPr>
          <w:jc w:val="center"/>
        </w:trPr>
        <w:tc>
          <w:tcPr>
            <w:tcW w:w="497" w:type="dxa"/>
            <w:tcBorders>
              <w:top w:val="single" w:sz="4" w:space="0" w:color="auto"/>
            </w:tcBorders>
          </w:tcPr>
          <w:p w14:paraId="0BD81681" w14:textId="1008E9AE" w:rsidR="00F4428F" w:rsidRDefault="00F4428F" w:rsidP="00F4428F">
            <w:pPr>
              <w:jc w:val="center"/>
              <w:rPr>
                <w:highlight w:val="yellow"/>
              </w:rPr>
            </w:pPr>
            <w:r>
              <w:rPr>
                <w:rFonts w:ascii="Calibri" w:hAnsi="Calibri"/>
                <w:color w:val="000000"/>
              </w:rPr>
              <w:t>28</w:t>
            </w:r>
          </w:p>
        </w:tc>
        <w:tc>
          <w:tcPr>
            <w:tcW w:w="2338" w:type="dxa"/>
            <w:tcBorders>
              <w:top w:val="single" w:sz="4" w:space="0" w:color="auto"/>
            </w:tcBorders>
          </w:tcPr>
          <w:p w14:paraId="7BE4068F" w14:textId="1C87BA7E" w:rsidR="00F4428F" w:rsidRPr="007502CF" w:rsidRDefault="00F4428F" w:rsidP="00F4428F">
            <w:pPr>
              <w:rPr>
                <w:highlight w:val="yellow"/>
              </w:rPr>
            </w:pPr>
            <w:r>
              <w:rPr>
                <w:sz w:val="21"/>
              </w:rPr>
              <w:t xml:space="preserve">Специални мерки за защита и безопасност на </w:t>
            </w:r>
            <w:r w:rsidR="008967ED">
              <w:rPr>
                <w:sz w:val="21"/>
              </w:rPr>
              <w:t>бременни и кърмещи жени</w:t>
            </w:r>
            <w:r>
              <w:rPr>
                <w:sz w:val="21"/>
              </w:rPr>
              <w:t xml:space="preserve"> и лица под 18 години, които се обучават</w:t>
            </w:r>
          </w:p>
        </w:tc>
        <w:tc>
          <w:tcPr>
            <w:tcW w:w="1560" w:type="dxa"/>
            <w:tcBorders>
              <w:top w:val="single" w:sz="4" w:space="0" w:color="auto"/>
            </w:tcBorders>
          </w:tcPr>
          <w:p w14:paraId="75DCA8E3" w14:textId="31E9C594" w:rsidR="00F4428F" w:rsidRPr="003168AF" w:rsidRDefault="00DE5355" w:rsidP="00F4428F">
            <w:pPr>
              <w:jc w:val="center"/>
            </w:pPr>
            <w:r>
              <w:t>OR, EP</w:t>
            </w:r>
          </w:p>
        </w:tc>
        <w:tc>
          <w:tcPr>
            <w:tcW w:w="4252" w:type="dxa"/>
            <w:tcBorders>
              <w:top w:val="single" w:sz="4" w:space="0" w:color="auto"/>
            </w:tcBorders>
          </w:tcPr>
          <w:p w14:paraId="64D01716" w14:textId="31F517BD" w:rsidR="00F4428F" w:rsidRDefault="00317754" w:rsidP="00F4428F">
            <w:pPr>
              <w:rPr>
                <w:rFonts w:eastAsiaTheme="minorHAnsi" w:cstheme="minorBidi"/>
                <w:kern w:val="0"/>
              </w:rPr>
            </w:pPr>
            <w:r>
              <w:t>Това е отговорност на Собственика / Лицензианта.</w:t>
            </w:r>
          </w:p>
          <w:p w14:paraId="2D47FFEE" w14:textId="1E0A242E" w:rsidR="008C4FDA" w:rsidRPr="007502CF" w:rsidRDefault="008C4FDA" w:rsidP="00F4428F">
            <w:pPr>
              <w:rPr>
                <w:highlight w:val="yellow"/>
              </w:rPr>
            </w:pPr>
            <w:r>
              <w:t xml:space="preserve">Една от точките, включени в това изискване, е обяснително </w:t>
            </w:r>
            <w:r w:rsidR="004B098C">
              <w:t>становище</w:t>
            </w:r>
          </w:p>
        </w:tc>
        <w:tc>
          <w:tcPr>
            <w:tcW w:w="992" w:type="dxa"/>
            <w:tcBorders>
              <w:top w:val="single" w:sz="4" w:space="0" w:color="auto"/>
            </w:tcBorders>
          </w:tcPr>
          <w:p w14:paraId="3E3223DB" w14:textId="185F3851" w:rsidR="00F4428F" w:rsidRPr="00DD635E" w:rsidRDefault="00DD635E" w:rsidP="00F4428F">
            <w:pPr>
              <w:jc w:val="center"/>
            </w:pPr>
            <w:r>
              <w:t>2.3.23</w:t>
            </w:r>
          </w:p>
        </w:tc>
      </w:tr>
      <w:tr w:rsidR="00F4428F" w:rsidRPr="007502CF" w14:paraId="7D00C8DC" w14:textId="77777777" w:rsidTr="006628CC">
        <w:trPr>
          <w:jc w:val="center"/>
        </w:trPr>
        <w:tc>
          <w:tcPr>
            <w:tcW w:w="497" w:type="dxa"/>
            <w:tcBorders>
              <w:top w:val="single" w:sz="4" w:space="0" w:color="auto"/>
            </w:tcBorders>
          </w:tcPr>
          <w:p w14:paraId="6CDD1742" w14:textId="40F95FD9" w:rsidR="00F4428F" w:rsidRDefault="00F4428F" w:rsidP="00F4428F">
            <w:pPr>
              <w:jc w:val="center"/>
              <w:rPr>
                <w:highlight w:val="yellow"/>
              </w:rPr>
            </w:pPr>
            <w:r>
              <w:rPr>
                <w:rFonts w:ascii="Calibri" w:hAnsi="Calibri"/>
                <w:color w:val="000000"/>
              </w:rPr>
              <w:t>29</w:t>
            </w:r>
          </w:p>
        </w:tc>
        <w:tc>
          <w:tcPr>
            <w:tcW w:w="2338" w:type="dxa"/>
            <w:tcBorders>
              <w:top w:val="single" w:sz="4" w:space="0" w:color="auto"/>
            </w:tcBorders>
          </w:tcPr>
          <w:p w14:paraId="78D22926" w14:textId="073AF5D8" w:rsidR="00F4428F" w:rsidRPr="007502CF" w:rsidRDefault="00F4428F" w:rsidP="00F4428F">
            <w:pPr>
              <w:rPr>
                <w:highlight w:val="yellow"/>
              </w:rPr>
            </w:pPr>
            <w:r>
              <w:rPr>
                <w:sz w:val="21"/>
              </w:rPr>
              <w:t>Отговорности на правителството и регулаторния орган по отношение на облъчването на населението</w:t>
            </w:r>
          </w:p>
        </w:tc>
        <w:tc>
          <w:tcPr>
            <w:tcW w:w="1560" w:type="dxa"/>
            <w:tcBorders>
              <w:top w:val="single" w:sz="4" w:space="0" w:color="auto"/>
            </w:tcBorders>
          </w:tcPr>
          <w:p w14:paraId="31817F7B" w14:textId="5E71E5E1" w:rsidR="00F4428F" w:rsidRPr="003168AF" w:rsidRDefault="00626733" w:rsidP="00F4428F">
            <w:pPr>
              <w:jc w:val="center"/>
            </w:pPr>
            <w:r>
              <w:t>OR, EP</w:t>
            </w:r>
          </w:p>
        </w:tc>
        <w:tc>
          <w:tcPr>
            <w:tcW w:w="4252" w:type="dxa"/>
            <w:tcBorders>
              <w:top w:val="single" w:sz="4" w:space="0" w:color="auto"/>
            </w:tcBorders>
          </w:tcPr>
          <w:p w14:paraId="50046215" w14:textId="21B24BA1" w:rsidR="00F4428F" w:rsidRPr="007502CF" w:rsidRDefault="00317754" w:rsidP="00F4428F">
            <w:pPr>
              <w:rPr>
                <w:highlight w:val="yellow"/>
              </w:rPr>
            </w:pPr>
            <w:r>
              <w:t>Това е отговорност на Правителството / Регулаторния орган.</w:t>
            </w:r>
          </w:p>
        </w:tc>
        <w:tc>
          <w:tcPr>
            <w:tcW w:w="992" w:type="dxa"/>
            <w:tcBorders>
              <w:top w:val="single" w:sz="4" w:space="0" w:color="auto"/>
            </w:tcBorders>
          </w:tcPr>
          <w:p w14:paraId="533395A5" w14:textId="590152C6" w:rsidR="00F4428F" w:rsidRPr="00DD635E" w:rsidRDefault="00DD635E" w:rsidP="00F4428F">
            <w:pPr>
              <w:jc w:val="center"/>
            </w:pPr>
            <w:r>
              <w:t>2.3.24</w:t>
            </w:r>
          </w:p>
        </w:tc>
      </w:tr>
      <w:tr w:rsidR="00F4428F" w:rsidRPr="007502CF" w14:paraId="26035E53" w14:textId="77777777" w:rsidTr="006628CC">
        <w:trPr>
          <w:jc w:val="center"/>
        </w:trPr>
        <w:tc>
          <w:tcPr>
            <w:tcW w:w="497" w:type="dxa"/>
            <w:tcBorders>
              <w:top w:val="single" w:sz="4" w:space="0" w:color="auto"/>
            </w:tcBorders>
          </w:tcPr>
          <w:p w14:paraId="26AA07EA" w14:textId="39DEE50B" w:rsidR="00F4428F" w:rsidRDefault="00F4428F" w:rsidP="00F4428F">
            <w:pPr>
              <w:jc w:val="center"/>
              <w:rPr>
                <w:highlight w:val="yellow"/>
              </w:rPr>
            </w:pPr>
            <w:r>
              <w:rPr>
                <w:rFonts w:ascii="Calibri" w:hAnsi="Calibri"/>
                <w:color w:val="000000"/>
              </w:rPr>
              <w:t>30</w:t>
            </w:r>
          </w:p>
        </w:tc>
        <w:tc>
          <w:tcPr>
            <w:tcW w:w="2338" w:type="dxa"/>
            <w:tcBorders>
              <w:top w:val="single" w:sz="4" w:space="0" w:color="auto"/>
            </w:tcBorders>
          </w:tcPr>
          <w:p w14:paraId="63FE5284" w14:textId="2CE80111" w:rsidR="00F4428F" w:rsidRPr="007502CF" w:rsidRDefault="00F4428F" w:rsidP="00F4428F">
            <w:pPr>
              <w:rPr>
                <w:highlight w:val="yellow"/>
              </w:rPr>
            </w:pPr>
            <w:r>
              <w:rPr>
                <w:sz w:val="21"/>
              </w:rPr>
              <w:t>Отговорности на съответните страни по отношение на облъчването на населението</w:t>
            </w:r>
          </w:p>
        </w:tc>
        <w:tc>
          <w:tcPr>
            <w:tcW w:w="1560" w:type="dxa"/>
            <w:tcBorders>
              <w:top w:val="single" w:sz="4" w:space="0" w:color="auto"/>
            </w:tcBorders>
          </w:tcPr>
          <w:p w14:paraId="2EB0847B" w14:textId="636CF392" w:rsidR="00F4428F" w:rsidRPr="003168AF" w:rsidRDefault="00626733" w:rsidP="00F4428F">
            <w:pPr>
              <w:jc w:val="center"/>
            </w:pPr>
            <w:r>
              <w:t>COM, CWO, OR</w:t>
            </w:r>
          </w:p>
        </w:tc>
        <w:tc>
          <w:tcPr>
            <w:tcW w:w="4252" w:type="dxa"/>
            <w:tcBorders>
              <w:top w:val="single" w:sz="4" w:space="0" w:color="auto"/>
            </w:tcBorders>
          </w:tcPr>
          <w:p w14:paraId="4AF0C168" w14:textId="16496CFA" w:rsidR="0043331C" w:rsidRDefault="0043331C" w:rsidP="00F4428F">
            <w:pPr>
              <w:rPr>
                <w:rFonts w:eastAsiaTheme="minorHAnsi" w:cstheme="minorBidi"/>
                <w:kern w:val="0"/>
              </w:rPr>
            </w:pPr>
            <w:r>
              <w:t>Проектът на AP1000 съответства на тези изисквания, които се смятат за изисквания към проектирането. Не е установено несъответствие.</w:t>
            </w:r>
          </w:p>
          <w:p w14:paraId="16B4A393" w14:textId="30F89173" w:rsidR="00F4428F" w:rsidRDefault="00317754" w:rsidP="00F4428F">
            <w:pPr>
              <w:rPr>
                <w:rFonts w:eastAsiaTheme="minorHAnsi" w:cstheme="minorBidi"/>
                <w:kern w:val="0"/>
              </w:rPr>
            </w:pPr>
            <w:r>
              <w:t>Това е отговорност на Собственика / Лицензианта.</w:t>
            </w:r>
          </w:p>
          <w:p w14:paraId="44D741D8" w14:textId="4A40A89B" w:rsidR="00B852F0" w:rsidRPr="007502CF" w:rsidRDefault="0061601E" w:rsidP="00F4428F">
            <w:pPr>
              <w:rPr>
                <w:highlight w:val="yellow"/>
              </w:rPr>
            </w:pPr>
            <w:r>
              <w:t xml:space="preserve">Както е обяснено в Раздел 1.4 на тази оценка, настоящият проект на AP1000 е в </w:t>
            </w:r>
            <w:r>
              <w:lastRenderedPageBreak/>
              <w:t xml:space="preserve">състояние да изпълни това изискване при наличие на подходящи радиационни програми, въпреки че тези </w:t>
            </w:r>
            <w:r w:rsidR="004B098C">
              <w:t>граници</w:t>
            </w:r>
            <w:r>
              <w:t xml:space="preserve"> се различават от използваните в 10 CFR 20. По такъв начин, консервативно това се смята за CWO, тъй като в определен момент потенциално може да възникне необходимост </w:t>
            </w:r>
            <w:r w:rsidR="004B098C">
              <w:t>от</w:t>
            </w:r>
            <w:r>
              <w:t xml:space="preserve"> извършване на допълнителни анализи.</w:t>
            </w:r>
          </w:p>
        </w:tc>
        <w:tc>
          <w:tcPr>
            <w:tcW w:w="992" w:type="dxa"/>
            <w:tcBorders>
              <w:top w:val="single" w:sz="4" w:space="0" w:color="auto"/>
            </w:tcBorders>
          </w:tcPr>
          <w:p w14:paraId="1105C92C" w14:textId="46EC4F8B" w:rsidR="00F4428F" w:rsidRPr="00DD635E" w:rsidRDefault="00DD635E" w:rsidP="00F4428F">
            <w:pPr>
              <w:jc w:val="center"/>
            </w:pPr>
            <w:r>
              <w:lastRenderedPageBreak/>
              <w:t>2.3.25</w:t>
            </w:r>
          </w:p>
        </w:tc>
      </w:tr>
      <w:tr w:rsidR="00F4428F" w:rsidRPr="007502CF" w14:paraId="27529735" w14:textId="77777777" w:rsidTr="006628CC">
        <w:trPr>
          <w:jc w:val="center"/>
        </w:trPr>
        <w:tc>
          <w:tcPr>
            <w:tcW w:w="497" w:type="dxa"/>
            <w:tcBorders>
              <w:top w:val="single" w:sz="4" w:space="0" w:color="auto"/>
            </w:tcBorders>
          </w:tcPr>
          <w:p w14:paraId="5AD2A058" w14:textId="3705AF56" w:rsidR="00F4428F" w:rsidRDefault="00F4428F" w:rsidP="00F4428F">
            <w:pPr>
              <w:jc w:val="center"/>
              <w:rPr>
                <w:highlight w:val="yellow"/>
              </w:rPr>
            </w:pPr>
            <w:r>
              <w:rPr>
                <w:rFonts w:ascii="Calibri" w:hAnsi="Calibri"/>
                <w:color w:val="000000"/>
              </w:rPr>
              <w:t>31</w:t>
            </w:r>
          </w:p>
        </w:tc>
        <w:tc>
          <w:tcPr>
            <w:tcW w:w="2338" w:type="dxa"/>
            <w:tcBorders>
              <w:top w:val="single" w:sz="4" w:space="0" w:color="auto"/>
            </w:tcBorders>
          </w:tcPr>
          <w:p w14:paraId="5D5E2802" w14:textId="53AD7EC8" w:rsidR="00F4428F" w:rsidRPr="007502CF" w:rsidRDefault="00F4428F" w:rsidP="00F4428F">
            <w:pPr>
              <w:rPr>
                <w:highlight w:val="yellow"/>
              </w:rPr>
            </w:pPr>
            <w:r>
              <w:rPr>
                <w:sz w:val="21"/>
              </w:rPr>
              <w:t>Радиоактивни отпадъци и изхвърляния</w:t>
            </w:r>
          </w:p>
        </w:tc>
        <w:tc>
          <w:tcPr>
            <w:tcW w:w="1560" w:type="dxa"/>
            <w:tcBorders>
              <w:top w:val="single" w:sz="4" w:space="0" w:color="auto"/>
            </w:tcBorders>
          </w:tcPr>
          <w:p w14:paraId="0031BEFB" w14:textId="52C150F4" w:rsidR="00F4428F" w:rsidRPr="003168AF" w:rsidRDefault="0061601E" w:rsidP="00F4428F">
            <w:pPr>
              <w:jc w:val="center"/>
            </w:pPr>
            <w:r>
              <w:t>COM, OR, EP</w:t>
            </w:r>
          </w:p>
        </w:tc>
        <w:tc>
          <w:tcPr>
            <w:tcW w:w="4252" w:type="dxa"/>
            <w:tcBorders>
              <w:top w:val="single" w:sz="4" w:space="0" w:color="auto"/>
            </w:tcBorders>
          </w:tcPr>
          <w:p w14:paraId="6BDF67B7" w14:textId="0967C148" w:rsidR="0061601E" w:rsidRDefault="0061601E" w:rsidP="00F4428F">
            <w:pPr>
              <w:rPr>
                <w:rFonts w:eastAsiaTheme="minorHAnsi" w:cstheme="minorBidi"/>
                <w:kern w:val="0"/>
              </w:rPr>
            </w:pPr>
            <w:r>
              <w:t>Проектът на AP1000 съответства на тези изисквания, които се смятат за изисквания към проектирането. Не е установено несъответствие.</w:t>
            </w:r>
          </w:p>
          <w:p w14:paraId="0F784607" w14:textId="78194716" w:rsidR="00F4428F" w:rsidRPr="007502CF" w:rsidRDefault="00317754" w:rsidP="00F4428F">
            <w:pPr>
              <w:rPr>
                <w:highlight w:val="yellow"/>
              </w:rPr>
            </w:pPr>
            <w:r>
              <w:t>Това е отговорност на Собственика / Лицензианта / външни страни.</w:t>
            </w:r>
          </w:p>
        </w:tc>
        <w:tc>
          <w:tcPr>
            <w:tcW w:w="992" w:type="dxa"/>
            <w:tcBorders>
              <w:top w:val="single" w:sz="4" w:space="0" w:color="auto"/>
            </w:tcBorders>
          </w:tcPr>
          <w:p w14:paraId="14233FC8" w14:textId="4ECB99B6" w:rsidR="00F4428F" w:rsidRPr="00DD635E" w:rsidRDefault="00DD635E" w:rsidP="00F4428F">
            <w:pPr>
              <w:jc w:val="center"/>
            </w:pPr>
            <w:r>
              <w:t>2.3.26</w:t>
            </w:r>
          </w:p>
        </w:tc>
      </w:tr>
      <w:tr w:rsidR="00F4428F" w:rsidRPr="007502CF" w14:paraId="1208867A" w14:textId="77777777" w:rsidTr="006628CC">
        <w:trPr>
          <w:jc w:val="center"/>
        </w:trPr>
        <w:tc>
          <w:tcPr>
            <w:tcW w:w="497" w:type="dxa"/>
            <w:tcBorders>
              <w:top w:val="single" w:sz="4" w:space="0" w:color="auto"/>
            </w:tcBorders>
          </w:tcPr>
          <w:p w14:paraId="1B7F98ED" w14:textId="702455FF" w:rsidR="00F4428F" w:rsidRDefault="00F4428F" w:rsidP="00F4428F">
            <w:pPr>
              <w:jc w:val="center"/>
              <w:rPr>
                <w:highlight w:val="yellow"/>
              </w:rPr>
            </w:pPr>
            <w:r>
              <w:rPr>
                <w:rFonts w:ascii="Calibri" w:hAnsi="Calibri"/>
                <w:color w:val="000000"/>
              </w:rPr>
              <w:t>32</w:t>
            </w:r>
          </w:p>
        </w:tc>
        <w:tc>
          <w:tcPr>
            <w:tcW w:w="2338" w:type="dxa"/>
            <w:tcBorders>
              <w:top w:val="single" w:sz="4" w:space="0" w:color="auto"/>
            </w:tcBorders>
          </w:tcPr>
          <w:p w14:paraId="091A6C48" w14:textId="6B802971" w:rsidR="00F4428F" w:rsidRPr="007502CF" w:rsidRDefault="00F4428F" w:rsidP="00F4428F">
            <w:pPr>
              <w:rPr>
                <w:highlight w:val="yellow"/>
              </w:rPr>
            </w:pPr>
            <w:r>
              <w:rPr>
                <w:sz w:val="21"/>
              </w:rPr>
              <w:t>Мониторинг и регистрация на резултатите</w:t>
            </w:r>
          </w:p>
        </w:tc>
        <w:tc>
          <w:tcPr>
            <w:tcW w:w="1560" w:type="dxa"/>
            <w:tcBorders>
              <w:top w:val="single" w:sz="4" w:space="0" w:color="auto"/>
            </w:tcBorders>
          </w:tcPr>
          <w:p w14:paraId="55B8B1C3" w14:textId="69928844" w:rsidR="00F4428F" w:rsidRPr="003168AF" w:rsidRDefault="00DE5355" w:rsidP="00F4428F">
            <w:pPr>
              <w:jc w:val="center"/>
            </w:pPr>
            <w:r>
              <w:t>OR, EP</w:t>
            </w:r>
          </w:p>
        </w:tc>
        <w:tc>
          <w:tcPr>
            <w:tcW w:w="4252" w:type="dxa"/>
            <w:tcBorders>
              <w:top w:val="single" w:sz="4" w:space="0" w:color="auto"/>
            </w:tcBorders>
          </w:tcPr>
          <w:p w14:paraId="29887B1B" w14:textId="2981607C" w:rsidR="00F4428F" w:rsidRPr="00317754" w:rsidRDefault="00317754" w:rsidP="00F4428F">
            <w:r>
              <w:t>Това е отговорност на Собственика / Лицензианта / Регулаторния орган / други Външни лица.</w:t>
            </w:r>
          </w:p>
        </w:tc>
        <w:tc>
          <w:tcPr>
            <w:tcW w:w="992" w:type="dxa"/>
            <w:tcBorders>
              <w:top w:val="single" w:sz="4" w:space="0" w:color="auto"/>
            </w:tcBorders>
          </w:tcPr>
          <w:p w14:paraId="73E7788C" w14:textId="7D7C4B30" w:rsidR="00F4428F" w:rsidRPr="00DD635E" w:rsidRDefault="00DD635E" w:rsidP="00F4428F">
            <w:pPr>
              <w:jc w:val="center"/>
            </w:pPr>
            <w:r>
              <w:t>2.3.27</w:t>
            </w:r>
          </w:p>
        </w:tc>
      </w:tr>
      <w:tr w:rsidR="00F4428F" w:rsidRPr="007502CF" w14:paraId="072C78A2" w14:textId="77777777" w:rsidTr="006628CC">
        <w:trPr>
          <w:jc w:val="center"/>
        </w:trPr>
        <w:tc>
          <w:tcPr>
            <w:tcW w:w="497" w:type="dxa"/>
            <w:tcBorders>
              <w:top w:val="single" w:sz="4" w:space="0" w:color="auto"/>
            </w:tcBorders>
          </w:tcPr>
          <w:p w14:paraId="051D9811" w14:textId="3D041D16" w:rsidR="00F4428F" w:rsidRDefault="00F4428F" w:rsidP="00F4428F">
            <w:pPr>
              <w:jc w:val="center"/>
              <w:rPr>
                <w:highlight w:val="yellow"/>
              </w:rPr>
            </w:pPr>
            <w:r>
              <w:rPr>
                <w:rFonts w:ascii="Calibri" w:hAnsi="Calibri"/>
                <w:color w:val="000000"/>
              </w:rPr>
              <w:t>33</w:t>
            </w:r>
          </w:p>
        </w:tc>
        <w:tc>
          <w:tcPr>
            <w:tcW w:w="2338" w:type="dxa"/>
            <w:tcBorders>
              <w:top w:val="single" w:sz="4" w:space="0" w:color="auto"/>
            </w:tcBorders>
          </w:tcPr>
          <w:p w14:paraId="5B5F71BB" w14:textId="26697649" w:rsidR="00F4428F" w:rsidRPr="007502CF" w:rsidRDefault="00F4428F" w:rsidP="00F4428F">
            <w:pPr>
              <w:rPr>
                <w:highlight w:val="yellow"/>
              </w:rPr>
            </w:pPr>
            <w:r>
              <w:rPr>
                <w:sz w:val="21"/>
              </w:rPr>
              <w:t>Потребителски продукти</w:t>
            </w:r>
          </w:p>
        </w:tc>
        <w:tc>
          <w:tcPr>
            <w:tcW w:w="1560" w:type="dxa"/>
            <w:tcBorders>
              <w:top w:val="single" w:sz="4" w:space="0" w:color="auto"/>
            </w:tcBorders>
          </w:tcPr>
          <w:p w14:paraId="779AFD8E" w14:textId="78C33CF3" w:rsidR="00F4428F" w:rsidRPr="003168AF" w:rsidRDefault="00F4428F" w:rsidP="00F4428F">
            <w:pPr>
              <w:jc w:val="center"/>
            </w:pPr>
            <w:r>
              <w:t>NAP</w:t>
            </w:r>
          </w:p>
        </w:tc>
        <w:tc>
          <w:tcPr>
            <w:tcW w:w="4252" w:type="dxa"/>
            <w:tcBorders>
              <w:top w:val="single" w:sz="4" w:space="0" w:color="auto"/>
            </w:tcBorders>
          </w:tcPr>
          <w:p w14:paraId="0FFE1CA3" w14:textId="6F86E8E3" w:rsidR="00F4428F" w:rsidRPr="007502CF" w:rsidRDefault="00B852F0" w:rsidP="00F4428F">
            <w:pPr>
              <w:rPr>
                <w:highlight w:val="yellow"/>
              </w:rPr>
            </w:pPr>
            <w:r>
              <w:t>Изискването не е приложимо към технологията.</w:t>
            </w:r>
          </w:p>
        </w:tc>
        <w:tc>
          <w:tcPr>
            <w:tcW w:w="992" w:type="dxa"/>
            <w:tcBorders>
              <w:top w:val="single" w:sz="4" w:space="0" w:color="auto"/>
            </w:tcBorders>
          </w:tcPr>
          <w:p w14:paraId="229D49FF" w14:textId="22C70004" w:rsidR="00F4428F" w:rsidRPr="00DD635E" w:rsidRDefault="00DD635E" w:rsidP="00F4428F">
            <w:pPr>
              <w:jc w:val="center"/>
            </w:pPr>
            <w:r>
              <w:t>2.3.28</w:t>
            </w:r>
          </w:p>
        </w:tc>
      </w:tr>
      <w:tr w:rsidR="00F4428F" w:rsidRPr="007502CF" w14:paraId="41F9D521" w14:textId="77777777" w:rsidTr="006628CC">
        <w:trPr>
          <w:jc w:val="center"/>
        </w:trPr>
        <w:tc>
          <w:tcPr>
            <w:tcW w:w="497" w:type="dxa"/>
            <w:tcBorders>
              <w:top w:val="single" w:sz="4" w:space="0" w:color="auto"/>
            </w:tcBorders>
          </w:tcPr>
          <w:p w14:paraId="4D142F95" w14:textId="61DC9BCC" w:rsidR="00F4428F" w:rsidRDefault="00F4428F" w:rsidP="00F4428F">
            <w:pPr>
              <w:jc w:val="center"/>
              <w:rPr>
                <w:highlight w:val="yellow"/>
              </w:rPr>
            </w:pPr>
            <w:r>
              <w:rPr>
                <w:rFonts w:ascii="Calibri" w:hAnsi="Calibri"/>
                <w:color w:val="000000"/>
              </w:rPr>
              <w:t>34</w:t>
            </w:r>
          </w:p>
        </w:tc>
        <w:tc>
          <w:tcPr>
            <w:tcW w:w="2338" w:type="dxa"/>
            <w:tcBorders>
              <w:top w:val="single" w:sz="4" w:space="0" w:color="auto"/>
            </w:tcBorders>
          </w:tcPr>
          <w:p w14:paraId="1A72574D" w14:textId="009E59ED" w:rsidR="00F4428F" w:rsidRPr="007502CF" w:rsidRDefault="00F4428F" w:rsidP="00F4428F">
            <w:pPr>
              <w:rPr>
                <w:highlight w:val="yellow"/>
              </w:rPr>
            </w:pPr>
            <w:r>
              <w:rPr>
                <w:sz w:val="21"/>
              </w:rPr>
              <w:t>Отговорности на правителството по отношение на медицинското облъчване</w:t>
            </w:r>
          </w:p>
        </w:tc>
        <w:tc>
          <w:tcPr>
            <w:tcW w:w="1560" w:type="dxa"/>
            <w:tcBorders>
              <w:top w:val="single" w:sz="4" w:space="0" w:color="auto"/>
            </w:tcBorders>
          </w:tcPr>
          <w:p w14:paraId="2F8BD53A" w14:textId="004E4CE5" w:rsidR="00F4428F" w:rsidRPr="003168AF" w:rsidRDefault="00F4428F" w:rsidP="00F4428F">
            <w:pPr>
              <w:jc w:val="center"/>
            </w:pPr>
            <w:r>
              <w:t>NAP</w:t>
            </w:r>
          </w:p>
        </w:tc>
        <w:tc>
          <w:tcPr>
            <w:tcW w:w="4252" w:type="dxa"/>
            <w:tcBorders>
              <w:top w:val="single" w:sz="4" w:space="0" w:color="auto"/>
            </w:tcBorders>
          </w:tcPr>
          <w:p w14:paraId="227FEB03" w14:textId="25A12D0D" w:rsidR="00F4428F" w:rsidRPr="007502CF" w:rsidRDefault="00B852F0" w:rsidP="00F4428F">
            <w:pPr>
              <w:rPr>
                <w:highlight w:val="yellow"/>
              </w:rPr>
            </w:pPr>
            <w:r>
              <w:t>Изискването не е приложимо към технологията.</w:t>
            </w:r>
          </w:p>
        </w:tc>
        <w:tc>
          <w:tcPr>
            <w:tcW w:w="992" w:type="dxa"/>
            <w:tcBorders>
              <w:top w:val="single" w:sz="4" w:space="0" w:color="auto"/>
            </w:tcBorders>
          </w:tcPr>
          <w:p w14:paraId="20679CDF" w14:textId="2074EE57" w:rsidR="00F4428F" w:rsidRPr="00DD635E" w:rsidRDefault="00DD635E" w:rsidP="00F4428F">
            <w:pPr>
              <w:jc w:val="center"/>
            </w:pPr>
            <w:r>
              <w:t>2.3.29</w:t>
            </w:r>
          </w:p>
        </w:tc>
      </w:tr>
      <w:tr w:rsidR="00F4428F" w:rsidRPr="007502CF" w14:paraId="11C5298C" w14:textId="77777777" w:rsidTr="006628CC">
        <w:trPr>
          <w:jc w:val="center"/>
        </w:trPr>
        <w:tc>
          <w:tcPr>
            <w:tcW w:w="497" w:type="dxa"/>
            <w:tcBorders>
              <w:top w:val="single" w:sz="4" w:space="0" w:color="auto"/>
            </w:tcBorders>
          </w:tcPr>
          <w:p w14:paraId="2630F463" w14:textId="6751D3E6" w:rsidR="00F4428F" w:rsidRDefault="00F4428F" w:rsidP="00F4428F">
            <w:pPr>
              <w:jc w:val="center"/>
              <w:rPr>
                <w:highlight w:val="yellow"/>
              </w:rPr>
            </w:pPr>
            <w:r>
              <w:rPr>
                <w:rFonts w:ascii="Calibri" w:hAnsi="Calibri"/>
                <w:color w:val="000000"/>
              </w:rPr>
              <w:t>35</w:t>
            </w:r>
          </w:p>
        </w:tc>
        <w:tc>
          <w:tcPr>
            <w:tcW w:w="2338" w:type="dxa"/>
            <w:tcBorders>
              <w:top w:val="single" w:sz="4" w:space="0" w:color="auto"/>
            </w:tcBorders>
          </w:tcPr>
          <w:p w14:paraId="3F1C47BE" w14:textId="6D6F855E" w:rsidR="00F4428F" w:rsidRPr="007502CF" w:rsidRDefault="00F4428F" w:rsidP="00F4428F">
            <w:pPr>
              <w:rPr>
                <w:highlight w:val="yellow"/>
              </w:rPr>
            </w:pPr>
            <w:r>
              <w:rPr>
                <w:sz w:val="21"/>
              </w:rPr>
              <w:t>Отговорности на регулаторния орган по отношение на медицинското облъчване</w:t>
            </w:r>
          </w:p>
        </w:tc>
        <w:tc>
          <w:tcPr>
            <w:tcW w:w="1560" w:type="dxa"/>
            <w:tcBorders>
              <w:top w:val="single" w:sz="4" w:space="0" w:color="auto"/>
            </w:tcBorders>
          </w:tcPr>
          <w:p w14:paraId="3AF90C54" w14:textId="6A4CD7D0" w:rsidR="00F4428F" w:rsidRPr="003168AF" w:rsidRDefault="00F4428F" w:rsidP="00F4428F">
            <w:pPr>
              <w:jc w:val="center"/>
            </w:pPr>
            <w:r>
              <w:t>NAP</w:t>
            </w:r>
          </w:p>
        </w:tc>
        <w:tc>
          <w:tcPr>
            <w:tcW w:w="4252" w:type="dxa"/>
            <w:tcBorders>
              <w:top w:val="single" w:sz="4" w:space="0" w:color="auto"/>
            </w:tcBorders>
          </w:tcPr>
          <w:p w14:paraId="7F5AD737" w14:textId="334A0472" w:rsidR="00F4428F" w:rsidRPr="007502CF" w:rsidRDefault="00B852F0" w:rsidP="00F4428F">
            <w:pPr>
              <w:rPr>
                <w:highlight w:val="yellow"/>
              </w:rPr>
            </w:pPr>
            <w:r>
              <w:t>Изискването не е приложимо към технологията.</w:t>
            </w:r>
          </w:p>
        </w:tc>
        <w:tc>
          <w:tcPr>
            <w:tcW w:w="992" w:type="dxa"/>
            <w:tcBorders>
              <w:top w:val="single" w:sz="4" w:space="0" w:color="auto"/>
            </w:tcBorders>
          </w:tcPr>
          <w:p w14:paraId="5AFF5DFA" w14:textId="7342BD5D" w:rsidR="00F4428F" w:rsidRPr="00DD635E" w:rsidRDefault="00DD635E" w:rsidP="00F4428F">
            <w:pPr>
              <w:jc w:val="center"/>
            </w:pPr>
            <w:r>
              <w:t>2.3.30</w:t>
            </w:r>
          </w:p>
        </w:tc>
      </w:tr>
      <w:tr w:rsidR="00F4428F" w:rsidRPr="007502CF" w14:paraId="73A3EB64" w14:textId="77777777" w:rsidTr="006628CC">
        <w:trPr>
          <w:jc w:val="center"/>
        </w:trPr>
        <w:tc>
          <w:tcPr>
            <w:tcW w:w="497" w:type="dxa"/>
            <w:tcBorders>
              <w:top w:val="single" w:sz="4" w:space="0" w:color="auto"/>
            </w:tcBorders>
          </w:tcPr>
          <w:p w14:paraId="7AEADA5D" w14:textId="493B02E2" w:rsidR="00F4428F" w:rsidRDefault="00F4428F" w:rsidP="00F4428F">
            <w:pPr>
              <w:jc w:val="center"/>
              <w:rPr>
                <w:highlight w:val="yellow"/>
              </w:rPr>
            </w:pPr>
            <w:r>
              <w:rPr>
                <w:rFonts w:ascii="Calibri" w:hAnsi="Calibri"/>
                <w:color w:val="000000"/>
              </w:rPr>
              <w:t>36</w:t>
            </w:r>
          </w:p>
        </w:tc>
        <w:tc>
          <w:tcPr>
            <w:tcW w:w="2338" w:type="dxa"/>
            <w:tcBorders>
              <w:top w:val="single" w:sz="4" w:space="0" w:color="auto"/>
            </w:tcBorders>
          </w:tcPr>
          <w:p w14:paraId="1EC80CDC" w14:textId="74F02522" w:rsidR="00F4428F" w:rsidRPr="007502CF" w:rsidRDefault="00F4428F" w:rsidP="00F4428F">
            <w:pPr>
              <w:rPr>
                <w:highlight w:val="yellow"/>
              </w:rPr>
            </w:pPr>
            <w:r>
              <w:rPr>
                <w:sz w:val="21"/>
              </w:rPr>
              <w:t xml:space="preserve">Отговорности на регистрираните лица и лицензиантите по </w:t>
            </w:r>
            <w:r>
              <w:rPr>
                <w:sz w:val="21"/>
              </w:rPr>
              <w:lastRenderedPageBreak/>
              <w:t>отношение на медицинското облъчване</w:t>
            </w:r>
          </w:p>
        </w:tc>
        <w:tc>
          <w:tcPr>
            <w:tcW w:w="1560" w:type="dxa"/>
            <w:tcBorders>
              <w:top w:val="single" w:sz="4" w:space="0" w:color="auto"/>
            </w:tcBorders>
          </w:tcPr>
          <w:p w14:paraId="7BA21D20" w14:textId="37383733" w:rsidR="00F4428F" w:rsidRPr="003168AF" w:rsidRDefault="00F4428F" w:rsidP="00F4428F">
            <w:pPr>
              <w:jc w:val="center"/>
            </w:pPr>
            <w:r>
              <w:lastRenderedPageBreak/>
              <w:t>NAP</w:t>
            </w:r>
          </w:p>
        </w:tc>
        <w:tc>
          <w:tcPr>
            <w:tcW w:w="4252" w:type="dxa"/>
            <w:tcBorders>
              <w:top w:val="single" w:sz="4" w:space="0" w:color="auto"/>
            </w:tcBorders>
          </w:tcPr>
          <w:p w14:paraId="1544403A" w14:textId="39995026" w:rsidR="00F4428F" w:rsidRPr="007502CF" w:rsidRDefault="00B852F0" w:rsidP="00F4428F">
            <w:pPr>
              <w:rPr>
                <w:highlight w:val="yellow"/>
              </w:rPr>
            </w:pPr>
            <w:r>
              <w:t>Изискването не е приложимо към технологията.</w:t>
            </w:r>
          </w:p>
        </w:tc>
        <w:tc>
          <w:tcPr>
            <w:tcW w:w="992" w:type="dxa"/>
            <w:tcBorders>
              <w:top w:val="single" w:sz="4" w:space="0" w:color="auto"/>
            </w:tcBorders>
          </w:tcPr>
          <w:p w14:paraId="76609E40" w14:textId="4883208D" w:rsidR="00F4428F" w:rsidRPr="00DD635E" w:rsidRDefault="00DD635E" w:rsidP="00F4428F">
            <w:pPr>
              <w:jc w:val="center"/>
            </w:pPr>
            <w:r>
              <w:t>2.3.31</w:t>
            </w:r>
          </w:p>
        </w:tc>
      </w:tr>
      <w:tr w:rsidR="00F4428F" w:rsidRPr="007502CF" w14:paraId="32D867F1" w14:textId="77777777" w:rsidTr="006628CC">
        <w:trPr>
          <w:jc w:val="center"/>
        </w:trPr>
        <w:tc>
          <w:tcPr>
            <w:tcW w:w="497" w:type="dxa"/>
            <w:tcBorders>
              <w:top w:val="single" w:sz="4" w:space="0" w:color="auto"/>
            </w:tcBorders>
          </w:tcPr>
          <w:p w14:paraId="0E39D0BD" w14:textId="77EA7A41" w:rsidR="00F4428F" w:rsidRDefault="00F4428F" w:rsidP="00F4428F">
            <w:pPr>
              <w:jc w:val="center"/>
              <w:rPr>
                <w:highlight w:val="yellow"/>
              </w:rPr>
            </w:pPr>
            <w:r>
              <w:rPr>
                <w:rFonts w:ascii="Calibri" w:hAnsi="Calibri"/>
                <w:color w:val="000000"/>
              </w:rPr>
              <w:t>37</w:t>
            </w:r>
          </w:p>
        </w:tc>
        <w:tc>
          <w:tcPr>
            <w:tcW w:w="2338" w:type="dxa"/>
            <w:tcBorders>
              <w:top w:val="single" w:sz="4" w:space="0" w:color="auto"/>
            </w:tcBorders>
          </w:tcPr>
          <w:p w14:paraId="5B099409" w14:textId="0F930930" w:rsidR="00F4428F" w:rsidRPr="007502CF" w:rsidRDefault="00F4428F" w:rsidP="00F4428F">
            <w:pPr>
              <w:rPr>
                <w:highlight w:val="yellow"/>
              </w:rPr>
            </w:pPr>
            <w:r>
              <w:rPr>
                <w:sz w:val="21"/>
              </w:rPr>
              <w:t>Обосновка на медицински облъчвания</w:t>
            </w:r>
          </w:p>
        </w:tc>
        <w:tc>
          <w:tcPr>
            <w:tcW w:w="1560" w:type="dxa"/>
            <w:tcBorders>
              <w:top w:val="single" w:sz="4" w:space="0" w:color="auto"/>
            </w:tcBorders>
          </w:tcPr>
          <w:p w14:paraId="19811203" w14:textId="2712E8D0" w:rsidR="00F4428F" w:rsidRPr="003168AF" w:rsidRDefault="00F4428F" w:rsidP="00F4428F">
            <w:pPr>
              <w:jc w:val="center"/>
            </w:pPr>
            <w:r>
              <w:t>NAP</w:t>
            </w:r>
          </w:p>
        </w:tc>
        <w:tc>
          <w:tcPr>
            <w:tcW w:w="4252" w:type="dxa"/>
            <w:tcBorders>
              <w:top w:val="single" w:sz="4" w:space="0" w:color="auto"/>
            </w:tcBorders>
          </w:tcPr>
          <w:p w14:paraId="079CB06B" w14:textId="49A48743" w:rsidR="00F4428F" w:rsidRPr="007502CF" w:rsidRDefault="00B852F0" w:rsidP="00F4428F">
            <w:pPr>
              <w:rPr>
                <w:highlight w:val="yellow"/>
              </w:rPr>
            </w:pPr>
            <w:r>
              <w:t>Изискването не е приложимо към технологията.</w:t>
            </w:r>
          </w:p>
        </w:tc>
        <w:tc>
          <w:tcPr>
            <w:tcW w:w="992" w:type="dxa"/>
            <w:tcBorders>
              <w:top w:val="single" w:sz="4" w:space="0" w:color="auto"/>
            </w:tcBorders>
          </w:tcPr>
          <w:p w14:paraId="2128BC9C" w14:textId="6640206F" w:rsidR="00F4428F" w:rsidRPr="00DD635E" w:rsidRDefault="00DD635E" w:rsidP="00F4428F">
            <w:pPr>
              <w:jc w:val="center"/>
            </w:pPr>
            <w:r>
              <w:t>2.3.32</w:t>
            </w:r>
          </w:p>
        </w:tc>
      </w:tr>
      <w:tr w:rsidR="00F4428F" w:rsidRPr="007502CF" w14:paraId="08969DBC" w14:textId="77777777" w:rsidTr="006628CC">
        <w:trPr>
          <w:jc w:val="center"/>
        </w:trPr>
        <w:tc>
          <w:tcPr>
            <w:tcW w:w="497" w:type="dxa"/>
            <w:tcBorders>
              <w:top w:val="single" w:sz="4" w:space="0" w:color="auto"/>
            </w:tcBorders>
          </w:tcPr>
          <w:p w14:paraId="2D3F5C06" w14:textId="79610DDD" w:rsidR="00F4428F" w:rsidRDefault="00F4428F" w:rsidP="00F4428F">
            <w:pPr>
              <w:jc w:val="center"/>
              <w:rPr>
                <w:highlight w:val="yellow"/>
              </w:rPr>
            </w:pPr>
            <w:r>
              <w:rPr>
                <w:rFonts w:ascii="Calibri" w:hAnsi="Calibri"/>
                <w:color w:val="000000"/>
              </w:rPr>
              <w:t>38</w:t>
            </w:r>
          </w:p>
        </w:tc>
        <w:tc>
          <w:tcPr>
            <w:tcW w:w="2338" w:type="dxa"/>
            <w:tcBorders>
              <w:top w:val="single" w:sz="4" w:space="0" w:color="auto"/>
            </w:tcBorders>
          </w:tcPr>
          <w:p w14:paraId="72BA0A86" w14:textId="720D00E7" w:rsidR="00F4428F" w:rsidRPr="007502CF" w:rsidRDefault="00F4428F" w:rsidP="00F4428F">
            <w:pPr>
              <w:rPr>
                <w:highlight w:val="yellow"/>
              </w:rPr>
            </w:pPr>
            <w:r>
              <w:rPr>
                <w:sz w:val="21"/>
              </w:rPr>
              <w:t>Оптимизация на защитата и безопасността</w:t>
            </w:r>
          </w:p>
        </w:tc>
        <w:tc>
          <w:tcPr>
            <w:tcW w:w="1560" w:type="dxa"/>
            <w:tcBorders>
              <w:top w:val="single" w:sz="4" w:space="0" w:color="auto"/>
            </w:tcBorders>
          </w:tcPr>
          <w:p w14:paraId="6632A74B" w14:textId="6F9B24CF" w:rsidR="00F4428F" w:rsidRPr="003168AF" w:rsidRDefault="00F4428F" w:rsidP="00F4428F">
            <w:pPr>
              <w:jc w:val="center"/>
            </w:pPr>
            <w:r>
              <w:t>NAP</w:t>
            </w:r>
          </w:p>
        </w:tc>
        <w:tc>
          <w:tcPr>
            <w:tcW w:w="4252" w:type="dxa"/>
            <w:tcBorders>
              <w:top w:val="single" w:sz="4" w:space="0" w:color="auto"/>
            </w:tcBorders>
          </w:tcPr>
          <w:p w14:paraId="4048E8C0" w14:textId="47E5FDCA" w:rsidR="00F4428F" w:rsidRPr="007502CF" w:rsidRDefault="00B852F0" w:rsidP="00F4428F">
            <w:pPr>
              <w:rPr>
                <w:highlight w:val="yellow"/>
              </w:rPr>
            </w:pPr>
            <w:r>
              <w:t>Изискването не е приложимо към технологията.</w:t>
            </w:r>
          </w:p>
        </w:tc>
        <w:tc>
          <w:tcPr>
            <w:tcW w:w="992" w:type="dxa"/>
            <w:tcBorders>
              <w:top w:val="single" w:sz="4" w:space="0" w:color="auto"/>
            </w:tcBorders>
          </w:tcPr>
          <w:p w14:paraId="4815D4EF" w14:textId="2BC4B9C9" w:rsidR="00F4428F" w:rsidRPr="00DD635E" w:rsidRDefault="00DD635E" w:rsidP="00F4428F">
            <w:pPr>
              <w:jc w:val="center"/>
            </w:pPr>
            <w:r>
              <w:t>2.3.33</w:t>
            </w:r>
          </w:p>
        </w:tc>
      </w:tr>
      <w:tr w:rsidR="00F4428F" w:rsidRPr="007502CF" w14:paraId="3DD4EDDE" w14:textId="77777777" w:rsidTr="006628CC">
        <w:trPr>
          <w:jc w:val="center"/>
        </w:trPr>
        <w:tc>
          <w:tcPr>
            <w:tcW w:w="497" w:type="dxa"/>
            <w:tcBorders>
              <w:top w:val="single" w:sz="4" w:space="0" w:color="auto"/>
            </w:tcBorders>
          </w:tcPr>
          <w:p w14:paraId="7E7493F0" w14:textId="1B5DDA0A" w:rsidR="00F4428F" w:rsidRDefault="00F4428F" w:rsidP="00F4428F">
            <w:pPr>
              <w:jc w:val="center"/>
              <w:rPr>
                <w:highlight w:val="yellow"/>
              </w:rPr>
            </w:pPr>
            <w:r>
              <w:rPr>
                <w:rFonts w:ascii="Calibri" w:hAnsi="Calibri"/>
                <w:color w:val="000000"/>
              </w:rPr>
              <w:t>39</w:t>
            </w:r>
          </w:p>
        </w:tc>
        <w:tc>
          <w:tcPr>
            <w:tcW w:w="2338" w:type="dxa"/>
            <w:tcBorders>
              <w:top w:val="single" w:sz="4" w:space="0" w:color="auto"/>
            </w:tcBorders>
          </w:tcPr>
          <w:p w14:paraId="595C4ECE" w14:textId="59AD2A3C" w:rsidR="00F4428F" w:rsidRPr="007502CF" w:rsidRDefault="00F4428F" w:rsidP="00F4428F">
            <w:pPr>
              <w:rPr>
                <w:highlight w:val="yellow"/>
              </w:rPr>
            </w:pPr>
            <w:r>
              <w:rPr>
                <w:sz w:val="21"/>
              </w:rPr>
              <w:t>Бременни или кърмещи пациентки</w:t>
            </w:r>
          </w:p>
        </w:tc>
        <w:tc>
          <w:tcPr>
            <w:tcW w:w="1560" w:type="dxa"/>
            <w:tcBorders>
              <w:top w:val="single" w:sz="4" w:space="0" w:color="auto"/>
            </w:tcBorders>
          </w:tcPr>
          <w:p w14:paraId="45480EFA" w14:textId="492EFF32" w:rsidR="00F4428F" w:rsidRPr="003168AF" w:rsidRDefault="00F4428F" w:rsidP="00F4428F">
            <w:pPr>
              <w:jc w:val="center"/>
            </w:pPr>
            <w:r>
              <w:t>NAP</w:t>
            </w:r>
          </w:p>
        </w:tc>
        <w:tc>
          <w:tcPr>
            <w:tcW w:w="4252" w:type="dxa"/>
            <w:tcBorders>
              <w:top w:val="single" w:sz="4" w:space="0" w:color="auto"/>
            </w:tcBorders>
          </w:tcPr>
          <w:p w14:paraId="78735400" w14:textId="5D46102A" w:rsidR="00F4428F" w:rsidRPr="007502CF" w:rsidRDefault="00B852F0" w:rsidP="00F4428F">
            <w:pPr>
              <w:rPr>
                <w:highlight w:val="yellow"/>
              </w:rPr>
            </w:pPr>
            <w:r>
              <w:t>Изискването не е приложимо към технологията.</w:t>
            </w:r>
          </w:p>
        </w:tc>
        <w:tc>
          <w:tcPr>
            <w:tcW w:w="992" w:type="dxa"/>
            <w:tcBorders>
              <w:top w:val="single" w:sz="4" w:space="0" w:color="auto"/>
            </w:tcBorders>
          </w:tcPr>
          <w:p w14:paraId="7B6A7344" w14:textId="5F2F7EA9" w:rsidR="00F4428F" w:rsidRPr="00DD635E" w:rsidRDefault="00DD635E" w:rsidP="00F4428F">
            <w:pPr>
              <w:jc w:val="center"/>
            </w:pPr>
            <w:r>
              <w:t>2.3.34</w:t>
            </w:r>
          </w:p>
        </w:tc>
      </w:tr>
      <w:tr w:rsidR="00F4428F" w:rsidRPr="007502CF" w14:paraId="25407C28" w14:textId="77777777" w:rsidTr="006628CC">
        <w:trPr>
          <w:jc w:val="center"/>
        </w:trPr>
        <w:tc>
          <w:tcPr>
            <w:tcW w:w="497" w:type="dxa"/>
            <w:tcBorders>
              <w:top w:val="single" w:sz="4" w:space="0" w:color="auto"/>
            </w:tcBorders>
          </w:tcPr>
          <w:p w14:paraId="461D6C1C" w14:textId="7A8263C2" w:rsidR="00F4428F" w:rsidRDefault="00F4428F" w:rsidP="00F4428F">
            <w:pPr>
              <w:jc w:val="center"/>
              <w:rPr>
                <w:highlight w:val="yellow"/>
              </w:rPr>
            </w:pPr>
            <w:r>
              <w:rPr>
                <w:rFonts w:ascii="Calibri" w:hAnsi="Calibri"/>
                <w:color w:val="000000"/>
              </w:rPr>
              <w:t>40</w:t>
            </w:r>
          </w:p>
        </w:tc>
        <w:tc>
          <w:tcPr>
            <w:tcW w:w="2338" w:type="dxa"/>
            <w:tcBorders>
              <w:top w:val="single" w:sz="4" w:space="0" w:color="auto"/>
            </w:tcBorders>
          </w:tcPr>
          <w:p w14:paraId="71C957E5" w14:textId="20836319" w:rsidR="00F4428F" w:rsidRPr="007502CF" w:rsidRDefault="00F4428F" w:rsidP="00F4428F">
            <w:pPr>
              <w:rPr>
                <w:highlight w:val="yellow"/>
              </w:rPr>
            </w:pPr>
            <w:r>
              <w:rPr>
                <w:sz w:val="21"/>
              </w:rPr>
              <w:t>Изписване на пациенти след радионуклидна терапия</w:t>
            </w:r>
          </w:p>
        </w:tc>
        <w:tc>
          <w:tcPr>
            <w:tcW w:w="1560" w:type="dxa"/>
            <w:tcBorders>
              <w:top w:val="single" w:sz="4" w:space="0" w:color="auto"/>
            </w:tcBorders>
          </w:tcPr>
          <w:p w14:paraId="543DD158" w14:textId="0C26F510" w:rsidR="00F4428F" w:rsidRPr="003168AF" w:rsidRDefault="00F4428F" w:rsidP="00F4428F">
            <w:pPr>
              <w:jc w:val="center"/>
            </w:pPr>
            <w:r>
              <w:t>NAP</w:t>
            </w:r>
          </w:p>
        </w:tc>
        <w:tc>
          <w:tcPr>
            <w:tcW w:w="4252" w:type="dxa"/>
            <w:tcBorders>
              <w:top w:val="single" w:sz="4" w:space="0" w:color="auto"/>
            </w:tcBorders>
          </w:tcPr>
          <w:p w14:paraId="6294FF33" w14:textId="63E6F6AB" w:rsidR="00F4428F" w:rsidRPr="007502CF" w:rsidRDefault="00B852F0" w:rsidP="00F4428F">
            <w:pPr>
              <w:rPr>
                <w:highlight w:val="yellow"/>
              </w:rPr>
            </w:pPr>
            <w:r>
              <w:t>Изискването не е приложимо към технологията.</w:t>
            </w:r>
          </w:p>
        </w:tc>
        <w:tc>
          <w:tcPr>
            <w:tcW w:w="992" w:type="dxa"/>
            <w:tcBorders>
              <w:top w:val="single" w:sz="4" w:space="0" w:color="auto"/>
            </w:tcBorders>
          </w:tcPr>
          <w:p w14:paraId="090F2664" w14:textId="69505950" w:rsidR="00F4428F" w:rsidRPr="00DD635E" w:rsidRDefault="00DD635E" w:rsidP="00F4428F">
            <w:pPr>
              <w:jc w:val="center"/>
            </w:pPr>
            <w:r>
              <w:t>2.3.35</w:t>
            </w:r>
          </w:p>
        </w:tc>
      </w:tr>
      <w:tr w:rsidR="00F4428F" w:rsidRPr="007502CF" w14:paraId="081A2B6D" w14:textId="77777777" w:rsidTr="006628CC">
        <w:trPr>
          <w:jc w:val="center"/>
        </w:trPr>
        <w:tc>
          <w:tcPr>
            <w:tcW w:w="497" w:type="dxa"/>
            <w:tcBorders>
              <w:top w:val="single" w:sz="4" w:space="0" w:color="auto"/>
            </w:tcBorders>
          </w:tcPr>
          <w:p w14:paraId="259444F8" w14:textId="7739F72B" w:rsidR="00F4428F" w:rsidRDefault="00F4428F" w:rsidP="00F4428F">
            <w:pPr>
              <w:jc w:val="center"/>
              <w:rPr>
                <w:highlight w:val="yellow"/>
              </w:rPr>
            </w:pPr>
            <w:r>
              <w:rPr>
                <w:rFonts w:ascii="Calibri" w:hAnsi="Calibri"/>
                <w:color w:val="000000"/>
              </w:rPr>
              <w:t>41</w:t>
            </w:r>
          </w:p>
        </w:tc>
        <w:tc>
          <w:tcPr>
            <w:tcW w:w="2338" w:type="dxa"/>
            <w:tcBorders>
              <w:top w:val="single" w:sz="4" w:space="0" w:color="auto"/>
            </w:tcBorders>
          </w:tcPr>
          <w:p w14:paraId="4426AD4B" w14:textId="2D91278A" w:rsidR="00F4428F" w:rsidRPr="007502CF" w:rsidRDefault="00F4428F" w:rsidP="00F4428F">
            <w:pPr>
              <w:rPr>
                <w:highlight w:val="yellow"/>
              </w:rPr>
            </w:pPr>
            <w:r>
              <w:rPr>
                <w:sz w:val="21"/>
              </w:rPr>
              <w:t xml:space="preserve">Непреднамерено и </w:t>
            </w:r>
            <w:r w:rsidR="004B098C">
              <w:rPr>
                <w:sz w:val="21"/>
              </w:rPr>
              <w:t xml:space="preserve">случайно </w:t>
            </w:r>
            <w:r>
              <w:rPr>
                <w:sz w:val="21"/>
              </w:rPr>
              <w:t>медицинско облъчване</w:t>
            </w:r>
          </w:p>
        </w:tc>
        <w:tc>
          <w:tcPr>
            <w:tcW w:w="1560" w:type="dxa"/>
            <w:tcBorders>
              <w:top w:val="single" w:sz="4" w:space="0" w:color="auto"/>
            </w:tcBorders>
          </w:tcPr>
          <w:p w14:paraId="1AD2EFDD" w14:textId="0CAFFB30" w:rsidR="00F4428F" w:rsidRPr="003168AF" w:rsidRDefault="00F4428F" w:rsidP="00F4428F">
            <w:pPr>
              <w:jc w:val="center"/>
            </w:pPr>
            <w:r>
              <w:t>NAP</w:t>
            </w:r>
          </w:p>
        </w:tc>
        <w:tc>
          <w:tcPr>
            <w:tcW w:w="4252" w:type="dxa"/>
            <w:tcBorders>
              <w:top w:val="single" w:sz="4" w:space="0" w:color="auto"/>
            </w:tcBorders>
          </w:tcPr>
          <w:p w14:paraId="2948AE0E" w14:textId="2E91EF0A" w:rsidR="00F4428F" w:rsidRPr="007502CF" w:rsidRDefault="00B852F0" w:rsidP="00F4428F">
            <w:pPr>
              <w:rPr>
                <w:highlight w:val="yellow"/>
              </w:rPr>
            </w:pPr>
            <w:r>
              <w:t>Изискването не е приложимо към технологията.</w:t>
            </w:r>
          </w:p>
        </w:tc>
        <w:tc>
          <w:tcPr>
            <w:tcW w:w="992" w:type="dxa"/>
            <w:tcBorders>
              <w:top w:val="single" w:sz="4" w:space="0" w:color="auto"/>
            </w:tcBorders>
          </w:tcPr>
          <w:p w14:paraId="644A0E79" w14:textId="73578A51" w:rsidR="00F4428F" w:rsidRPr="00DD635E" w:rsidRDefault="00DD635E" w:rsidP="00F4428F">
            <w:pPr>
              <w:jc w:val="center"/>
            </w:pPr>
            <w:r>
              <w:t>2.3.36</w:t>
            </w:r>
          </w:p>
        </w:tc>
      </w:tr>
      <w:tr w:rsidR="00F4428F" w:rsidRPr="007502CF" w14:paraId="3FD35273" w14:textId="77777777" w:rsidTr="006628CC">
        <w:trPr>
          <w:jc w:val="center"/>
        </w:trPr>
        <w:tc>
          <w:tcPr>
            <w:tcW w:w="497" w:type="dxa"/>
            <w:tcBorders>
              <w:top w:val="single" w:sz="4" w:space="0" w:color="auto"/>
            </w:tcBorders>
          </w:tcPr>
          <w:p w14:paraId="64DB49EF" w14:textId="05CC29D5" w:rsidR="00F4428F" w:rsidRDefault="00F4428F" w:rsidP="00F4428F">
            <w:pPr>
              <w:jc w:val="center"/>
              <w:rPr>
                <w:highlight w:val="yellow"/>
              </w:rPr>
            </w:pPr>
            <w:r>
              <w:rPr>
                <w:rFonts w:ascii="Calibri" w:hAnsi="Calibri"/>
                <w:color w:val="000000"/>
              </w:rPr>
              <w:t>42</w:t>
            </w:r>
          </w:p>
        </w:tc>
        <w:tc>
          <w:tcPr>
            <w:tcW w:w="2338" w:type="dxa"/>
            <w:tcBorders>
              <w:top w:val="single" w:sz="4" w:space="0" w:color="auto"/>
            </w:tcBorders>
          </w:tcPr>
          <w:p w14:paraId="4BB045FE" w14:textId="1BF6B1F8" w:rsidR="00F4428F" w:rsidRPr="007502CF" w:rsidRDefault="00F4428F" w:rsidP="00F4428F">
            <w:pPr>
              <w:rPr>
                <w:highlight w:val="yellow"/>
              </w:rPr>
            </w:pPr>
            <w:r>
              <w:rPr>
                <w:sz w:val="21"/>
              </w:rPr>
              <w:t>Проверки и записи</w:t>
            </w:r>
          </w:p>
        </w:tc>
        <w:tc>
          <w:tcPr>
            <w:tcW w:w="1560" w:type="dxa"/>
            <w:tcBorders>
              <w:top w:val="single" w:sz="4" w:space="0" w:color="auto"/>
            </w:tcBorders>
          </w:tcPr>
          <w:p w14:paraId="4479F7E4" w14:textId="020787F4" w:rsidR="00F4428F" w:rsidRPr="003168AF" w:rsidRDefault="00F4428F" w:rsidP="00F4428F">
            <w:pPr>
              <w:jc w:val="center"/>
            </w:pPr>
            <w:r>
              <w:t>NAP</w:t>
            </w:r>
          </w:p>
        </w:tc>
        <w:tc>
          <w:tcPr>
            <w:tcW w:w="4252" w:type="dxa"/>
            <w:tcBorders>
              <w:top w:val="single" w:sz="4" w:space="0" w:color="auto"/>
            </w:tcBorders>
          </w:tcPr>
          <w:p w14:paraId="1627BEC5" w14:textId="2F8C2235" w:rsidR="00F4428F" w:rsidRPr="007502CF" w:rsidRDefault="00B852F0" w:rsidP="00F4428F">
            <w:pPr>
              <w:rPr>
                <w:highlight w:val="yellow"/>
              </w:rPr>
            </w:pPr>
            <w:r>
              <w:t>Изискването не е приложимо към технологията.</w:t>
            </w:r>
          </w:p>
        </w:tc>
        <w:tc>
          <w:tcPr>
            <w:tcW w:w="992" w:type="dxa"/>
            <w:tcBorders>
              <w:top w:val="single" w:sz="4" w:space="0" w:color="auto"/>
            </w:tcBorders>
          </w:tcPr>
          <w:p w14:paraId="0DCE5659" w14:textId="6E71CB3A" w:rsidR="00F4428F" w:rsidRPr="00DD635E" w:rsidRDefault="00DD635E" w:rsidP="00F4428F">
            <w:pPr>
              <w:jc w:val="center"/>
            </w:pPr>
            <w:r>
              <w:t>2.3.37</w:t>
            </w:r>
          </w:p>
        </w:tc>
      </w:tr>
      <w:tr w:rsidR="00F4428F" w:rsidRPr="007502CF" w14:paraId="0B77F489" w14:textId="77777777" w:rsidTr="006628CC">
        <w:trPr>
          <w:jc w:val="center"/>
        </w:trPr>
        <w:tc>
          <w:tcPr>
            <w:tcW w:w="9639" w:type="dxa"/>
            <w:gridSpan w:val="5"/>
            <w:tcBorders>
              <w:top w:val="single" w:sz="4" w:space="0" w:color="auto"/>
            </w:tcBorders>
            <w:vAlign w:val="center"/>
          </w:tcPr>
          <w:p w14:paraId="74A8D172" w14:textId="374672A0" w:rsidR="00F4428F" w:rsidRPr="003168AF" w:rsidRDefault="00F4428F" w:rsidP="00F4428F">
            <w:pPr>
              <w:spacing w:after="0"/>
              <w:jc w:val="center"/>
              <w:rPr>
                <w:b/>
                <w:bCs/>
              </w:rPr>
            </w:pPr>
            <w:r>
              <w:rPr>
                <w:b/>
              </w:rPr>
              <w:t>СИТУАЦИИ НА АВАРИЙНО ОБЛЪЧВАНЕ</w:t>
            </w:r>
          </w:p>
        </w:tc>
      </w:tr>
      <w:tr w:rsidR="00F4428F" w:rsidRPr="007502CF" w14:paraId="0BF6A637" w14:textId="77777777" w:rsidTr="006628CC">
        <w:trPr>
          <w:jc w:val="center"/>
        </w:trPr>
        <w:tc>
          <w:tcPr>
            <w:tcW w:w="497" w:type="dxa"/>
            <w:tcBorders>
              <w:top w:val="single" w:sz="4" w:space="0" w:color="auto"/>
            </w:tcBorders>
          </w:tcPr>
          <w:p w14:paraId="19DAD165" w14:textId="046D7193" w:rsidR="00F4428F" w:rsidRDefault="00F4428F" w:rsidP="00F4428F">
            <w:pPr>
              <w:jc w:val="center"/>
              <w:rPr>
                <w:highlight w:val="yellow"/>
              </w:rPr>
            </w:pPr>
            <w:r>
              <w:rPr>
                <w:rFonts w:ascii="Calibri" w:hAnsi="Calibri"/>
                <w:color w:val="000000"/>
              </w:rPr>
              <w:t>43</w:t>
            </w:r>
          </w:p>
        </w:tc>
        <w:tc>
          <w:tcPr>
            <w:tcW w:w="2338" w:type="dxa"/>
            <w:tcBorders>
              <w:top w:val="single" w:sz="4" w:space="0" w:color="auto"/>
            </w:tcBorders>
          </w:tcPr>
          <w:p w14:paraId="7A9FDD77" w14:textId="0B8C06C9" w:rsidR="00F4428F" w:rsidRPr="007502CF" w:rsidRDefault="00F4428F" w:rsidP="00F4428F">
            <w:pPr>
              <w:rPr>
                <w:highlight w:val="yellow"/>
              </w:rPr>
            </w:pPr>
            <w:r>
              <w:rPr>
                <w:sz w:val="21"/>
              </w:rPr>
              <w:t>Система за управление на аварийни ситуации</w:t>
            </w:r>
          </w:p>
        </w:tc>
        <w:tc>
          <w:tcPr>
            <w:tcW w:w="1560" w:type="dxa"/>
            <w:tcBorders>
              <w:top w:val="single" w:sz="4" w:space="0" w:color="auto"/>
            </w:tcBorders>
          </w:tcPr>
          <w:p w14:paraId="62000CE6" w14:textId="57F6C1C5" w:rsidR="00F4428F" w:rsidRPr="003168AF" w:rsidRDefault="00DE5355" w:rsidP="00F4428F">
            <w:pPr>
              <w:jc w:val="center"/>
            </w:pPr>
            <w:r>
              <w:t>OR, EP</w:t>
            </w:r>
          </w:p>
        </w:tc>
        <w:tc>
          <w:tcPr>
            <w:tcW w:w="4252" w:type="dxa"/>
            <w:tcBorders>
              <w:top w:val="single" w:sz="4" w:space="0" w:color="auto"/>
            </w:tcBorders>
          </w:tcPr>
          <w:p w14:paraId="36FBB856" w14:textId="67354AD7" w:rsidR="00F4428F" w:rsidRPr="007502CF" w:rsidRDefault="00317754" w:rsidP="00F4428F">
            <w:pPr>
              <w:rPr>
                <w:highlight w:val="yellow"/>
              </w:rPr>
            </w:pPr>
            <w:r>
              <w:t>Това е отговорност на Собственика / Лицензианта / Правителството.</w:t>
            </w:r>
          </w:p>
        </w:tc>
        <w:tc>
          <w:tcPr>
            <w:tcW w:w="992" w:type="dxa"/>
            <w:tcBorders>
              <w:top w:val="single" w:sz="4" w:space="0" w:color="auto"/>
            </w:tcBorders>
          </w:tcPr>
          <w:p w14:paraId="71DB7A7B" w14:textId="2B94BBD3" w:rsidR="00F4428F" w:rsidRPr="007502CF" w:rsidRDefault="00F4428F" w:rsidP="00F4428F">
            <w:pPr>
              <w:jc w:val="center"/>
              <w:rPr>
                <w:highlight w:val="yellow"/>
              </w:rPr>
            </w:pPr>
            <w:r>
              <w:rPr>
                <w:rFonts w:ascii="Calibri" w:hAnsi="Calibri"/>
                <w:color w:val="000000"/>
              </w:rPr>
              <w:t>2.4.1</w:t>
            </w:r>
          </w:p>
        </w:tc>
      </w:tr>
      <w:tr w:rsidR="00F4428F" w:rsidRPr="007502CF" w14:paraId="3152A138" w14:textId="77777777" w:rsidTr="006628CC">
        <w:trPr>
          <w:jc w:val="center"/>
        </w:trPr>
        <w:tc>
          <w:tcPr>
            <w:tcW w:w="497" w:type="dxa"/>
            <w:tcBorders>
              <w:top w:val="single" w:sz="4" w:space="0" w:color="auto"/>
            </w:tcBorders>
          </w:tcPr>
          <w:p w14:paraId="0D1E5A56" w14:textId="75AAD9C8" w:rsidR="00F4428F" w:rsidRDefault="00F4428F" w:rsidP="00F4428F">
            <w:pPr>
              <w:jc w:val="center"/>
              <w:rPr>
                <w:highlight w:val="yellow"/>
              </w:rPr>
            </w:pPr>
            <w:r>
              <w:rPr>
                <w:rFonts w:ascii="Calibri" w:hAnsi="Calibri"/>
                <w:color w:val="000000"/>
              </w:rPr>
              <w:t>44</w:t>
            </w:r>
          </w:p>
        </w:tc>
        <w:tc>
          <w:tcPr>
            <w:tcW w:w="2338" w:type="dxa"/>
            <w:tcBorders>
              <w:top w:val="single" w:sz="4" w:space="0" w:color="auto"/>
            </w:tcBorders>
          </w:tcPr>
          <w:p w14:paraId="607C548E" w14:textId="644990A4" w:rsidR="00F4428F" w:rsidRPr="007502CF" w:rsidRDefault="00F4428F" w:rsidP="00F4428F">
            <w:pPr>
              <w:rPr>
                <w:highlight w:val="yellow"/>
              </w:rPr>
            </w:pPr>
            <w:r>
              <w:rPr>
                <w:sz w:val="21"/>
              </w:rPr>
              <w:t>Готовност и реагиране в случай на аварийна ситуация</w:t>
            </w:r>
          </w:p>
        </w:tc>
        <w:tc>
          <w:tcPr>
            <w:tcW w:w="1560" w:type="dxa"/>
            <w:tcBorders>
              <w:top w:val="single" w:sz="4" w:space="0" w:color="auto"/>
            </w:tcBorders>
          </w:tcPr>
          <w:p w14:paraId="1CC4B816" w14:textId="42382B67" w:rsidR="00F4428F" w:rsidRPr="003168AF" w:rsidRDefault="002A25B0" w:rsidP="00F4428F">
            <w:pPr>
              <w:jc w:val="center"/>
            </w:pPr>
            <w:r>
              <w:t>CWO, OR, EP</w:t>
            </w:r>
          </w:p>
        </w:tc>
        <w:tc>
          <w:tcPr>
            <w:tcW w:w="4252" w:type="dxa"/>
            <w:tcBorders>
              <w:top w:val="single" w:sz="4" w:space="0" w:color="auto"/>
            </w:tcBorders>
          </w:tcPr>
          <w:p w14:paraId="0797185C" w14:textId="1F5C588F" w:rsidR="00F4428F" w:rsidRDefault="00317754" w:rsidP="00F4428F">
            <w:r>
              <w:t>Това е отговорност на Собственика / Лицензианта / Правителството / външни страни.</w:t>
            </w:r>
          </w:p>
          <w:p w14:paraId="41D6D811" w14:textId="34A69BD2" w:rsidR="00BC4328" w:rsidRPr="007502CF" w:rsidRDefault="00BC4328" w:rsidP="00F4428F">
            <w:pPr>
              <w:rPr>
                <w:highlight w:val="yellow"/>
              </w:rPr>
            </w:pPr>
            <w:r>
              <w:t xml:space="preserve">За да се изпълнят Стандартите за безопасност на МААЕ № GSR, Част 3, Радиационна защита и безопасност на източниците на радиация: Международни основни стандарти за безопасност, ще е </w:t>
            </w:r>
            <w:r>
              <w:lastRenderedPageBreak/>
              <w:t>необходимо да се извършат конкретни изчисления за анализ на авариите.</w:t>
            </w:r>
          </w:p>
        </w:tc>
        <w:tc>
          <w:tcPr>
            <w:tcW w:w="992" w:type="dxa"/>
            <w:tcBorders>
              <w:top w:val="single" w:sz="4" w:space="0" w:color="auto"/>
            </w:tcBorders>
          </w:tcPr>
          <w:p w14:paraId="6A2BE73B" w14:textId="388C25E4" w:rsidR="00F4428F" w:rsidRPr="007502CF" w:rsidRDefault="00F4428F" w:rsidP="00F4428F">
            <w:pPr>
              <w:jc w:val="center"/>
              <w:rPr>
                <w:highlight w:val="yellow"/>
              </w:rPr>
            </w:pPr>
            <w:r>
              <w:rPr>
                <w:rFonts w:ascii="Calibri" w:hAnsi="Calibri"/>
                <w:color w:val="000000"/>
              </w:rPr>
              <w:lastRenderedPageBreak/>
              <w:t>2.4.2</w:t>
            </w:r>
          </w:p>
        </w:tc>
      </w:tr>
      <w:tr w:rsidR="00F4428F" w:rsidRPr="007502CF" w14:paraId="2C2B0C41" w14:textId="77777777" w:rsidTr="006628CC">
        <w:trPr>
          <w:jc w:val="center"/>
        </w:trPr>
        <w:tc>
          <w:tcPr>
            <w:tcW w:w="497" w:type="dxa"/>
            <w:tcBorders>
              <w:top w:val="single" w:sz="4" w:space="0" w:color="auto"/>
            </w:tcBorders>
          </w:tcPr>
          <w:p w14:paraId="2C21890F" w14:textId="3671D581" w:rsidR="00F4428F" w:rsidRDefault="00F4428F" w:rsidP="00F4428F">
            <w:pPr>
              <w:jc w:val="center"/>
              <w:rPr>
                <w:highlight w:val="yellow"/>
              </w:rPr>
            </w:pPr>
            <w:r>
              <w:rPr>
                <w:rFonts w:ascii="Calibri" w:hAnsi="Calibri"/>
                <w:color w:val="000000"/>
              </w:rPr>
              <w:t>45</w:t>
            </w:r>
          </w:p>
        </w:tc>
        <w:tc>
          <w:tcPr>
            <w:tcW w:w="2338" w:type="dxa"/>
            <w:tcBorders>
              <w:top w:val="single" w:sz="4" w:space="0" w:color="auto"/>
            </w:tcBorders>
          </w:tcPr>
          <w:p w14:paraId="1D93CE7B" w14:textId="4D5F73CF" w:rsidR="00F4428F" w:rsidRPr="007502CF" w:rsidRDefault="00F4428F" w:rsidP="00F4428F">
            <w:pPr>
              <w:rPr>
                <w:highlight w:val="yellow"/>
              </w:rPr>
            </w:pPr>
            <w:r>
              <w:rPr>
                <w:sz w:val="21"/>
              </w:rPr>
              <w:t xml:space="preserve">Мерки за контрол </w:t>
            </w:r>
            <w:r w:rsidR="00672DC8">
              <w:rPr>
                <w:sz w:val="21"/>
              </w:rPr>
              <w:t>при аварийно</w:t>
            </w:r>
            <w:r>
              <w:rPr>
                <w:sz w:val="21"/>
              </w:rPr>
              <w:t xml:space="preserve"> облъчване на </w:t>
            </w:r>
            <w:r w:rsidR="00672DC8">
              <w:rPr>
                <w:sz w:val="21"/>
              </w:rPr>
              <w:t>персонала</w:t>
            </w:r>
          </w:p>
        </w:tc>
        <w:tc>
          <w:tcPr>
            <w:tcW w:w="1560" w:type="dxa"/>
            <w:tcBorders>
              <w:top w:val="single" w:sz="4" w:space="0" w:color="auto"/>
            </w:tcBorders>
          </w:tcPr>
          <w:p w14:paraId="4A6509D8" w14:textId="18A5E58B" w:rsidR="00F4428F" w:rsidRPr="003168AF" w:rsidRDefault="00DE5355" w:rsidP="00F4428F">
            <w:pPr>
              <w:jc w:val="center"/>
            </w:pPr>
            <w:r>
              <w:t>OR, EP</w:t>
            </w:r>
          </w:p>
        </w:tc>
        <w:tc>
          <w:tcPr>
            <w:tcW w:w="4252" w:type="dxa"/>
            <w:tcBorders>
              <w:top w:val="single" w:sz="4" w:space="0" w:color="auto"/>
            </w:tcBorders>
          </w:tcPr>
          <w:p w14:paraId="2137700C" w14:textId="5D4CE2DF" w:rsidR="00F4428F" w:rsidRPr="007502CF" w:rsidRDefault="00317754" w:rsidP="00F4428F">
            <w:pPr>
              <w:rPr>
                <w:highlight w:val="yellow"/>
              </w:rPr>
            </w:pPr>
            <w:r>
              <w:t>Това е отговорност на Собственика / Лицензианта / Правителството.</w:t>
            </w:r>
          </w:p>
        </w:tc>
        <w:tc>
          <w:tcPr>
            <w:tcW w:w="992" w:type="dxa"/>
            <w:tcBorders>
              <w:top w:val="single" w:sz="4" w:space="0" w:color="auto"/>
            </w:tcBorders>
          </w:tcPr>
          <w:p w14:paraId="66D24842" w14:textId="74B64954" w:rsidR="00F4428F" w:rsidRPr="007502CF" w:rsidRDefault="00F4428F" w:rsidP="00F4428F">
            <w:pPr>
              <w:jc w:val="center"/>
              <w:rPr>
                <w:highlight w:val="yellow"/>
              </w:rPr>
            </w:pPr>
            <w:r>
              <w:rPr>
                <w:rFonts w:ascii="Calibri" w:hAnsi="Calibri"/>
                <w:color w:val="000000"/>
              </w:rPr>
              <w:t>2.4.3</w:t>
            </w:r>
          </w:p>
        </w:tc>
      </w:tr>
      <w:tr w:rsidR="00F4428F" w:rsidRPr="007502CF" w14:paraId="5E230CEC" w14:textId="77777777" w:rsidTr="006628CC">
        <w:trPr>
          <w:jc w:val="center"/>
        </w:trPr>
        <w:tc>
          <w:tcPr>
            <w:tcW w:w="497" w:type="dxa"/>
            <w:tcBorders>
              <w:top w:val="single" w:sz="4" w:space="0" w:color="auto"/>
            </w:tcBorders>
          </w:tcPr>
          <w:p w14:paraId="6CE758F7" w14:textId="4818757A" w:rsidR="00F4428F" w:rsidRDefault="00F4428F" w:rsidP="00F4428F">
            <w:pPr>
              <w:jc w:val="center"/>
              <w:rPr>
                <w:highlight w:val="yellow"/>
              </w:rPr>
            </w:pPr>
            <w:r>
              <w:rPr>
                <w:rFonts w:ascii="Calibri" w:hAnsi="Calibri"/>
                <w:color w:val="000000"/>
              </w:rPr>
              <w:t>46</w:t>
            </w:r>
          </w:p>
        </w:tc>
        <w:tc>
          <w:tcPr>
            <w:tcW w:w="2338" w:type="dxa"/>
            <w:tcBorders>
              <w:top w:val="single" w:sz="4" w:space="0" w:color="auto"/>
            </w:tcBorders>
          </w:tcPr>
          <w:p w14:paraId="024CEBFA" w14:textId="6A2CC69E" w:rsidR="00F4428F" w:rsidRPr="007502CF" w:rsidRDefault="00F4428F" w:rsidP="00F4428F">
            <w:pPr>
              <w:rPr>
                <w:highlight w:val="yellow"/>
              </w:rPr>
            </w:pPr>
            <w:r>
              <w:rPr>
                <w:sz w:val="21"/>
              </w:rPr>
              <w:t>Мерки за преминаване от ситуация на аварийно облъчване към ситуация на съществуващо облъчване</w:t>
            </w:r>
          </w:p>
        </w:tc>
        <w:tc>
          <w:tcPr>
            <w:tcW w:w="1560" w:type="dxa"/>
            <w:tcBorders>
              <w:top w:val="single" w:sz="4" w:space="0" w:color="auto"/>
            </w:tcBorders>
          </w:tcPr>
          <w:p w14:paraId="5C058D31" w14:textId="1ED5E0EB" w:rsidR="00F4428F" w:rsidRPr="003168AF" w:rsidRDefault="00DE5355" w:rsidP="00F4428F">
            <w:pPr>
              <w:jc w:val="center"/>
            </w:pPr>
            <w:r>
              <w:t>OR, EP</w:t>
            </w:r>
          </w:p>
        </w:tc>
        <w:tc>
          <w:tcPr>
            <w:tcW w:w="4252" w:type="dxa"/>
            <w:tcBorders>
              <w:top w:val="single" w:sz="4" w:space="0" w:color="auto"/>
            </w:tcBorders>
          </w:tcPr>
          <w:p w14:paraId="5C06738F" w14:textId="7E1DC613" w:rsidR="00F4428F" w:rsidRPr="007502CF" w:rsidRDefault="00317754" w:rsidP="00F4428F">
            <w:pPr>
              <w:rPr>
                <w:highlight w:val="yellow"/>
              </w:rPr>
            </w:pPr>
            <w:r>
              <w:t>Това е отговорност на Собственика / Лицензианта / Правителството / външни страни.</w:t>
            </w:r>
          </w:p>
        </w:tc>
        <w:tc>
          <w:tcPr>
            <w:tcW w:w="992" w:type="dxa"/>
            <w:tcBorders>
              <w:top w:val="single" w:sz="4" w:space="0" w:color="auto"/>
            </w:tcBorders>
          </w:tcPr>
          <w:p w14:paraId="7E8C0EDC" w14:textId="36414570" w:rsidR="00F4428F" w:rsidRPr="007502CF" w:rsidRDefault="00F4428F" w:rsidP="00F4428F">
            <w:pPr>
              <w:jc w:val="center"/>
              <w:rPr>
                <w:highlight w:val="yellow"/>
              </w:rPr>
            </w:pPr>
            <w:r>
              <w:rPr>
                <w:rFonts w:ascii="Calibri" w:hAnsi="Calibri"/>
                <w:color w:val="000000"/>
              </w:rPr>
              <w:t>2.4.4</w:t>
            </w:r>
          </w:p>
        </w:tc>
      </w:tr>
      <w:tr w:rsidR="00F4428F" w:rsidRPr="007502CF" w14:paraId="0A29DFF9" w14:textId="77777777" w:rsidTr="006628CC">
        <w:trPr>
          <w:jc w:val="center"/>
        </w:trPr>
        <w:tc>
          <w:tcPr>
            <w:tcW w:w="9639" w:type="dxa"/>
            <w:gridSpan w:val="5"/>
            <w:tcBorders>
              <w:top w:val="single" w:sz="4" w:space="0" w:color="auto"/>
            </w:tcBorders>
            <w:vAlign w:val="center"/>
          </w:tcPr>
          <w:p w14:paraId="7D99A3B2" w14:textId="729FC526" w:rsidR="00F4428F" w:rsidRPr="003168AF" w:rsidRDefault="00F4428F" w:rsidP="00F4428F">
            <w:pPr>
              <w:spacing w:after="0"/>
              <w:jc w:val="center"/>
              <w:rPr>
                <w:b/>
                <w:bCs/>
              </w:rPr>
            </w:pPr>
            <w:r>
              <w:rPr>
                <w:b/>
              </w:rPr>
              <w:t>СИТУАЦИИ НА СЪЩЕСТВУВАЩО ОБЛЪЧВАНЕ</w:t>
            </w:r>
          </w:p>
        </w:tc>
      </w:tr>
      <w:tr w:rsidR="00B852F0" w:rsidRPr="007502CF" w14:paraId="67B4BF1A" w14:textId="77777777" w:rsidTr="006628CC">
        <w:trPr>
          <w:jc w:val="center"/>
        </w:trPr>
        <w:tc>
          <w:tcPr>
            <w:tcW w:w="497" w:type="dxa"/>
            <w:tcBorders>
              <w:top w:val="single" w:sz="4" w:space="0" w:color="auto"/>
            </w:tcBorders>
          </w:tcPr>
          <w:p w14:paraId="04E7861E" w14:textId="6D5FAB53" w:rsidR="00B852F0" w:rsidRDefault="00B852F0" w:rsidP="00B852F0">
            <w:pPr>
              <w:jc w:val="center"/>
              <w:rPr>
                <w:highlight w:val="yellow"/>
              </w:rPr>
            </w:pPr>
            <w:r>
              <w:rPr>
                <w:rFonts w:ascii="Calibri" w:hAnsi="Calibri"/>
                <w:color w:val="000000"/>
              </w:rPr>
              <w:t>47</w:t>
            </w:r>
          </w:p>
        </w:tc>
        <w:tc>
          <w:tcPr>
            <w:tcW w:w="2338" w:type="dxa"/>
            <w:tcBorders>
              <w:top w:val="single" w:sz="4" w:space="0" w:color="auto"/>
            </w:tcBorders>
          </w:tcPr>
          <w:p w14:paraId="4110D6A2" w14:textId="0D18A487" w:rsidR="00B852F0" w:rsidRPr="007502CF" w:rsidRDefault="00B852F0" w:rsidP="00B852F0">
            <w:pPr>
              <w:rPr>
                <w:highlight w:val="yellow"/>
              </w:rPr>
            </w:pPr>
            <w:r>
              <w:rPr>
                <w:sz w:val="21"/>
              </w:rPr>
              <w:t>Отговорности на правителството по отношение на ситуации на съществуващо облъчване</w:t>
            </w:r>
          </w:p>
        </w:tc>
        <w:tc>
          <w:tcPr>
            <w:tcW w:w="1560" w:type="dxa"/>
            <w:tcBorders>
              <w:top w:val="single" w:sz="4" w:space="0" w:color="auto"/>
            </w:tcBorders>
          </w:tcPr>
          <w:p w14:paraId="3E06E55C" w14:textId="3EF35A4A" w:rsidR="00B852F0" w:rsidRPr="003168AF" w:rsidRDefault="008F7B4D" w:rsidP="00B852F0">
            <w:pPr>
              <w:jc w:val="center"/>
            </w:pPr>
            <w:r>
              <w:t>EP</w:t>
            </w:r>
          </w:p>
        </w:tc>
        <w:tc>
          <w:tcPr>
            <w:tcW w:w="4252" w:type="dxa"/>
            <w:tcBorders>
              <w:top w:val="single" w:sz="4" w:space="0" w:color="auto"/>
            </w:tcBorders>
          </w:tcPr>
          <w:p w14:paraId="07EE1755" w14:textId="6E1FBB9B" w:rsidR="00B852F0" w:rsidRDefault="00317754" w:rsidP="00B852F0">
            <w:pPr>
              <w:rPr>
                <w:rFonts w:eastAsiaTheme="minorHAnsi" w:cstheme="minorBidi"/>
              </w:rPr>
            </w:pPr>
            <w:r>
              <w:t>Това е отговорност на Правителството / Регулаторния орган / други външни страни.</w:t>
            </w:r>
          </w:p>
          <w:p w14:paraId="2999D277" w14:textId="61EAA5F6" w:rsidR="008C4FDA" w:rsidRPr="008C4FDA" w:rsidRDefault="008C4FDA" w:rsidP="00B852F0">
            <w:pPr>
              <w:rPr>
                <w:rFonts w:eastAsiaTheme="minorHAnsi" w:cstheme="minorBidi"/>
              </w:rPr>
            </w:pPr>
            <w:r>
              <w:t xml:space="preserve">Една от точките, включени в това изискване, е обяснително </w:t>
            </w:r>
            <w:r w:rsidR="00672DC8">
              <w:t>становище</w:t>
            </w:r>
            <w:r>
              <w:t>.</w:t>
            </w:r>
          </w:p>
        </w:tc>
        <w:tc>
          <w:tcPr>
            <w:tcW w:w="992" w:type="dxa"/>
            <w:tcBorders>
              <w:top w:val="single" w:sz="4" w:space="0" w:color="auto"/>
            </w:tcBorders>
          </w:tcPr>
          <w:p w14:paraId="0D2BE31E" w14:textId="13637324" w:rsidR="00B852F0" w:rsidRPr="007502CF" w:rsidRDefault="00B852F0" w:rsidP="00B852F0">
            <w:pPr>
              <w:jc w:val="center"/>
              <w:rPr>
                <w:highlight w:val="yellow"/>
              </w:rPr>
            </w:pPr>
            <w:r>
              <w:rPr>
                <w:rFonts w:ascii="Calibri" w:hAnsi="Calibri"/>
                <w:color w:val="000000"/>
              </w:rPr>
              <w:t>2.5.1</w:t>
            </w:r>
          </w:p>
        </w:tc>
      </w:tr>
      <w:tr w:rsidR="00B852F0" w:rsidRPr="007502CF" w14:paraId="10C308AC" w14:textId="77777777" w:rsidTr="006628CC">
        <w:trPr>
          <w:jc w:val="center"/>
        </w:trPr>
        <w:tc>
          <w:tcPr>
            <w:tcW w:w="497" w:type="dxa"/>
            <w:tcBorders>
              <w:top w:val="single" w:sz="4" w:space="0" w:color="auto"/>
            </w:tcBorders>
          </w:tcPr>
          <w:p w14:paraId="02773F6B" w14:textId="0A3C7F79" w:rsidR="00B852F0" w:rsidRDefault="00B852F0" w:rsidP="00B852F0">
            <w:pPr>
              <w:jc w:val="center"/>
              <w:rPr>
                <w:highlight w:val="yellow"/>
              </w:rPr>
            </w:pPr>
            <w:r>
              <w:rPr>
                <w:rFonts w:ascii="Calibri" w:hAnsi="Calibri"/>
                <w:color w:val="000000"/>
              </w:rPr>
              <w:t>48</w:t>
            </w:r>
          </w:p>
        </w:tc>
        <w:tc>
          <w:tcPr>
            <w:tcW w:w="2338" w:type="dxa"/>
            <w:tcBorders>
              <w:top w:val="single" w:sz="4" w:space="0" w:color="auto"/>
            </w:tcBorders>
          </w:tcPr>
          <w:p w14:paraId="33C895FB" w14:textId="30000CAB" w:rsidR="00B852F0" w:rsidRPr="007502CF" w:rsidRDefault="00B852F0" w:rsidP="00B852F0">
            <w:pPr>
              <w:rPr>
                <w:highlight w:val="yellow"/>
              </w:rPr>
            </w:pPr>
            <w:r>
              <w:rPr>
                <w:sz w:val="21"/>
              </w:rPr>
              <w:t>Обосновка на защитните действия и оптимизация на защитата и безопасността</w:t>
            </w:r>
          </w:p>
        </w:tc>
        <w:tc>
          <w:tcPr>
            <w:tcW w:w="1560" w:type="dxa"/>
            <w:tcBorders>
              <w:top w:val="single" w:sz="4" w:space="0" w:color="auto"/>
            </w:tcBorders>
          </w:tcPr>
          <w:p w14:paraId="312E9B2C" w14:textId="7C8D0C1F" w:rsidR="00B852F0" w:rsidRPr="003168AF" w:rsidRDefault="008F7B4D" w:rsidP="00B852F0">
            <w:pPr>
              <w:jc w:val="center"/>
            </w:pPr>
            <w:r>
              <w:t>EP</w:t>
            </w:r>
          </w:p>
        </w:tc>
        <w:tc>
          <w:tcPr>
            <w:tcW w:w="4252" w:type="dxa"/>
            <w:tcBorders>
              <w:top w:val="single" w:sz="4" w:space="0" w:color="auto"/>
            </w:tcBorders>
          </w:tcPr>
          <w:p w14:paraId="6403C16C" w14:textId="707C08F6" w:rsidR="00B852F0" w:rsidRPr="007502CF" w:rsidRDefault="00317754" w:rsidP="00B852F0">
            <w:pPr>
              <w:rPr>
                <w:highlight w:val="yellow"/>
              </w:rPr>
            </w:pPr>
            <w:r>
              <w:t>Това е отговорност на Правителството / Регулаторния орган / други външни страни.</w:t>
            </w:r>
          </w:p>
        </w:tc>
        <w:tc>
          <w:tcPr>
            <w:tcW w:w="992" w:type="dxa"/>
            <w:tcBorders>
              <w:top w:val="single" w:sz="4" w:space="0" w:color="auto"/>
            </w:tcBorders>
          </w:tcPr>
          <w:p w14:paraId="7F202F49" w14:textId="44CC9F82" w:rsidR="00B852F0" w:rsidRPr="007502CF" w:rsidRDefault="00B852F0" w:rsidP="00B852F0">
            <w:pPr>
              <w:jc w:val="center"/>
              <w:rPr>
                <w:highlight w:val="yellow"/>
              </w:rPr>
            </w:pPr>
            <w:r>
              <w:rPr>
                <w:rFonts w:ascii="Calibri" w:hAnsi="Calibri"/>
                <w:color w:val="000000"/>
              </w:rPr>
              <w:t>2.5.2</w:t>
            </w:r>
          </w:p>
        </w:tc>
      </w:tr>
      <w:tr w:rsidR="00B852F0" w:rsidRPr="007502CF" w14:paraId="19AA580A" w14:textId="77777777" w:rsidTr="006628CC">
        <w:trPr>
          <w:jc w:val="center"/>
        </w:trPr>
        <w:tc>
          <w:tcPr>
            <w:tcW w:w="497" w:type="dxa"/>
            <w:tcBorders>
              <w:top w:val="single" w:sz="4" w:space="0" w:color="auto"/>
            </w:tcBorders>
          </w:tcPr>
          <w:p w14:paraId="20C1826A" w14:textId="4DF30339" w:rsidR="00B852F0" w:rsidRDefault="00B852F0" w:rsidP="00B852F0">
            <w:pPr>
              <w:jc w:val="center"/>
              <w:rPr>
                <w:highlight w:val="yellow"/>
              </w:rPr>
            </w:pPr>
            <w:r>
              <w:rPr>
                <w:rFonts w:ascii="Calibri" w:hAnsi="Calibri"/>
                <w:color w:val="000000"/>
              </w:rPr>
              <w:t>49</w:t>
            </w:r>
          </w:p>
        </w:tc>
        <w:tc>
          <w:tcPr>
            <w:tcW w:w="2338" w:type="dxa"/>
            <w:tcBorders>
              <w:top w:val="single" w:sz="4" w:space="0" w:color="auto"/>
            </w:tcBorders>
          </w:tcPr>
          <w:p w14:paraId="3AB4E7A9" w14:textId="5A96F515" w:rsidR="00B852F0" w:rsidRPr="007502CF" w:rsidRDefault="00B852F0" w:rsidP="00B852F0">
            <w:pPr>
              <w:rPr>
                <w:highlight w:val="yellow"/>
              </w:rPr>
            </w:pPr>
            <w:r>
              <w:rPr>
                <w:sz w:val="21"/>
              </w:rPr>
              <w:t>Отговорности за възстановяване на зони с остатъчен радиоактивен материал</w:t>
            </w:r>
          </w:p>
        </w:tc>
        <w:tc>
          <w:tcPr>
            <w:tcW w:w="1560" w:type="dxa"/>
            <w:tcBorders>
              <w:top w:val="single" w:sz="4" w:space="0" w:color="auto"/>
            </w:tcBorders>
          </w:tcPr>
          <w:p w14:paraId="49281F5A" w14:textId="7F9F8666" w:rsidR="00B852F0" w:rsidRPr="003168AF" w:rsidRDefault="00285D6A" w:rsidP="00B852F0">
            <w:pPr>
              <w:jc w:val="center"/>
            </w:pPr>
            <w:r>
              <w:t>OR, EP, NR</w:t>
            </w:r>
          </w:p>
        </w:tc>
        <w:tc>
          <w:tcPr>
            <w:tcW w:w="4252" w:type="dxa"/>
            <w:tcBorders>
              <w:top w:val="single" w:sz="4" w:space="0" w:color="auto"/>
            </w:tcBorders>
          </w:tcPr>
          <w:p w14:paraId="6F5AC831" w14:textId="6CFACC38" w:rsidR="00B852F0" w:rsidRDefault="00317754" w:rsidP="00B852F0">
            <w:pPr>
              <w:rPr>
                <w:rFonts w:eastAsiaTheme="minorHAnsi" w:cstheme="minorBidi"/>
              </w:rPr>
            </w:pPr>
            <w:r>
              <w:t>Това е отговорност на Правителството / Регулаторния орган / други външни страни.</w:t>
            </w:r>
          </w:p>
          <w:p w14:paraId="23479B2F" w14:textId="01EDBF70" w:rsidR="008F7B4D" w:rsidRPr="007502CF" w:rsidRDefault="008F7B4D" w:rsidP="00B852F0">
            <w:pPr>
              <w:rPr>
                <w:highlight w:val="yellow"/>
              </w:rPr>
            </w:pPr>
            <w:r>
              <w:t xml:space="preserve">Една от точките, включени в това изискване, е обяснително </w:t>
            </w:r>
            <w:r w:rsidR="00672DC8">
              <w:t>становище</w:t>
            </w:r>
            <w:r>
              <w:t>.</w:t>
            </w:r>
          </w:p>
        </w:tc>
        <w:tc>
          <w:tcPr>
            <w:tcW w:w="992" w:type="dxa"/>
            <w:tcBorders>
              <w:top w:val="single" w:sz="4" w:space="0" w:color="auto"/>
            </w:tcBorders>
          </w:tcPr>
          <w:p w14:paraId="0D192B9A" w14:textId="0C4DC9DB" w:rsidR="00B852F0" w:rsidRPr="007502CF" w:rsidRDefault="00B852F0" w:rsidP="00B852F0">
            <w:pPr>
              <w:jc w:val="center"/>
              <w:rPr>
                <w:highlight w:val="yellow"/>
              </w:rPr>
            </w:pPr>
            <w:r>
              <w:rPr>
                <w:rFonts w:ascii="Calibri" w:hAnsi="Calibri"/>
                <w:color w:val="000000"/>
              </w:rPr>
              <w:t>2.5.3</w:t>
            </w:r>
          </w:p>
        </w:tc>
      </w:tr>
      <w:tr w:rsidR="00B852F0" w:rsidRPr="007502CF" w14:paraId="25D126AF" w14:textId="77777777" w:rsidTr="006628CC">
        <w:trPr>
          <w:jc w:val="center"/>
        </w:trPr>
        <w:tc>
          <w:tcPr>
            <w:tcW w:w="497" w:type="dxa"/>
            <w:tcBorders>
              <w:top w:val="single" w:sz="4" w:space="0" w:color="auto"/>
            </w:tcBorders>
          </w:tcPr>
          <w:p w14:paraId="173D8B03" w14:textId="7ECF795F" w:rsidR="00B852F0" w:rsidRDefault="00B852F0" w:rsidP="00B852F0">
            <w:pPr>
              <w:jc w:val="center"/>
              <w:rPr>
                <w:highlight w:val="yellow"/>
              </w:rPr>
            </w:pPr>
            <w:r>
              <w:rPr>
                <w:rFonts w:ascii="Calibri" w:hAnsi="Calibri"/>
                <w:color w:val="000000"/>
              </w:rPr>
              <w:t>50</w:t>
            </w:r>
          </w:p>
        </w:tc>
        <w:tc>
          <w:tcPr>
            <w:tcW w:w="2338" w:type="dxa"/>
            <w:tcBorders>
              <w:top w:val="single" w:sz="4" w:space="0" w:color="auto"/>
            </w:tcBorders>
          </w:tcPr>
          <w:p w14:paraId="2F0AA0EC" w14:textId="20A1A84B" w:rsidR="00B852F0" w:rsidRPr="007502CF" w:rsidRDefault="00B852F0" w:rsidP="00B852F0">
            <w:pPr>
              <w:rPr>
                <w:highlight w:val="yellow"/>
              </w:rPr>
            </w:pPr>
            <w:r>
              <w:rPr>
                <w:sz w:val="21"/>
              </w:rPr>
              <w:t xml:space="preserve">Облъчване на населението, обусловено от </w:t>
            </w:r>
            <w:r>
              <w:rPr>
                <w:sz w:val="21"/>
              </w:rPr>
              <w:lastRenderedPageBreak/>
              <w:t>присъствието на радон в закрити помещения</w:t>
            </w:r>
          </w:p>
        </w:tc>
        <w:tc>
          <w:tcPr>
            <w:tcW w:w="1560" w:type="dxa"/>
            <w:tcBorders>
              <w:top w:val="single" w:sz="4" w:space="0" w:color="auto"/>
            </w:tcBorders>
          </w:tcPr>
          <w:p w14:paraId="45CC5305" w14:textId="61727726" w:rsidR="00B852F0" w:rsidRPr="003168AF" w:rsidRDefault="00B852F0" w:rsidP="00B852F0">
            <w:pPr>
              <w:jc w:val="center"/>
            </w:pPr>
            <w:r>
              <w:lastRenderedPageBreak/>
              <w:t>NAP</w:t>
            </w:r>
          </w:p>
        </w:tc>
        <w:tc>
          <w:tcPr>
            <w:tcW w:w="4252" w:type="dxa"/>
            <w:tcBorders>
              <w:top w:val="single" w:sz="4" w:space="0" w:color="auto"/>
            </w:tcBorders>
          </w:tcPr>
          <w:p w14:paraId="4A99D3E9" w14:textId="6F360AEE" w:rsidR="00B852F0" w:rsidRPr="007502CF" w:rsidRDefault="00B852F0" w:rsidP="00B852F0">
            <w:pPr>
              <w:rPr>
                <w:highlight w:val="yellow"/>
              </w:rPr>
            </w:pPr>
            <w:r>
              <w:t>Изискването не е приложимо към технологията.</w:t>
            </w:r>
          </w:p>
        </w:tc>
        <w:tc>
          <w:tcPr>
            <w:tcW w:w="992" w:type="dxa"/>
            <w:tcBorders>
              <w:top w:val="single" w:sz="4" w:space="0" w:color="auto"/>
            </w:tcBorders>
          </w:tcPr>
          <w:p w14:paraId="0A637D78" w14:textId="36D89A41" w:rsidR="00B852F0" w:rsidRPr="007502CF" w:rsidRDefault="00B852F0" w:rsidP="00B852F0">
            <w:pPr>
              <w:jc w:val="center"/>
              <w:rPr>
                <w:highlight w:val="yellow"/>
              </w:rPr>
            </w:pPr>
            <w:r>
              <w:rPr>
                <w:rFonts w:ascii="Calibri" w:hAnsi="Calibri"/>
                <w:color w:val="000000"/>
              </w:rPr>
              <w:t>2.5.4</w:t>
            </w:r>
          </w:p>
        </w:tc>
      </w:tr>
      <w:tr w:rsidR="00B852F0" w:rsidRPr="007502CF" w14:paraId="03C96313" w14:textId="77777777" w:rsidTr="006628CC">
        <w:trPr>
          <w:jc w:val="center"/>
        </w:trPr>
        <w:tc>
          <w:tcPr>
            <w:tcW w:w="497" w:type="dxa"/>
            <w:tcBorders>
              <w:top w:val="single" w:sz="4" w:space="0" w:color="auto"/>
            </w:tcBorders>
          </w:tcPr>
          <w:p w14:paraId="5AF5601F" w14:textId="78701F47" w:rsidR="00B852F0" w:rsidRDefault="00B852F0" w:rsidP="00B852F0">
            <w:pPr>
              <w:jc w:val="center"/>
              <w:rPr>
                <w:highlight w:val="yellow"/>
              </w:rPr>
            </w:pPr>
            <w:r>
              <w:rPr>
                <w:rFonts w:ascii="Calibri" w:hAnsi="Calibri"/>
                <w:color w:val="000000"/>
              </w:rPr>
              <w:t>51</w:t>
            </w:r>
          </w:p>
        </w:tc>
        <w:tc>
          <w:tcPr>
            <w:tcW w:w="2338" w:type="dxa"/>
            <w:tcBorders>
              <w:top w:val="single" w:sz="4" w:space="0" w:color="auto"/>
            </w:tcBorders>
          </w:tcPr>
          <w:p w14:paraId="12756CE5" w14:textId="63855631" w:rsidR="00B852F0" w:rsidRPr="007502CF" w:rsidRDefault="00B852F0" w:rsidP="00B852F0">
            <w:pPr>
              <w:rPr>
                <w:highlight w:val="yellow"/>
              </w:rPr>
            </w:pPr>
            <w:r>
              <w:rPr>
                <w:sz w:val="21"/>
              </w:rPr>
              <w:t>Облъчване, обусловено от присъствието на радионуклиди в потребителски стоки</w:t>
            </w:r>
          </w:p>
        </w:tc>
        <w:tc>
          <w:tcPr>
            <w:tcW w:w="1560" w:type="dxa"/>
            <w:tcBorders>
              <w:top w:val="single" w:sz="4" w:space="0" w:color="auto"/>
            </w:tcBorders>
          </w:tcPr>
          <w:p w14:paraId="3DDF3953" w14:textId="4777B116" w:rsidR="00B852F0" w:rsidRPr="003168AF" w:rsidRDefault="00B852F0" w:rsidP="00B852F0">
            <w:pPr>
              <w:jc w:val="center"/>
            </w:pPr>
            <w:r>
              <w:t>NAP</w:t>
            </w:r>
          </w:p>
        </w:tc>
        <w:tc>
          <w:tcPr>
            <w:tcW w:w="4252" w:type="dxa"/>
            <w:tcBorders>
              <w:top w:val="single" w:sz="4" w:space="0" w:color="auto"/>
            </w:tcBorders>
          </w:tcPr>
          <w:p w14:paraId="37A6FE78" w14:textId="6FB2A546" w:rsidR="00B852F0" w:rsidRPr="00017AA7" w:rsidRDefault="00B852F0" w:rsidP="00B852F0">
            <w:r>
              <w:t>Изискването не е приложимо към технологията.</w:t>
            </w:r>
          </w:p>
        </w:tc>
        <w:tc>
          <w:tcPr>
            <w:tcW w:w="992" w:type="dxa"/>
            <w:tcBorders>
              <w:top w:val="single" w:sz="4" w:space="0" w:color="auto"/>
            </w:tcBorders>
          </w:tcPr>
          <w:p w14:paraId="1C7D08DA" w14:textId="69B80AEE" w:rsidR="00B852F0" w:rsidRPr="007502CF" w:rsidRDefault="00B852F0" w:rsidP="00B852F0">
            <w:pPr>
              <w:jc w:val="center"/>
              <w:rPr>
                <w:highlight w:val="yellow"/>
              </w:rPr>
            </w:pPr>
            <w:r>
              <w:rPr>
                <w:rFonts w:ascii="Calibri" w:hAnsi="Calibri"/>
                <w:color w:val="000000"/>
              </w:rPr>
              <w:t>2.5.5</w:t>
            </w:r>
          </w:p>
        </w:tc>
      </w:tr>
      <w:tr w:rsidR="00B852F0" w:rsidRPr="007502CF" w14:paraId="3F56FD66" w14:textId="77777777" w:rsidTr="006628CC">
        <w:trPr>
          <w:jc w:val="center"/>
        </w:trPr>
        <w:tc>
          <w:tcPr>
            <w:tcW w:w="497" w:type="dxa"/>
            <w:tcBorders>
              <w:top w:val="single" w:sz="4" w:space="0" w:color="auto"/>
            </w:tcBorders>
          </w:tcPr>
          <w:p w14:paraId="2FF300DD" w14:textId="59B4146A" w:rsidR="00B852F0" w:rsidRDefault="00B852F0" w:rsidP="00B852F0">
            <w:pPr>
              <w:jc w:val="center"/>
              <w:rPr>
                <w:rFonts w:ascii="Calibri" w:hAnsi="Calibri" w:cs="Calibri"/>
                <w:color w:val="000000"/>
              </w:rPr>
            </w:pPr>
            <w:r>
              <w:rPr>
                <w:rFonts w:ascii="Calibri" w:hAnsi="Calibri"/>
                <w:color w:val="000000"/>
              </w:rPr>
              <w:t>52</w:t>
            </w:r>
          </w:p>
        </w:tc>
        <w:tc>
          <w:tcPr>
            <w:tcW w:w="2338" w:type="dxa"/>
            <w:tcBorders>
              <w:top w:val="single" w:sz="4" w:space="0" w:color="auto"/>
            </w:tcBorders>
          </w:tcPr>
          <w:p w14:paraId="1874F0EF" w14:textId="048BF42A" w:rsidR="00B852F0" w:rsidRDefault="00B852F0" w:rsidP="00B852F0">
            <w:pPr>
              <w:rPr>
                <w:sz w:val="21"/>
                <w:szCs w:val="21"/>
              </w:rPr>
            </w:pPr>
            <w:r>
              <w:rPr>
                <w:sz w:val="21"/>
              </w:rPr>
              <w:t>Облъчване на работните места</w:t>
            </w:r>
          </w:p>
        </w:tc>
        <w:tc>
          <w:tcPr>
            <w:tcW w:w="1560" w:type="dxa"/>
            <w:tcBorders>
              <w:top w:val="single" w:sz="4" w:space="0" w:color="auto"/>
            </w:tcBorders>
          </w:tcPr>
          <w:p w14:paraId="594BC1B6" w14:textId="2BD79F3A" w:rsidR="00B852F0" w:rsidRPr="003168AF" w:rsidRDefault="00DE5355" w:rsidP="00B852F0">
            <w:pPr>
              <w:jc w:val="center"/>
            </w:pPr>
            <w:r>
              <w:t>OR, EP, NAP</w:t>
            </w:r>
          </w:p>
        </w:tc>
        <w:tc>
          <w:tcPr>
            <w:tcW w:w="4252" w:type="dxa"/>
            <w:tcBorders>
              <w:top w:val="single" w:sz="4" w:space="0" w:color="auto"/>
            </w:tcBorders>
          </w:tcPr>
          <w:p w14:paraId="32E8BF6A" w14:textId="61FF9485" w:rsidR="00B852F0" w:rsidRDefault="00317754" w:rsidP="00FC7BB1">
            <w:pPr>
              <w:spacing w:after="240"/>
              <w:rPr>
                <w:rFonts w:eastAsiaTheme="minorHAnsi" w:cstheme="minorBidi"/>
                <w:kern w:val="0"/>
              </w:rPr>
            </w:pPr>
            <w:r>
              <w:t>Това е отговорност на Собственика / Лицензианта и/или други външни страни.</w:t>
            </w:r>
          </w:p>
          <w:p w14:paraId="4A53487F" w14:textId="31685C44" w:rsidR="00E564B5" w:rsidRPr="007502CF" w:rsidRDefault="00E564B5" w:rsidP="00B852F0">
            <w:pPr>
              <w:rPr>
                <w:highlight w:val="yellow"/>
              </w:rPr>
            </w:pPr>
            <w:r>
              <w:t>Някои от точките, включени в това изискване, не са приложими за технологията.</w:t>
            </w:r>
          </w:p>
        </w:tc>
        <w:tc>
          <w:tcPr>
            <w:tcW w:w="992" w:type="dxa"/>
            <w:tcBorders>
              <w:top w:val="single" w:sz="4" w:space="0" w:color="auto"/>
            </w:tcBorders>
          </w:tcPr>
          <w:p w14:paraId="781100C2" w14:textId="3F0B81C3" w:rsidR="00B852F0" w:rsidRPr="00225A1F" w:rsidRDefault="00B852F0" w:rsidP="00225A1F">
            <w:pPr>
              <w:jc w:val="center"/>
              <w:rPr>
                <w:rFonts w:ascii="Calibri" w:hAnsi="Calibri" w:cs="Calibri"/>
                <w:color w:val="000000"/>
              </w:rPr>
            </w:pPr>
            <w:r>
              <w:rPr>
                <w:rFonts w:ascii="Calibri" w:hAnsi="Calibri"/>
                <w:color w:val="000000"/>
              </w:rPr>
              <w:t>2.5.6</w:t>
            </w:r>
          </w:p>
        </w:tc>
      </w:tr>
    </w:tbl>
    <w:p w14:paraId="02322AE9" w14:textId="3AD3268F" w:rsidR="00932C3B" w:rsidRPr="00C342C8" w:rsidRDefault="00932C3B" w:rsidP="00BF2117">
      <w:pPr>
        <w:spacing w:after="0"/>
        <w:rPr>
          <w:lang w:val="fr-FR"/>
        </w:rPr>
        <w:sectPr w:rsidR="00932C3B" w:rsidRPr="00C342C8" w:rsidSect="00B41F26">
          <w:headerReference w:type="even" r:id="rId21"/>
          <w:headerReference w:type="default" r:id="rId22"/>
          <w:headerReference w:type="first" r:id="rId23"/>
          <w:endnotePr>
            <w:numFmt w:val="decimal"/>
          </w:endnotePr>
          <w:pgSz w:w="12240" w:h="15840" w:code="1"/>
          <w:pgMar w:top="1440" w:right="1440" w:bottom="1440" w:left="1440" w:header="720" w:footer="720" w:gutter="0"/>
          <w:pgNumType w:start="1" w:chapStyle="1"/>
          <w:cols w:space="720"/>
          <w:noEndnote/>
          <w:docGrid w:linePitch="299"/>
        </w:sectPr>
      </w:pPr>
    </w:p>
    <w:p w14:paraId="2D89ABC3" w14:textId="71B15AFC" w:rsidR="004C41E5" w:rsidRDefault="004C41E5" w:rsidP="004C41E5">
      <w:pPr>
        <w:pStyle w:val="Heading2"/>
      </w:pPr>
      <w:bookmarkStart w:id="22" w:name="_Toc155347772"/>
      <w:r>
        <w:t>Изводи</w:t>
      </w:r>
      <w:bookmarkEnd w:id="22"/>
    </w:p>
    <w:p w14:paraId="194D688D" w14:textId="18D5E2D6" w:rsidR="004C41E5" w:rsidRPr="00BC4328" w:rsidRDefault="004C41E5" w:rsidP="005841F8">
      <w:pPr>
        <w:spacing w:after="200"/>
        <w:ind w:firstLine="431"/>
        <w:jc w:val="both"/>
        <w:rPr>
          <w:rFonts w:cstheme="minorBidi"/>
        </w:rPr>
      </w:pPr>
      <w:bookmarkStart w:id="23" w:name="_Hlk146622478"/>
      <w:r>
        <w:t xml:space="preserve">Като се имат предвид анализите, направени в Раздел 2, Стандартите за безопасност на МААЕ № GSR, Част 3, Радиационна защита и безопасност на източниците на </w:t>
      </w:r>
      <w:r w:rsidR="002926CB">
        <w:t>йонизиращи лъчения</w:t>
      </w:r>
      <w:r>
        <w:t xml:space="preserve">: Международни основни стандарти за безопасност, са класифицирани като среден риск, тъй като се очаква да бъде доказано съответствие с нормативната уредба, но ще се наложи да се извърши допълнителен анализ. В частност, класификацията за среден риск се основава на темите, описани в Подраздел 1.7. </w:t>
      </w:r>
    </w:p>
    <w:p w14:paraId="49B0A77D" w14:textId="77777777" w:rsidR="004C41E5" w:rsidRDefault="004C41E5" w:rsidP="005841F8">
      <w:pPr>
        <w:jc w:val="both"/>
      </w:pPr>
      <w:r>
        <w:t>Тези теми са свързани с:</w:t>
      </w:r>
    </w:p>
    <w:p w14:paraId="19163E14" w14:textId="20F2E771" w:rsidR="004C41E5" w:rsidRPr="00971146" w:rsidRDefault="004C41E5" w:rsidP="005841F8">
      <w:pPr>
        <w:pStyle w:val="ListParagraph"/>
        <w:numPr>
          <w:ilvl w:val="0"/>
          <w:numId w:val="58"/>
        </w:numPr>
        <w:spacing w:before="120" w:after="120"/>
        <w:jc w:val="both"/>
      </w:pPr>
      <w:r>
        <w:t>Различия в рамката между МААЕ и САЩ (NRC). Тези различия са анализирани по-подробно в подраздели 1.4 и 1.7 на настоящия отчет и в някои конкретни случаи може да изискват допълнителни анализи, но не се очаква те да доведат до съществени промени в проекта;</w:t>
      </w:r>
    </w:p>
    <w:p w14:paraId="05584CAD" w14:textId="2953227F" w:rsidR="004C41E5" w:rsidRPr="00971146" w:rsidRDefault="004C41E5" w:rsidP="005841F8">
      <w:pPr>
        <w:pStyle w:val="ListParagraph"/>
        <w:numPr>
          <w:ilvl w:val="0"/>
          <w:numId w:val="58"/>
        </w:numPr>
        <w:spacing w:before="120" w:after="120"/>
        <w:jc w:val="both"/>
      </w:pPr>
      <w:r>
        <w:t xml:space="preserve">Възможно е да бъдат поискани някои незначителни промени в проекта за някои </w:t>
      </w:r>
      <w:r w:rsidR="00922AC9">
        <w:t>средства за наблйдение</w:t>
      </w:r>
      <w:r>
        <w:t xml:space="preserve"> на централата и отпадъчните </w:t>
      </w:r>
      <w:r w:rsidR="00922AC9">
        <w:t>радиоактивни води</w:t>
      </w:r>
      <w:r>
        <w:t>, но тъй като те се смятат за незначителни, запазваме класификацията като среден риск.</w:t>
      </w:r>
    </w:p>
    <w:p w14:paraId="2782404C" w14:textId="755F39A6" w:rsidR="004C41E5" w:rsidRPr="00DE6EE5" w:rsidRDefault="004C41E5" w:rsidP="005841F8">
      <w:pPr>
        <w:jc w:val="both"/>
      </w:pPr>
      <w:r>
        <w:t>Централата AP1000 е проектирана с административни програми и процедури, които да увеличат максимално включването на добрите инженерни практики и научените уроци за постигане на целите на ALARA. Това е разгледано и потвърдено от прегледите на сертификацията на стандартния проект, извършени от NRC на САЩ, началото на експлоатацията на Блок 3 на АЕЦ “Вогъл”, работещите централи в Китай, както и от Общата оценка на проекта в Обединеното кралство.</w:t>
      </w:r>
    </w:p>
    <w:p w14:paraId="6540D3A7" w14:textId="48B7E111" w:rsidR="004C41E5" w:rsidRDefault="004C41E5" w:rsidP="005841F8">
      <w:pPr>
        <w:jc w:val="both"/>
      </w:pPr>
      <w:r>
        <w:lastRenderedPageBreak/>
        <w:t xml:space="preserve">Така че проектът на AP1000 би трябвало да може да се приспособи към стандарта на МААЕ с някои специфични анализи на дозите, които трябва да се извършат за постигане на съответствие, както и с някои незначителни промени в някои </w:t>
      </w:r>
      <w:r w:rsidR="00922AC9">
        <w:t xml:space="preserve">средства за </w:t>
      </w:r>
      <w:r w:rsidR="002926CB">
        <w:t>мониторинг</w:t>
      </w:r>
      <w:r>
        <w:t xml:space="preserve"> на </w:t>
      </w:r>
      <w:r w:rsidR="002926CB">
        <w:t>йонизиращи лъчения</w:t>
      </w:r>
      <w:r>
        <w:t xml:space="preserve"> и отпадъчни </w:t>
      </w:r>
      <w:r w:rsidR="00922AC9">
        <w:t>радиоактивни води</w:t>
      </w:r>
      <w:r>
        <w:t>.</w:t>
      </w:r>
      <w:bookmarkEnd w:id="23"/>
    </w:p>
    <w:p w14:paraId="0EDC3ADC" w14:textId="77777777" w:rsidR="003E1620" w:rsidRDefault="003E1620" w:rsidP="003E1620">
      <w:pPr>
        <w:pStyle w:val="Heading2"/>
      </w:pPr>
      <w:bookmarkStart w:id="24" w:name="_Toc155347773"/>
      <w:r>
        <w:t>Идентифицирани потенциални рискове, които трябва да се адресират</w:t>
      </w:r>
      <w:bookmarkEnd w:id="24"/>
    </w:p>
    <w:p w14:paraId="48FC1409" w14:textId="41780092" w:rsidR="003E1620" w:rsidRPr="002978FB" w:rsidRDefault="003E1620" w:rsidP="005841F8">
      <w:pPr>
        <w:jc w:val="both"/>
      </w:pPr>
      <w:r>
        <w:t>Анализът на Раздел 2 показва, че при оценката на риска трябва да се вземат предвид следните изисквания и подизисквания:</w:t>
      </w:r>
    </w:p>
    <w:p w14:paraId="2257B33F" w14:textId="66251283" w:rsidR="003F7252" w:rsidRDefault="003E1620" w:rsidP="005841F8">
      <w:pPr>
        <w:jc w:val="both"/>
        <w:rPr>
          <w:b/>
          <w:bCs/>
        </w:rPr>
      </w:pPr>
      <w:r>
        <w:rPr>
          <w:b/>
        </w:rPr>
        <w:t>Изисквания, свързани с различни очаквани професионални дози, както е обяснено в Подраздел 1.4:</w:t>
      </w:r>
    </w:p>
    <w:p w14:paraId="1C49DA06" w14:textId="4268F9E2" w:rsidR="00A24723" w:rsidRDefault="00A24723" w:rsidP="005841F8">
      <w:pPr>
        <w:pStyle w:val="ListParagraph"/>
        <w:numPr>
          <w:ilvl w:val="0"/>
          <w:numId w:val="59"/>
        </w:numPr>
        <w:spacing w:before="120" w:after="120"/>
        <w:jc w:val="both"/>
      </w:pPr>
      <w:r>
        <w:t>Изискване 1: Прилагане на принципите на радиационната защита.</w:t>
      </w:r>
    </w:p>
    <w:p w14:paraId="3C92C8F8" w14:textId="18F5197C" w:rsidR="00A24723" w:rsidRDefault="00A24723" w:rsidP="005841F8">
      <w:pPr>
        <w:pStyle w:val="ListParagraph"/>
        <w:numPr>
          <w:ilvl w:val="0"/>
          <w:numId w:val="59"/>
        </w:numPr>
        <w:spacing w:before="120" w:after="120"/>
        <w:jc w:val="both"/>
      </w:pPr>
      <w:r>
        <w:t xml:space="preserve">Изискване 12: </w:t>
      </w:r>
      <w:r w:rsidR="00A37ECD">
        <w:t>Дозови ограничения</w:t>
      </w:r>
      <w:r>
        <w:t>.</w:t>
      </w:r>
    </w:p>
    <w:p w14:paraId="0A37A98A" w14:textId="5D65C7A9" w:rsidR="00A24723" w:rsidRDefault="00A24723" w:rsidP="005841F8">
      <w:pPr>
        <w:pStyle w:val="ListParagraph"/>
        <w:numPr>
          <w:ilvl w:val="0"/>
          <w:numId w:val="59"/>
        </w:numPr>
        <w:spacing w:before="120" w:after="120"/>
        <w:jc w:val="both"/>
      </w:pPr>
      <w:r>
        <w:t>Изискване 19: Отговорности на регулаторния орган по отношение на професионалното облъчване.</w:t>
      </w:r>
    </w:p>
    <w:p w14:paraId="4182D843" w14:textId="506F28AF" w:rsidR="00A24723" w:rsidRDefault="003E6118" w:rsidP="005841F8">
      <w:pPr>
        <w:pStyle w:val="ListParagraph"/>
        <w:numPr>
          <w:ilvl w:val="0"/>
          <w:numId w:val="59"/>
        </w:numPr>
        <w:spacing w:before="120" w:after="120"/>
        <w:jc w:val="both"/>
      </w:pPr>
      <w:r>
        <w:t xml:space="preserve">Изискване 21: Отговорности на работодателите, регистрираните лица и лицензиантите за защита на </w:t>
      </w:r>
      <w:r w:rsidR="00345753">
        <w:t>персонала</w:t>
      </w:r>
      <w:r>
        <w:t>.</w:t>
      </w:r>
    </w:p>
    <w:p w14:paraId="3E54AD5E" w14:textId="64581715" w:rsidR="003E1620" w:rsidRPr="003F7252" w:rsidRDefault="003F7252" w:rsidP="005841F8">
      <w:pPr>
        <w:spacing w:before="120" w:after="120"/>
        <w:jc w:val="both"/>
      </w:pPr>
      <w:r>
        <w:t xml:space="preserve">Трябва да се демонстрира спазването на </w:t>
      </w:r>
      <w:r w:rsidR="00345753">
        <w:t>граничните</w:t>
      </w:r>
      <w:r>
        <w:t xml:space="preserve"> дози и дозовите ограничения за професионално облъчван</w:t>
      </w:r>
      <w:r w:rsidR="00345753">
        <w:t>е на персонала</w:t>
      </w:r>
      <w:r>
        <w:t xml:space="preserve"> и лица от населението. Както е обяснено в Раздел 1.4 на тази оценка, настоящият проект на AP1000 е в състояние да изпълни това изискване при наличието на подходящи радиационни програми, въпреки че тези </w:t>
      </w:r>
      <w:r w:rsidR="00345753">
        <w:t>граници</w:t>
      </w:r>
      <w:r>
        <w:t xml:space="preserve"> се различават от използваните в 10 CFR 20. По такъв начин, консервативно това се смята за CWO, тъй като в определен момент потенциално може да възникне необходимост </w:t>
      </w:r>
      <w:r w:rsidR="00345753">
        <w:t>от</w:t>
      </w:r>
      <w:r>
        <w:t xml:space="preserve"> извършване на допълнителни анализи.</w:t>
      </w:r>
      <w:r>
        <w:tab/>
      </w:r>
    </w:p>
    <w:p w14:paraId="69C48D7A" w14:textId="15AD8DC0" w:rsidR="003F7252" w:rsidRPr="00BA0DA7" w:rsidRDefault="003F7252" w:rsidP="005841F8">
      <w:pPr>
        <w:jc w:val="both"/>
        <w:rPr>
          <w:b/>
          <w:bCs/>
        </w:rPr>
      </w:pPr>
      <w:r>
        <w:rPr>
          <w:b/>
        </w:rPr>
        <w:t>Други изисквания, основани на разликите между регулаторната рамка за радиационна защита на US NRC и тази на МААЕ за радиационна защита:</w:t>
      </w:r>
    </w:p>
    <w:p w14:paraId="71A966D6" w14:textId="29A0CE96" w:rsidR="00B905A6" w:rsidRDefault="00B905A6" w:rsidP="005841F8">
      <w:pPr>
        <w:pStyle w:val="ListParagraph"/>
        <w:numPr>
          <w:ilvl w:val="0"/>
          <w:numId w:val="60"/>
        </w:numPr>
        <w:spacing w:before="120" w:after="120"/>
        <w:jc w:val="both"/>
      </w:pPr>
      <w:r>
        <w:t>Изискване 29: Отговорности на правителството и регулаторния орган по отношение на облъчването на населението.</w:t>
      </w:r>
    </w:p>
    <w:p w14:paraId="20CE4683" w14:textId="7F9F7417" w:rsidR="00161EA5" w:rsidRDefault="00161EA5" w:rsidP="005841F8">
      <w:pPr>
        <w:pStyle w:val="ListParagraph"/>
        <w:numPr>
          <w:ilvl w:val="0"/>
          <w:numId w:val="60"/>
        </w:numPr>
        <w:spacing w:before="120" w:after="120"/>
        <w:jc w:val="both"/>
      </w:pPr>
      <w:r>
        <w:t>Изискване 30: Отговорности на съответните страни по отношение на облъчването на населението.</w:t>
      </w:r>
    </w:p>
    <w:p w14:paraId="73E47A35" w14:textId="60A558FE" w:rsidR="00161EA5" w:rsidRDefault="00161EA5" w:rsidP="005841F8">
      <w:pPr>
        <w:pStyle w:val="ListParagraph"/>
        <w:numPr>
          <w:ilvl w:val="0"/>
          <w:numId w:val="60"/>
        </w:numPr>
        <w:spacing w:before="120" w:after="120"/>
        <w:jc w:val="both"/>
      </w:pPr>
      <w:r>
        <w:t>Изискване 44: Готовност и реагиране при извънредни ситуации.</w:t>
      </w:r>
    </w:p>
    <w:p w14:paraId="1E7729B1" w14:textId="50840B3F" w:rsidR="00161EA5" w:rsidRPr="00C469CC" w:rsidRDefault="002A25B0" w:rsidP="005841F8">
      <w:pPr>
        <w:spacing w:before="120" w:after="120"/>
        <w:jc w:val="both"/>
        <w:rPr>
          <w:lang w:val="en-US"/>
        </w:rPr>
        <w:sectPr w:rsidR="00161EA5" w:rsidRPr="00C469CC" w:rsidSect="006F0E51">
          <w:endnotePr>
            <w:numFmt w:val="decimal"/>
          </w:endnotePr>
          <w:type w:val="continuous"/>
          <w:pgSz w:w="12240" w:h="15840" w:code="1"/>
          <w:pgMar w:top="1440" w:right="1440" w:bottom="1440" w:left="1440" w:header="720" w:footer="720" w:gutter="0"/>
          <w:pgNumType w:start="1" w:chapStyle="1"/>
          <w:cols w:space="720"/>
          <w:noEndnote/>
          <w:docGrid w:linePitch="299"/>
        </w:sectPr>
      </w:pPr>
      <w:r>
        <w:t xml:space="preserve">Трябва да се направи реалистична оценка на дозите за населението и сравнение с </w:t>
      </w:r>
      <w:r w:rsidR="00345753">
        <w:t>граничните</w:t>
      </w:r>
      <w:r>
        <w:t xml:space="preserve"> дози в резултат на изхвърляния. Ще бъде необходимо специално изчисление за изхвърлянията при нормална експлоатация и при аварийни условия, въпреки че преди това са били извършени някои </w:t>
      </w:r>
      <w:r w:rsidR="00345753">
        <w:t>проучвания</w:t>
      </w:r>
      <w:r>
        <w:t xml:space="preserve"> за </w:t>
      </w:r>
      <w:r w:rsidR="00345753">
        <w:t>изпълнимост</w:t>
      </w:r>
      <w:r>
        <w:t xml:space="preserve"> </w:t>
      </w:r>
      <w:r w:rsidR="00345753">
        <w:t>н</w:t>
      </w:r>
      <w:r>
        <w:t>а съответствието.</w:t>
      </w:r>
    </w:p>
    <w:p w14:paraId="5398DD16" w14:textId="36493E4D" w:rsidR="00A86B00" w:rsidRPr="0010545D" w:rsidRDefault="00A86B00" w:rsidP="00BD3948">
      <w:pPr>
        <w:pStyle w:val="Heading1"/>
      </w:pPr>
      <w:bookmarkStart w:id="25" w:name="_Toc155347774"/>
      <w:r>
        <w:lastRenderedPageBreak/>
        <w:t>Оценка на съответствието с референтните нива за безопасност на МААЕ</w:t>
      </w:r>
      <w:bookmarkEnd w:id="25"/>
    </w:p>
    <w:p w14:paraId="1FC991B0" w14:textId="4A007597" w:rsidR="00A42DF8" w:rsidRDefault="00AA2515" w:rsidP="00EC4E60">
      <w:pPr>
        <w:jc w:val="both"/>
      </w:pPr>
      <w:r>
        <w:t>В този раздел е представена подробна оценка на стандартния проект на централата AP1000, описан в Раздел 1.2. Съответствието се оценява по класификациите за оценка на съответствието, посочени в 2.1, и се представя обосновка в подкрепа на оценката на съответствието.</w:t>
      </w:r>
    </w:p>
    <w:p w14:paraId="4A174B09" w14:textId="068F3607" w:rsidR="00E56D39" w:rsidRPr="00AA2515" w:rsidRDefault="00AB692D" w:rsidP="00BD3948">
      <w:pPr>
        <w:pStyle w:val="Heading2"/>
      </w:pPr>
      <w:bookmarkStart w:id="26" w:name="_Toc155347775"/>
      <w:r>
        <w:t>Оценка на съответствието – класификационен етикет</w:t>
      </w:r>
      <w:bookmarkEnd w:id="26"/>
    </w:p>
    <w:p w14:paraId="608BB881" w14:textId="70088706" w:rsidR="00AB692D" w:rsidRPr="00F17C91" w:rsidRDefault="003A1538" w:rsidP="0085267D">
      <w:pPr>
        <w:jc w:val="both"/>
      </w:pPr>
      <w:r>
        <w:t>При оценката на съответствието на референтните нива за безопасност на WENRA се прилагат следните класификации:</w:t>
      </w:r>
    </w:p>
    <w:tbl>
      <w:tblPr>
        <w:tblStyle w:val="TableGrid"/>
        <w:tblW w:w="0" w:type="auto"/>
        <w:tblLook w:val="04A0" w:firstRow="1" w:lastRow="0" w:firstColumn="1" w:lastColumn="0" w:noHBand="0" w:noVBand="1"/>
      </w:tblPr>
      <w:tblGrid>
        <w:gridCol w:w="1980"/>
        <w:gridCol w:w="2052"/>
        <w:gridCol w:w="5318"/>
      </w:tblGrid>
      <w:tr w:rsidR="00E56D39" w:rsidRPr="00F17C91" w14:paraId="4865799D" w14:textId="77777777" w:rsidTr="002241EC">
        <w:tc>
          <w:tcPr>
            <w:tcW w:w="1711" w:type="dxa"/>
          </w:tcPr>
          <w:p w14:paraId="603E4C30" w14:textId="7A7DEE08" w:rsidR="00E56D39" w:rsidRPr="00560ECC" w:rsidRDefault="00E56D39" w:rsidP="00BD3948">
            <w:pPr>
              <w:rPr>
                <w:b/>
                <w:bCs/>
              </w:rPr>
            </w:pPr>
            <w:r>
              <w:rPr>
                <w:b/>
              </w:rPr>
              <w:t>Класификационен етикет</w:t>
            </w:r>
          </w:p>
        </w:tc>
        <w:tc>
          <w:tcPr>
            <w:tcW w:w="2070" w:type="dxa"/>
          </w:tcPr>
          <w:p w14:paraId="50FDB9C8" w14:textId="07A5BBA6" w:rsidR="00E56D39" w:rsidRPr="00560ECC" w:rsidRDefault="000D6819" w:rsidP="00BD3948">
            <w:pPr>
              <w:rPr>
                <w:b/>
                <w:bCs/>
              </w:rPr>
            </w:pPr>
            <w:r>
              <w:rPr>
                <w:b/>
              </w:rPr>
              <w:t>Етикет за оценка на съответствието</w:t>
            </w:r>
          </w:p>
        </w:tc>
        <w:tc>
          <w:tcPr>
            <w:tcW w:w="5490" w:type="dxa"/>
          </w:tcPr>
          <w:p w14:paraId="30CD2086" w14:textId="259A3A2F" w:rsidR="00E56D39" w:rsidRPr="00560ECC" w:rsidRDefault="000D6819" w:rsidP="00BD3948">
            <w:pPr>
              <w:rPr>
                <w:b/>
                <w:bCs/>
              </w:rPr>
            </w:pPr>
            <w:r>
              <w:rPr>
                <w:b/>
              </w:rPr>
              <w:t>Значение</w:t>
            </w:r>
          </w:p>
        </w:tc>
      </w:tr>
      <w:tr w:rsidR="00E80C35" w:rsidRPr="00F17C91" w14:paraId="23391BAE" w14:textId="77777777" w:rsidTr="002241EC">
        <w:tc>
          <w:tcPr>
            <w:tcW w:w="1711" w:type="dxa"/>
          </w:tcPr>
          <w:p w14:paraId="1CB587CA" w14:textId="77777777" w:rsidR="00E80C35" w:rsidRPr="00F17C91" w:rsidRDefault="00E80C35" w:rsidP="00BD3948">
            <w:r>
              <w:t>COM</w:t>
            </w:r>
          </w:p>
        </w:tc>
        <w:tc>
          <w:tcPr>
            <w:tcW w:w="2070" w:type="dxa"/>
          </w:tcPr>
          <w:p w14:paraId="40BC92DB" w14:textId="088AA33C" w:rsidR="00E80C35" w:rsidRPr="00F17C91" w:rsidRDefault="00E80C35" w:rsidP="00BD3948">
            <w:r>
              <w:t>Съответствие</w:t>
            </w:r>
          </w:p>
        </w:tc>
        <w:tc>
          <w:tcPr>
            <w:tcW w:w="5490" w:type="dxa"/>
          </w:tcPr>
          <w:p w14:paraId="7B2706B4" w14:textId="44D9B4D5" w:rsidR="00E80C35" w:rsidRPr="00F17C91" w:rsidRDefault="008C5C40" w:rsidP="00BD3948">
            <w:r>
              <w:t>Проектът отговаря на изискванията, както е посочено.</w:t>
            </w:r>
          </w:p>
        </w:tc>
      </w:tr>
      <w:tr w:rsidR="00E80C35" w:rsidRPr="00F17C91" w14:paraId="4CA80D88" w14:textId="77777777" w:rsidTr="002241EC">
        <w:tc>
          <w:tcPr>
            <w:tcW w:w="1711" w:type="dxa"/>
          </w:tcPr>
          <w:p w14:paraId="4206061F" w14:textId="77777777" w:rsidR="00E80C35" w:rsidRPr="00F17C91" w:rsidRDefault="00E80C35" w:rsidP="00BD3948">
            <w:r>
              <w:t>CWO</w:t>
            </w:r>
          </w:p>
        </w:tc>
        <w:tc>
          <w:tcPr>
            <w:tcW w:w="2070" w:type="dxa"/>
          </w:tcPr>
          <w:p w14:paraId="2DFF9FF1" w14:textId="7B13FEE1" w:rsidR="00E80C35" w:rsidRPr="00F17C91" w:rsidRDefault="00E80C35" w:rsidP="00BD3948">
            <w:r>
              <w:t xml:space="preserve">Съответствие с целта </w:t>
            </w:r>
          </w:p>
        </w:tc>
        <w:tc>
          <w:tcPr>
            <w:tcW w:w="5490" w:type="dxa"/>
          </w:tcPr>
          <w:p w14:paraId="7C25AE99" w14:textId="09C4FAD9" w:rsidR="00D83DD9" w:rsidRPr="00E4428B" w:rsidRDefault="007713AE" w:rsidP="007713AE">
            <w:r>
              <w:t>Проектът отговаря на целта на изискването, въпреки че може да има различия в подхода или терминологията.</w:t>
            </w:r>
          </w:p>
        </w:tc>
      </w:tr>
      <w:tr w:rsidR="007D46C2" w:rsidRPr="00F17C91" w14:paraId="416ED716" w14:textId="77777777" w:rsidTr="002241EC">
        <w:tc>
          <w:tcPr>
            <w:tcW w:w="1711" w:type="dxa"/>
          </w:tcPr>
          <w:p w14:paraId="0A045F91" w14:textId="6F20B6A4" w:rsidR="007D46C2" w:rsidRPr="00F17C91" w:rsidRDefault="007D46C2" w:rsidP="007D46C2">
            <w:r>
              <w:t>EP</w:t>
            </w:r>
          </w:p>
        </w:tc>
        <w:tc>
          <w:tcPr>
            <w:tcW w:w="2070" w:type="dxa"/>
          </w:tcPr>
          <w:p w14:paraId="64D2E935" w14:textId="550B9169" w:rsidR="007D46C2" w:rsidRDefault="007D46C2" w:rsidP="007D46C2">
            <w:r>
              <w:t>Външна страна</w:t>
            </w:r>
          </w:p>
        </w:tc>
        <w:tc>
          <w:tcPr>
            <w:tcW w:w="5490" w:type="dxa"/>
          </w:tcPr>
          <w:p w14:paraId="0A49848D" w14:textId="37D64F46" w:rsidR="007D46C2" w:rsidRDefault="007D46C2" w:rsidP="007D46C2">
            <w:r>
              <w:t>Това изискване е отговорност на външна страна, като например Правителство, Регулаторен орган или други Външни институции.</w:t>
            </w:r>
          </w:p>
        </w:tc>
      </w:tr>
      <w:tr w:rsidR="007D46C2" w:rsidRPr="00F17C91" w14:paraId="7557E52E" w14:textId="77777777" w:rsidTr="002241EC">
        <w:tc>
          <w:tcPr>
            <w:tcW w:w="1711" w:type="dxa"/>
          </w:tcPr>
          <w:p w14:paraId="03B02E25" w14:textId="7079091E" w:rsidR="007D46C2" w:rsidRPr="00F17C91" w:rsidRDefault="007D46C2" w:rsidP="007D46C2">
            <w:r>
              <w:t>NAP</w:t>
            </w:r>
          </w:p>
        </w:tc>
        <w:tc>
          <w:tcPr>
            <w:tcW w:w="2070" w:type="dxa"/>
          </w:tcPr>
          <w:p w14:paraId="18E6F5BE" w14:textId="0067CF1C" w:rsidR="007D46C2" w:rsidRDefault="007D46C2" w:rsidP="007D46C2">
            <w:r>
              <w:t>Неприложимо</w:t>
            </w:r>
          </w:p>
        </w:tc>
        <w:tc>
          <w:tcPr>
            <w:tcW w:w="5490" w:type="dxa"/>
          </w:tcPr>
          <w:p w14:paraId="6F6E4B9E" w14:textId="29811B46" w:rsidR="007D46C2" w:rsidRDefault="007D46C2" w:rsidP="007D46C2">
            <w:r>
              <w:t>Изискването не е приложимо към технологията.</w:t>
            </w:r>
          </w:p>
        </w:tc>
      </w:tr>
      <w:tr w:rsidR="007D46C2" w:rsidRPr="00F17C91" w14:paraId="4E786ED0" w14:textId="77777777" w:rsidTr="002241EC">
        <w:tc>
          <w:tcPr>
            <w:tcW w:w="1711" w:type="dxa"/>
          </w:tcPr>
          <w:p w14:paraId="679E289B" w14:textId="77777777" w:rsidR="007D46C2" w:rsidRPr="00F17C91" w:rsidRDefault="007D46C2" w:rsidP="007D46C2">
            <w:r>
              <w:t>NOC</w:t>
            </w:r>
          </w:p>
        </w:tc>
        <w:tc>
          <w:tcPr>
            <w:tcW w:w="2070" w:type="dxa"/>
          </w:tcPr>
          <w:p w14:paraId="7002F829" w14:textId="4925FA6B" w:rsidR="007D46C2" w:rsidRPr="00F17C91" w:rsidRDefault="007D46C2" w:rsidP="007D46C2">
            <w:r>
              <w:t>Несъответствие</w:t>
            </w:r>
          </w:p>
        </w:tc>
        <w:tc>
          <w:tcPr>
            <w:tcW w:w="5490" w:type="dxa"/>
          </w:tcPr>
          <w:p w14:paraId="3988C19D" w14:textId="64D7FD99" w:rsidR="007D46C2" w:rsidRPr="00F17C91" w:rsidRDefault="007D46C2" w:rsidP="007D46C2">
            <w:r>
              <w:t>Проектът не отговаря на изискването.</w:t>
            </w:r>
          </w:p>
        </w:tc>
      </w:tr>
      <w:tr w:rsidR="007D46C2" w:rsidRPr="00F17C91" w14:paraId="4C538FC1" w14:textId="77777777" w:rsidTr="002241EC">
        <w:tc>
          <w:tcPr>
            <w:tcW w:w="1711" w:type="dxa"/>
          </w:tcPr>
          <w:p w14:paraId="5B97AEBB" w14:textId="0835F256" w:rsidR="007D46C2" w:rsidRDefault="007D46C2" w:rsidP="007D46C2">
            <w:r>
              <w:t>NR</w:t>
            </w:r>
          </w:p>
        </w:tc>
        <w:tc>
          <w:tcPr>
            <w:tcW w:w="2070" w:type="dxa"/>
          </w:tcPr>
          <w:p w14:paraId="651730E5" w14:textId="3CE843F3" w:rsidR="007D46C2" w:rsidRDefault="007D46C2" w:rsidP="007D46C2">
            <w:r>
              <w:t>Не е изискване</w:t>
            </w:r>
          </w:p>
        </w:tc>
        <w:tc>
          <w:tcPr>
            <w:tcW w:w="5490" w:type="dxa"/>
          </w:tcPr>
          <w:p w14:paraId="45BBAFC9" w14:textId="32036282" w:rsidR="007D46C2" w:rsidRDefault="007D46C2" w:rsidP="007D46C2">
            <w:r>
              <w:t>Това е пояснение.</w:t>
            </w:r>
          </w:p>
        </w:tc>
      </w:tr>
      <w:tr w:rsidR="007D46C2" w:rsidRPr="00F17C91" w14:paraId="2CAA22AB" w14:textId="77777777" w:rsidTr="002241EC">
        <w:tc>
          <w:tcPr>
            <w:tcW w:w="1711" w:type="dxa"/>
          </w:tcPr>
          <w:p w14:paraId="610BD11F" w14:textId="5B640FAB" w:rsidR="007D46C2" w:rsidRDefault="007D46C2" w:rsidP="007D46C2">
            <w:r>
              <w:t>OR</w:t>
            </w:r>
          </w:p>
        </w:tc>
        <w:tc>
          <w:tcPr>
            <w:tcW w:w="2070" w:type="dxa"/>
          </w:tcPr>
          <w:p w14:paraId="1D628ECC" w14:textId="7F22D7BC" w:rsidR="007D46C2" w:rsidRDefault="007D46C2" w:rsidP="007D46C2">
            <w:r>
              <w:t>Собственик</w:t>
            </w:r>
          </w:p>
        </w:tc>
        <w:tc>
          <w:tcPr>
            <w:tcW w:w="5490" w:type="dxa"/>
          </w:tcPr>
          <w:p w14:paraId="690CD73D" w14:textId="64A02F55" w:rsidR="007D46C2" w:rsidRDefault="007D46C2" w:rsidP="007D46C2">
            <w:r>
              <w:t>Това изискване е отговорност на Собственика и/или Лицензианта.</w:t>
            </w:r>
          </w:p>
        </w:tc>
      </w:tr>
      <w:tr w:rsidR="007D46C2" w:rsidRPr="00F17C91" w14:paraId="388D736A" w14:textId="77777777" w:rsidTr="002241EC">
        <w:tc>
          <w:tcPr>
            <w:tcW w:w="1711" w:type="dxa"/>
          </w:tcPr>
          <w:p w14:paraId="34868C6B" w14:textId="59E32B33" w:rsidR="007D46C2" w:rsidRDefault="007D46C2" w:rsidP="007D46C2">
            <w:r>
              <w:t>POS</w:t>
            </w:r>
          </w:p>
        </w:tc>
        <w:tc>
          <w:tcPr>
            <w:tcW w:w="2070" w:type="dxa"/>
          </w:tcPr>
          <w:p w14:paraId="28C5BD97" w14:textId="3E056B3C" w:rsidR="007D46C2" w:rsidRDefault="007D46C2" w:rsidP="007D46C2">
            <w:r>
              <w:t>Специфичен за проекта или площадката обем работи</w:t>
            </w:r>
          </w:p>
        </w:tc>
        <w:tc>
          <w:tcPr>
            <w:tcW w:w="5490" w:type="dxa"/>
          </w:tcPr>
          <w:p w14:paraId="720FB1CF" w14:textId="0E5C38A5" w:rsidR="007D46C2" w:rsidRDefault="007D46C2" w:rsidP="007D46C2">
            <w:r>
              <w:t xml:space="preserve">Това изискване изисква да се извърши специфичен за проекта или площадката обем работи, за да се изпълни изискването. </w:t>
            </w:r>
          </w:p>
          <w:p w14:paraId="4506FFBB" w14:textId="45DD5D7C" w:rsidR="007D46C2" w:rsidRPr="00F17C91" w:rsidRDefault="007D46C2" w:rsidP="007D46C2">
            <w:r>
              <w:t>Страната, която носи отговорност за този обем работи, ще бъде определена в документа за разпределяне на отговорностите за конкретния проект; обемът работи може да бъде отговорност на проектанта, Собственика или друга трета страна.</w:t>
            </w:r>
          </w:p>
        </w:tc>
      </w:tr>
    </w:tbl>
    <w:p w14:paraId="5D87189B" w14:textId="22C7D4EB" w:rsidR="003A1538" w:rsidRDefault="003A1538" w:rsidP="00BD3948"/>
    <w:p w14:paraId="22656E04" w14:textId="77777777" w:rsidR="00FE55B6" w:rsidRDefault="00FE55B6" w:rsidP="00BD3948">
      <w:pPr>
        <w:sectPr w:rsidR="00FE55B6" w:rsidSect="00A86B00">
          <w:endnotePr>
            <w:numFmt w:val="decimal"/>
          </w:endnotePr>
          <w:pgSz w:w="12240" w:h="15840" w:code="1"/>
          <w:pgMar w:top="1440" w:right="1440" w:bottom="1440" w:left="1440" w:header="720" w:footer="720" w:gutter="0"/>
          <w:pgNumType w:start="1" w:chapStyle="1"/>
          <w:cols w:space="720"/>
          <w:noEndnote/>
          <w:docGrid w:linePitch="299"/>
        </w:sectPr>
      </w:pPr>
    </w:p>
    <w:p w14:paraId="5B4F3D98" w14:textId="62B8B957" w:rsidR="0010545D" w:rsidRDefault="00572C16" w:rsidP="00CA6CCF">
      <w:pPr>
        <w:pStyle w:val="Heading2"/>
        <w:rPr>
          <w:szCs w:val="24"/>
        </w:rPr>
      </w:pPr>
      <w:bookmarkStart w:id="27" w:name="_Toc155347776"/>
      <w:r>
        <w:lastRenderedPageBreak/>
        <w:t>Общи изисквания за защита и безопасност</w:t>
      </w:r>
      <w:bookmarkEnd w:id="27"/>
    </w:p>
    <w:p w14:paraId="22BF47C1" w14:textId="62689F6B" w:rsidR="0010545D" w:rsidRPr="007D3878" w:rsidRDefault="007D3878" w:rsidP="00894DF1">
      <w:pPr>
        <w:spacing w:after="0"/>
        <w:rPr>
          <w:b/>
          <w:bCs/>
          <w:caps/>
          <w:sz w:val="24"/>
          <w:szCs w:val="24"/>
        </w:rPr>
      </w:pPr>
      <w:r>
        <w:rPr>
          <w:b/>
          <w:caps/>
          <w:sz w:val="24"/>
        </w:rPr>
        <w:tab/>
        <w:t>Прилагане на принципите на радиационната защита</w:t>
      </w:r>
    </w:p>
    <w:p w14:paraId="4D5D7522" w14:textId="058D8F4E" w:rsidR="00FE55B6" w:rsidRPr="00A40BF5" w:rsidRDefault="00AF7C48" w:rsidP="007D3878">
      <w:pPr>
        <w:pStyle w:val="Heading3"/>
      </w:pPr>
      <w:bookmarkStart w:id="28" w:name="_Toc155347777"/>
      <w:r>
        <w:t>Изискване 1: Прилагане на принципите на радиационната защита</w:t>
      </w:r>
      <w:bookmarkEnd w:id="28"/>
    </w:p>
    <w:tbl>
      <w:tblPr>
        <w:tblStyle w:val="TableGrid"/>
        <w:tblW w:w="13495" w:type="dxa"/>
        <w:tblLayout w:type="fixed"/>
        <w:tblLook w:val="04A0" w:firstRow="1" w:lastRow="0" w:firstColumn="1" w:lastColumn="0" w:noHBand="0" w:noVBand="1"/>
      </w:tblPr>
      <w:tblGrid>
        <w:gridCol w:w="797"/>
        <w:gridCol w:w="5010"/>
        <w:gridCol w:w="1540"/>
        <w:gridCol w:w="6148"/>
      </w:tblGrid>
      <w:tr w:rsidR="00C10639" w14:paraId="3BB0B29B" w14:textId="77777777" w:rsidTr="00152D60">
        <w:trPr>
          <w:tblHeader/>
        </w:trPr>
        <w:tc>
          <w:tcPr>
            <w:tcW w:w="797" w:type="dxa"/>
          </w:tcPr>
          <w:p w14:paraId="3164A23C" w14:textId="77777777" w:rsidR="00C10639" w:rsidRPr="00F172DF" w:rsidRDefault="00C10639" w:rsidP="00B723E1">
            <w:pPr>
              <w:rPr>
                <w:b/>
                <w:bCs/>
              </w:rPr>
            </w:pPr>
          </w:p>
        </w:tc>
        <w:tc>
          <w:tcPr>
            <w:tcW w:w="5010" w:type="dxa"/>
          </w:tcPr>
          <w:p w14:paraId="7CB09C81" w14:textId="77777777" w:rsidR="00C10639" w:rsidRPr="00F172DF" w:rsidRDefault="00C10639" w:rsidP="00B723E1">
            <w:pPr>
              <w:rPr>
                <w:b/>
                <w:bCs/>
              </w:rPr>
            </w:pPr>
            <w:r>
              <w:rPr>
                <w:b/>
              </w:rPr>
              <w:t>Описание</w:t>
            </w:r>
          </w:p>
        </w:tc>
        <w:tc>
          <w:tcPr>
            <w:tcW w:w="1540" w:type="dxa"/>
          </w:tcPr>
          <w:p w14:paraId="1E70F05C" w14:textId="0A682FEF" w:rsidR="00C10639" w:rsidRPr="00F172DF" w:rsidRDefault="00C10639" w:rsidP="00B723E1">
            <w:pPr>
              <w:rPr>
                <w:b/>
                <w:bCs/>
              </w:rPr>
            </w:pPr>
            <w:r>
              <w:rPr>
                <w:b/>
              </w:rPr>
              <w:t>Съответствие</w:t>
            </w:r>
          </w:p>
        </w:tc>
        <w:tc>
          <w:tcPr>
            <w:tcW w:w="6148" w:type="dxa"/>
          </w:tcPr>
          <w:p w14:paraId="6DC1B7AF" w14:textId="77777777" w:rsidR="00C10639" w:rsidRPr="00F172DF" w:rsidRDefault="00C10639" w:rsidP="00B723E1">
            <w:pPr>
              <w:rPr>
                <w:b/>
                <w:bCs/>
              </w:rPr>
            </w:pPr>
            <w:r>
              <w:rPr>
                <w:b/>
              </w:rPr>
              <w:t>Обосновка</w:t>
            </w:r>
          </w:p>
        </w:tc>
      </w:tr>
      <w:tr w:rsidR="00841EDD" w14:paraId="62C3467B" w14:textId="77777777" w:rsidTr="00152D60">
        <w:tc>
          <w:tcPr>
            <w:tcW w:w="797" w:type="dxa"/>
          </w:tcPr>
          <w:p w14:paraId="0603F371" w14:textId="77777777" w:rsidR="00841EDD" w:rsidRDefault="00841EDD" w:rsidP="00B723E1"/>
        </w:tc>
        <w:tc>
          <w:tcPr>
            <w:tcW w:w="5010" w:type="dxa"/>
          </w:tcPr>
          <w:p w14:paraId="609EEAB9" w14:textId="7873BCD0" w:rsidR="00841EDD" w:rsidRPr="00AE0C27" w:rsidRDefault="00841EDD" w:rsidP="00673040">
            <w:pPr>
              <w:tabs>
                <w:tab w:val="clear" w:pos="720"/>
                <w:tab w:val="clear" w:pos="1296"/>
                <w:tab w:val="clear" w:pos="1872"/>
                <w:tab w:val="clear" w:pos="2448"/>
              </w:tabs>
              <w:autoSpaceDE w:val="0"/>
              <w:autoSpaceDN w:val="0"/>
              <w:adjustRightInd w:val="0"/>
              <w:spacing w:after="0" w:line="240" w:lineRule="auto"/>
              <w:rPr>
                <w:kern w:val="0"/>
                <w:highlight w:val="red"/>
              </w:rPr>
            </w:pPr>
            <w:r>
              <w:rPr>
                <w:b/>
              </w:rPr>
              <w:t>Страните с отговорности за защитата и безопасността осигуряват прилагането на принципите на радиационната защита във всички ситуации на облъчване.</w:t>
            </w:r>
          </w:p>
        </w:tc>
        <w:tc>
          <w:tcPr>
            <w:tcW w:w="1540" w:type="dxa"/>
          </w:tcPr>
          <w:p w14:paraId="4B9FAFA5" w14:textId="5019BDB1" w:rsidR="004840E7" w:rsidRDefault="00401F32" w:rsidP="004840E7">
            <w:pPr>
              <w:jc w:val="center"/>
            </w:pPr>
            <w:r>
              <w:t>COM, OR, EP</w:t>
            </w:r>
          </w:p>
        </w:tc>
        <w:tc>
          <w:tcPr>
            <w:tcW w:w="6148" w:type="dxa"/>
          </w:tcPr>
          <w:p w14:paraId="55D50C52" w14:textId="2DB51F29" w:rsidR="00BC1694" w:rsidRDefault="00BC1694" w:rsidP="00BC1694">
            <w:r>
              <w:rPr>
                <w:rFonts w:ascii="Calibri" w:hAnsi="Calibri"/>
              </w:rPr>
              <w:t xml:space="preserve">Компанията Уестингхаус е провела разработването на проекта за AP1000 в рамките на своята призната система за управление на качеството (СУК) и е поела основната отговорност за безопасността по време на разработването на проекта. Основната цел на проекта AP1000 е да се постигне много нисък риск от увреждане на </w:t>
            </w:r>
            <w:r w:rsidR="00DC2AF9">
              <w:rPr>
                <w:rFonts w:ascii="Calibri" w:hAnsi="Calibri"/>
              </w:rPr>
              <w:t>населението</w:t>
            </w:r>
            <w:r>
              <w:rPr>
                <w:rFonts w:ascii="Calibri" w:hAnsi="Calibri"/>
              </w:rPr>
              <w:t xml:space="preserve"> и околната среда. Проектът на AP1000 включва мерки за намаляване на риска за </w:t>
            </w:r>
            <w:r w:rsidR="00DC2AF9">
              <w:rPr>
                <w:rFonts w:ascii="Calibri" w:hAnsi="Calibri"/>
              </w:rPr>
              <w:t>населението</w:t>
            </w:r>
            <w:r>
              <w:rPr>
                <w:rFonts w:ascii="Calibri" w:hAnsi="Calibri"/>
              </w:rPr>
              <w:t xml:space="preserve"> и околната среда по време на отделните етапи от жизнения цикъл на централата. Тези мерки са обсъдени в ДКП. В Глава 2 на ДКП се обсъждат аспектите, свързани с избора на площадка. В Глави от 3 до 10 на ДКП се обсъждат аспектите на проектирането, </w:t>
            </w:r>
            <w:r w:rsidR="00DC2AF9">
              <w:rPr>
                <w:rFonts w:ascii="Calibri" w:hAnsi="Calibri"/>
              </w:rPr>
              <w:t>производството</w:t>
            </w:r>
            <w:r>
              <w:rPr>
                <w:rFonts w:ascii="Calibri" w:hAnsi="Calibri"/>
              </w:rPr>
              <w:t xml:space="preserve"> и строителството. В Глава 11 на ДКП се обсъждат аспектите на управлението на радиоактивните отпадъци. В Глава 12 на ДКП се обсъжда радиационната защита. В Глава 14 на ДКП се обсъждат аспектите на въвеждането в експлоатация. В Глава 15 на ДКП се обсъждат анализите на авариите, в Глава 18 на ДКП се обсъждат аспектите на човешките фактори, а в Глава 19 на ДКП се обсъжда вероятностния анализ на безопасността.</w:t>
            </w:r>
            <w:r>
              <w:br/>
            </w:r>
            <w:r>
              <w:rPr>
                <w:rFonts w:ascii="Calibri" w:hAnsi="Calibri"/>
              </w:rPr>
              <w:t>При проектирането на централата AP1000 е приложена политиката “толкова ниско, колкото е разумно постижимо” (ALARA), за да се сведат до минимум радиологичните последици за персонала и населението</w:t>
            </w:r>
            <w:r>
              <w:t xml:space="preserve">. </w:t>
            </w:r>
            <w:r>
              <w:rPr>
                <w:rStyle w:val="cf01"/>
                <w:rFonts w:asciiTheme="minorHAnsi" w:hAnsiTheme="minorHAnsi"/>
                <w:sz w:val="22"/>
              </w:rPr>
              <w:t>Проектът се преглежда според съображенията за ALARA и се актуализира въз основа на опита от съществуващи работещи централи</w:t>
            </w:r>
            <w:r>
              <w:t xml:space="preserve">. </w:t>
            </w:r>
            <w:r>
              <w:rPr>
                <w:rFonts w:ascii="Calibri" w:hAnsi="Calibri"/>
              </w:rPr>
              <w:t xml:space="preserve">Прегледите по ALARA включват проектирането на централата </w:t>
            </w:r>
            <w:r>
              <w:rPr>
                <w:rFonts w:ascii="Calibri" w:hAnsi="Calibri"/>
              </w:rPr>
              <w:lastRenderedPageBreak/>
              <w:t xml:space="preserve">и интегрираната </w:t>
            </w:r>
            <w:r w:rsidR="00DC2AF9">
              <w:rPr>
                <w:rFonts w:ascii="Calibri" w:hAnsi="Calibri"/>
              </w:rPr>
              <w:t>площадка</w:t>
            </w:r>
            <w:r>
              <w:rPr>
                <w:rFonts w:ascii="Calibri" w:hAnsi="Calibri"/>
              </w:rPr>
              <w:t xml:space="preserve">, като се вземат предвид проектите за екранирането, ОВиК и </w:t>
            </w:r>
            <w:r w:rsidR="00CF3E97">
              <w:rPr>
                <w:rFonts w:ascii="Calibri" w:hAnsi="Calibri"/>
              </w:rPr>
              <w:t>системи за наблюдение</w:t>
            </w:r>
            <w:r>
              <w:rPr>
                <w:rFonts w:ascii="Calibri" w:hAnsi="Calibri"/>
              </w:rPr>
              <w:t xml:space="preserve"> свързани с контрола на трафика, сигурността, контрола на достъпа и </w:t>
            </w:r>
            <w:r w:rsidR="0072698B">
              <w:rPr>
                <w:rFonts w:ascii="Calibri" w:hAnsi="Calibri"/>
              </w:rPr>
              <w:t>радиационната защита</w:t>
            </w:r>
            <w:r>
              <w:rPr>
                <w:rFonts w:ascii="Calibri" w:hAnsi="Calibri"/>
              </w:rPr>
              <w:t xml:space="preserve"> (дозиметрията). В глава 12 на ДКП се обсъжда допълнително прилагането на принципите на ALARA при проектирането на централата AP1000.</w:t>
            </w:r>
            <w:r>
              <w:rPr>
                <w:rFonts w:ascii="Calibri" w:hAnsi="Calibri"/>
              </w:rPr>
              <w:br/>
            </w:r>
            <w:r>
              <w:t xml:space="preserve">Също така, в Глава 13 на ДКП е предоставена информация за начина на експлоатация, в която се описва експлоатацията при нормални, </w:t>
            </w:r>
            <w:r w:rsidR="00CF3E97">
              <w:t xml:space="preserve">нарушени </w:t>
            </w:r>
            <w:r>
              <w:t>и аварийни условия.</w:t>
            </w:r>
          </w:p>
          <w:p w14:paraId="4822311F" w14:textId="4593243F" w:rsidR="0044210F" w:rsidRPr="0044210F" w:rsidRDefault="0044210F" w:rsidP="00BC1694">
            <w:pPr>
              <w:rPr>
                <w:rFonts w:eastAsiaTheme="minorHAnsi" w:cstheme="minorBidi"/>
                <w:kern w:val="0"/>
              </w:rPr>
            </w:pPr>
            <w:r>
              <w:t>Това е отговорност на Собственика/Лицензианта и/или външни страни.</w:t>
            </w:r>
          </w:p>
        </w:tc>
      </w:tr>
      <w:tr w:rsidR="009A1CCC" w14:paraId="0267A47A" w14:textId="77777777" w:rsidTr="00152D60">
        <w:tc>
          <w:tcPr>
            <w:tcW w:w="797" w:type="dxa"/>
          </w:tcPr>
          <w:p w14:paraId="5EC8F963" w14:textId="6DFF8282" w:rsidR="009A1CCC" w:rsidRDefault="009A1CCC" w:rsidP="009A1CCC">
            <w:r>
              <w:lastRenderedPageBreak/>
              <w:t>2.8.</w:t>
            </w:r>
          </w:p>
        </w:tc>
        <w:tc>
          <w:tcPr>
            <w:tcW w:w="5010" w:type="dxa"/>
          </w:tcPr>
          <w:p w14:paraId="5F1430F1" w14:textId="3712F346" w:rsidR="009A1CCC" w:rsidRPr="00673040" w:rsidRDefault="009A1CCC" w:rsidP="006A7ABA">
            <w:pPr>
              <w:tabs>
                <w:tab w:val="clear" w:pos="720"/>
                <w:tab w:val="clear" w:pos="1296"/>
                <w:tab w:val="clear" w:pos="1872"/>
                <w:tab w:val="clear" w:pos="2448"/>
              </w:tabs>
              <w:autoSpaceDE w:val="0"/>
              <w:autoSpaceDN w:val="0"/>
              <w:adjustRightInd w:val="0"/>
              <w:spacing w:line="240" w:lineRule="auto"/>
              <w:rPr>
                <w:kern w:val="0"/>
              </w:rPr>
            </w:pPr>
            <w:r>
              <w:t>При ситуации на планирано облъчване всяка страна, която носи отговорност за защитата и безопасността, гарантира, че когато по отношение на тази страна действат съответни изисквания, тя не предприема никакви практически действия, които не са обосновани.</w:t>
            </w:r>
          </w:p>
        </w:tc>
        <w:tc>
          <w:tcPr>
            <w:tcW w:w="1540" w:type="dxa"/>
          </w:tcPr>
          <w:p w14:paraId="24A66F8F" w14:textId="76AC1486" w:rsidR="009A1CCC" w:rsidRDefault="00401F32" w:rsidP="004C3A1E">
            <w:pPr>
              <w:jc w:val="center"/>
            </w:pPr>
            <w:r>
              <w:t>COM, OR, EP</w:t>
            </w:r>
          </w:p>
        </w:tc>
        <w:tc>
          <w:tcPr>
            <w:tcW w:w="6148" w:type="dxa"/>
          </w:tcPr>
          <w:p w14:paraId="0FEF6F38" w14:textId="3876F54D" w:rsidR="00401F32" w:rsidRDefault="00401F32" w:rsidP="005E40C1">
            <w:pPr>
              <w:tabs>
                <w:tab w:val="clear" w:pos="720"/>
                <w:tab w:val="clear" w:pos="1296"/>
                <w:tab w:val="clear" w:pos="1872"/>
                <w:tab w:val="clear" w:pos="2448"/>
              </w:tabs>
              <w:autoSpaceDE w:val="0"/>
              <w:autoSpaceDN w:val="0"/>
              <w:adjustRightInd w:val="0"/>
              <w:spacing w:line="240" w:lineRule="auto"/>
              <w:rPr>
                <w:rFonts w:eastAsiaTheme="minorHAnsi" w:cstheme="minorBidi"/>
                <w:kern w:val="0"/>
              </w:rPr>
            </w:pPr>
            <w:r>
              <w:t>Компанията Уестингхаус взема под внимание обосновката на практиката и прилага мерки, съответстващи на риска от облъчване и радиационната опасност.</w:t>
            </w:r>
          </w:p>
          <w:p w14:paraId="20128AE8" w14:textId="0D0C4207" w:rsidR="009A1CCC" w:rsidRDefault="00DE5355" w:rsidP="005E40C1">
            <w:pPr>
              <w:tabs>
                <w:tab w:val="clear" w:pos="720"/>
                <w:tab w:val="clear" w:pos="1296"/>
                <w:tab w:val="clear" w:pos="1872"/>
                <w:tab w:val="clear" w:pos="2448"/>
              </w:tabs>
              <w:autoSpaceDE w:val="0"/>
              <w:autoSpaceDN w:val="0"/>
              <w:adjustRightInd w:val="0"/>
              <w:spacing w:line="240" w:lineRule="auto"/>
            </w:pPr>
            <w:r>
              <w:t>Това е отговорност на Собственика/Лицензианта и/или други външни страни.</w:t>
            </w:r>
          </w:p>
        </w:tc>
      </w:tr>
      <w:tr w:rsidR="009A1CCC" w14:paraId="1F9C21BD" w14:textId="77777777" w:rsidTr="00152D60">
        <w:tc>
          <w:tcPr>
            <w:tcW w:w="797" w:type="dxa"/>
          </w:tcPr>
          <w:p w14:paraId="5D1D86A7" w14:textId="56703E3F" w:rsidR="009A1CCC" w:rsidRDefault="009A1CCC" w:rsidP="009A1CCC">
            <w:r>
              <w:t>2.9.</w:t>
            </w:r>
          </w:p>
        </w:tc>
        <w:tc>
          <w:tcPr>
            <w:tcW w:w="5010" w:type="dxa"/>
          </w:tcPr>
          <w:p w14:paraId="2386C670" w14:textId="4D9B54E6" w:rsidR="009A1CCC" w:rsidRPr="00673040" w:rsidRDefault="009A1CCC" w:rsidP="009A1CCC">
            <w:pPr>
              <w:tabs>
                <w:tab w:val="clear" w:pos="720"/>
                <w:tab w:val="clear" w:pos="1296"/>
                <w:tab w:val="clear" w:pos="1872"/>
                <w:tab w:val="clear" w:pos="2448"/>
              </w:tabs>
              <w:autoSpaceDE w:val="0"/>
              <w:autoSpaceDN w:val="0"/>
              <w:adjustRightInd w:val="0"/>
              <w:spacing w:after="0" w:line="240" w:lineRule="auto"/>
              <w:rPr>
                <w:kern w:val="0"/>
              </w:rPr>
            </w:pPr>
            <w:r>
              <w:t>В ситуации на аварийно облъчване и ситуации на съществуващо облъчване всяка страна, която носи отговорност за защитата и безопасността, осигурява, когато по отношение на</w:t>
            </w:r>
          </w:p>
          <w:p w14:paraId="50C3A690" w14:textId="42026120" w:rsidR="009A1CCC" w:rsidRPr="00673040" w:rsidRDefault="009A1CCC" w:rsidP="008A46B1">
            <w:pPr>
              <w:tabs>
                <w:tab w:val="clear" w:pos="720"/>
                <w:tab w:val="clear" w:pos="1296"/>
                <w:tab w:val="clear" w:pos="1872"/>
                <w:tab w:val="clear" w:pos="2448"/>
              </w:tabs>
              <w:autoSpaceDE w:val="0"/>
              <w:autoSpaceDN w:val="0"/>
              <w:adjustRightInd w:val="0"/>
              <w:spacing w:line="240" w:lineRule="auto"/>
              <w:rPr>
                <w:kern w:val="0"/>
              </w:rPr>
            </w:pPr>
            <w:r>
              <w:t>тази страна действат съответни изисквания, обосновка на защитните действия или възстановителните мерки и тяхното осъществяване по такъв начин, че да бъдат постигнати целите, изложени в стратегията за защита.</w:t>
            </w:r>
          </w:p>
        </w:tc>
        <w:tc>
          <w:tcPr>
            <w:tcW w:w="1540" w:type="dxa"/>
          </w:tcPr>
          <w:p w14:paraId="7CD9B062" w14:textId="36799962" w:rsidR="009A1CCC" w:rsidRDefault="00DE5355" w:rsidP="009A1CCC">
            <w:pPr>
              <w:jc w:val="center"/>
            </w:pPr>
            <w:r>
              <w:t>OR, EP</w:t>
            </w:r>
          </w:p>
        </w:tc>
        <w:tc>
          <w:tcPr>
            <w:tcW w:w="6148" w:type="dxa"/>
          </w:tcPr>
          <w:p w14:paraId="4650AA25" w14:textId="18DE8372" w:rsidR="009A1CCC" w:rsidRDefault="00DE5355" w:rsidP="004C3A1E">
            <w:r>
              <w:t>Това е отговорност на Собственика/Лицензианта и/или други външни страни.</w:t>
            </w:r>
          </w:p>
        </w:tc>
      </w:tr>
      <w:tr w:rsidR="003C3A48" w14:paraId="5B25DB95" w14:textId="77777777" w:rsidTr="00152D60">
        <w:tc>
          <w:tcPr>
            <w:tcW w:w="797" w:type="dxa"/>
          </w:tcPr>
          <w:p w14:paraId="43C71066" w14:textId="12347C16" w:rsidR="003C3A48" w:rsidRDefault="003C3A48" w:rsidP="003C3A48">
            <w:r>
              <w:lastRenderedPageBreak/>
              <w:t>2.10.</w:t>
            </w:r>
          </w:p>
        </w:tc>
        <w:tc>
          <w:tcPr>
            <w:tcW w:w="5010" w:type="dxa"/>
          </w:tcPr>
          <w:p w14:paraId="46CCF07F" w14:textId="51EC714C" w:rsidR="003C3A48" w:rsidRPr="00AE0C27" w:rsidRDefault="003C3A48" w:rsidP="003C3A48">
            <w:pPr>
              <w:rPr>
                <w:highlight w:val="red"/>
              </w:rPr>
            </w:pPr>
            <w:r>
              <w:t>За всички ситуации на облъчване всяка страна, която носи отговорност за защитата и безопасността, осигурява, когато по отношение на тази страна действат съответни изисквания, оптимизация на защитата и безопасността</w:t>
            </w:r>
            <w:r>
              <w:rPr>
                <w:vertAlign w:val="superscript"/>
              </w:rPr>
              <w:t>9</w:t>
            </w:r>
            <w:r>
              <w:t>.</w:t>
            </w:r>
          </w:p>
        </w:tc>
        <w:tc>
          <w:tcPr>
            <w:tcW w:w="1540" w:type="dxa"/>
          </w:tcPr>
          <w:p w14:paraId="3F331101" w14:textId="27158492" w:rsidR="003C3A48" w:rsidRDefault="00401F32" w:rsidP="003C3A48">
            <w:pPr>
              <w:jc w:val="center"/>
            </w:pPr>
            <w:r>
              <w:t>COM, OR, EP</w:t>
            </w:r>
          </w:p>
        </w:tc>
        <w:tc>
          <w:tcPr>
            <w:tcW w:w="6148" w:type="dxa"/>
          </w:tcPr>
          <w:p w14:paraId="32F3ACB1" w14:textId="316E26C8" w:rsidR="00B36958" w:rsidRDefault="00B36958" w:rsidP="005E40C1">
            <w:r>
              <w:t xml:space="preserve">Проектът на AP1000 е в съответствие с 10 CFR 20 и Регулаторните ръководства 1.8, 8.8 и 8.10. Тези ръководни принципи очертават практиките “толкова по-ниско, колкото е разумно постижимо” (ALARA) за </w:t>
            </w:r>
            <w:r w:rsidR="00CF3E97">
              <w:t>ядрените</w:t>
            </w:r>
            <w:r>
              <w:t xml:space="preserve"> електроцентрали. Политиката ALARA се прилага за свеждане до минимум на радиационните въздействия върху персонала и населението. Проектът се преглежда по съображенията за ALARA и се актуализира с прилагане на опита от работещи централи. Прегледите по ALARA включват проектирането на централата и интегрираната </w:t>
            </w:r>
            <w:r w:rsidR="00E152A8">
              <w:t>площадка</w:t>
            </w:r>
            <w:r>
              <w:t xml:space="preserve">, като се вземат предвид проектите за екранирането, ОВиК и </w:t>
            </w:r>
            <w:r w:rsidR="00E152A8">
              <w:t>системите за наблюдение</w:t>
            </w:r>
            <w:r>
              <w:t xml:space="preserve"> свързани с контрола на трафика, сигурността, контрола на достъпа и </w:t>
            </w:r>
            <w:r w:rsidR="0072698B">
              <w:t>радиационната защита</w:t>
            </w:r>
            <w:r>
              <w:t xml:space="preserve"> (дозиметрията). В Глава 12 на ДКП се обсъжда допълнително прилагането на принципите на ALARA при проектирането на централата AP1000 и се потвърждава, че радиационната защита и безопасност са оптимизирани чрез следване на политиката ALARA.</w:t>
            </w:r>
          </w:p>
          <w:p w14:paraId="2520172D" w14:textId="4AF1FBD4" w:rsidR="005E40C1" w:rsidRPr="008A46B1" w:rsidRDefault="005E40C1" w:rsidP="005E40C1">
            <w:pPr>
              <w:tabs>
                <w:tab w:val="clear" w:pos="720"/>
                <w:tab w:val="clear" w:pos="1296"/>
                <w:tab w:val="clear" w:pos="1872"/>
                <w:tab w:val="clear" w:pos="2448"/>
              </w:tabs>
              <w:autoSpaceDE w:val="0"/>
              <w:autoSpaceDN w:val="0"/>
              <w:adjustRightInd w:val="0"/>
              <w:spacing w:line="240" w:lineRule="auto"/>
              <w:rPr>
                <w:rFonts w:eastAsiaTheme="minorHAnsi" w:cstheme="minorBidi"/>
                <w:kern w:val="0"/>
              </w:rPr>
            </w:pPr>
            <w:r>
              <w:t>Това е отговорност на Собственика/Лицензианта и/или други външни страни.</w:t>
            </w:r>
          </w:p>
        </w:tc>
      </w:tr>
      <w:tr w:rsidR="003C3A48" w14:paraId="02E104EB" w14:textId="77777777" w:rsidTr="00152D60">
        <w:tc>
          <w:tcPr>
            <w:tcW w:w="797" w:type="dxa"/>
          </w:tcPr>
          <w:p w14:paraId="5665D2D9" w14:textId="20CE89EC" w:rsidR="003C3A48" w:rsidRPr="005F6F4D" w:rsidRDefault="003C3A48" w:rsidP="003C3A48">
            <w:r>
              <w:t>2.11.</w:t>
            </w:r>
          </w:p>
        </w:tc>
        <w:tc>
          <w:tcPr>
            <w:tcW w:w="5010" w:type="dxa"/>
          </w:tcPr>
          <w:p w14:paraId="2E5DEAA2" w14:textId="4EC04CB1" w:rsidR="003C3A48" w:rsidRDefault="003C3A48" w:rsidP="003C3A48">
            <w:pPr>
              <w:rPr>
                <w:kern w:val="0"/>
              </w:rPr>
            </w:pPr>
            <w:r>
              <w:t xml:space="preserve">В ситуации на планирано облъчване, различно от медицинско облъчване, всяка страна, която носи отговорност за защитата и безопасността, когато по отношение на тази страна действат съответни изисквания, осигурява непревишаване на определените </w:t>
            </w:r>
            <w:r w:rsidR="00A37ECD">
              <w:t>дозови ограничения</w:t>
            </w:r>
            <w:r>
              <w:t>.</w:t>
            </w:r>
          </w:p>
          <w:p w14:paraId="1B56A201" w14:textId="5119267E" w:rsidR="00894DF1" w:rsidRPr="005F6F4D" w:rsidRDefault="00894DF1" w:rsidP="003C3A48"/>
        </w:tc>
        <w:tc>
          <w:tcPr>
            <w:tcW w:w="1540" w:type="dxa"/>
          </w:tcPr>
          <w:p w14:paraId="6591CBAA" w14:textId="03FDAB3B" w:rsidR="003C3A48" w:rsidRDefault="00D67198" w:rsidP="003C3A48">
            <w:pPr>
              <w:jc w:val="center"/>
            </w:pPr>
            <w:r>
              <w:t>CWO, OR, EP</w:t>
            </w:r>
          </w:p>
        </w:tc>
        <w:tc>
          <w:tcPr>
            <w:tcW w:w="6148" w:type="dxa"/>
          </w:tcPr>
          <w:p w14:paraId="4663F8B1" w14:textId="6A2A54A6" w:rsidR="00962767" w:rsidRDefault="00DE5355" w:rsidP="003C3A48">
            <w:pPr>
              <w:rPr>
                <w:rFonts w:eastAsiaTheme="minorHAnsi" w:cstheme="minorBidi"/>
                <w:kern w:val="0"/>
              </w:rPr>
            </w:pPr>
            <w:r>
              <w:t>Това е отговорност на Собственика/Лицензианта и/или други външни страни.</w:t>
            </w:r>
          </w:p>
          <w:p w14:paraId="253F27A7" w14:textId="4F4DEA0D" w:rsidR="004B0778" w:rsidRPr="009E1D35" w:rsidRDefault="00D67198" w:rsidP="004B0778">
            <w:pPr>
              <w:jc w:val="both"/>
            </w:pPr>
            <w:r>
              <w:t xml:space="preserve">Както е обяснено в Раздел 1.4 на тази оценка, настоящият проект на AP1000 е в състояние да изпълни това изискване при наличие на подходящи радиационни програми, въпреки че тези </w:t>
            </w:r>
            <w:r w:rsidR="0072698B">
              <w:t>граници</w:t>
            </w:r>
            <w:r>
              <w:t xml:space="preserve"> се различават от използваните в 10 CFR 20. Освен това, налице са някои разлики в стандарта по отношение на облъчването на населението, а не по отношение на </w:t>
            </w:r>
            <w:r w:rsidR="0072698B">
              <w:t>граничната</w:t>
            </w:r>
            <w:r>
              <w:t xml:space="preserve"> доза, която и в двата случая е определена на 1 mSv ефективна </w:t>
            </w:r>
            <w:r>
              <w:lastRenderedPageBreak/>
              <w:t xml:space="preserve">доза, каквито са </w:t>
            </w:r>
            <w:r w:rsidR="0072698B">
              <w:t>граничните</w:t>
            </w:r>
            <w:r>
              <w:t xml:space="preserve"> дози за очната леща. Въпреки това, компанията Уестингхаус е убедена, че централата AP1000 може да спази </w:t>
            </w:r>
            <w:r w:rsidR="0072698B">
              <w:t>граничните</w:t>
            </w:r>
            <w:r>
              <w:t xml:space="preserve"> дози, предвидени в този стандарт, като извърши допълнителни изчисления, основани на съответни допускания. По такъв начин, от консервативна гледна точка те се смятат за CWO, тъй като в определен момент потенциално може да възникне необходимост </w:t>
            </w:r>
            <w:r w:rsidR="0072698B">
              <w:t>от</w:t>
            </w:r>
            <w:r>
              <w:t xml:space="preserve"> извършване на допълнителни анализи.</w:t>
            </w:r>
          </w:p>
        </w:tc>
      </w:tr>
      <w:tr w:rsidR="003C3A48" w14:paraId="44BE6265" w14:textId="77777777" w:rsidTr="00152D60">
        <w:tc>
          <w:tcPr>
            <w:tcW w:w="797" w:type="dxa"/>
          </w:tcPr>
          <w:p w14:paraId="0D865748" w14:textId="78C79273" w:rsidR="003C3A48" w:rsidRPr="005F6F4D" w:rsidRDefault="003C3A48" w:rsidP="003C3A48">
            <w:r>
              <w:lastRenderedPageBreak/>
              <w:t>2.12.</w:t>
            </w:r>
          </w:p>
        </w:tc>
        <w:tc>
          <w:tcPr>
            <w:tcW w:w="5010" w:type="dxa"/>
          </w:tcPr>
          <w:p w14:paraId="75CF2991" w14:textId="596291E3" w:rsidR="003C3A48" w:rsidRPr="005F6F4D" w:rsidRDefault="003C3A48" w:rsidP="003C3A48">
            <w:pPr>
              <w:tabs>
                <w:tab w:val="clear" w:pos="720"/>
                <w:tab w:val="clear" w:pos="1296"/>
                <w:tab w:val="clear" w:pos="1872"/>
                <w:tab w:val="clear" w:pos="2448"/>
              </w:tabs>
              <w:autoSpaceDE w:val="0"/>
              <w:autoSpaceDN w:val="0"/>
              <w:adjustRightInd w:val="0"/>
              <w:spacing w:line="240" w:lineRule="auto"/>
              <w:rPr>
                <w:kern w:val="0"/>
              </w:rPr>
            </w:pPr>
            <w:r>
              <w:t>Прилагането на изискванията за системата за защита и безопасност трябва да бъде съизмеримо с радиационните рискове, свързани със ситуацията на облъчване.</w:t>
            </w:r>
          </w:p>
        </w:tc>
        <w:tc>
          <w:tcPr>
            <w:tcW w:w="1540" w:type="dxa"/>
          </w:tcPr>
          <w:p w14:paraId="277A8A4D" w14:textId="06A71354" w:rsidR="003C3A48" w:rsidRDefault="00401F32" w:rsidP="003C3A48">
            <w:pPr>
              <w:jc w:val="center"/>
            </w:pPr>
            <w:r>
              <w:t>COM, OR, EP</w:t>
            </w:r>
          </w:p>
        </w:tc>
        <w:tc>
          <w:tcPr>
            <w:tcW w:w="6148" w:type="dxa"/>
          </w:tcPr>
          <w:p w14:paraId="2A0C837F" w14:textId="10F1DB38" w:rsidR="00E42AD8" w:rsidRDefault="00725829" w:rsidP="00725829">
            <w:r>
              <w:t>Компанията Уестингхаус осъзнава радиационните рискове, свързани със своята собствена технология, и е създала съизмерима система за защита със съответните функции на радиационна защитата в проекта. При проектирането на AP1000 се спазва принцип</w:t>
            </w:r>
            <w:r w:rsidR="00ED61D1">
              <w:t>а</w:t>
            </w:r>
            <w:r>
              <w:t xml:space="preserve"> за оптимизация на радиационната защита. Проектът е в съответствие с 10 CFR 20 и Регулаторните ръководства 1.8, 8.8 и 8.10. Тези ръководни принципи очертават практиките “толкова по-ниско, колкото е разумно постижимо” (ALARA) за </w:t>
            </w:r>
            <w:r w:rsidR="00ED61D1">
              <w:t>ядрените</w:t>
            </w:r>
            <w:r>
              <w:t xml:space="preserve"> електроцентрали. Политиката ALARA се прилага за свеждане до минимум на радиационните въздействия върху персонала и населението. </w:t>
            </w:r>
            <w:r>
              <w:rPr>
                <w:rStyle w:val="cf01"/>
                <w:rFonts w:asciiTheme="minorHAnsi" w:hAnsiTheme="minorHAnsi"/>
                <w:sz w:val="22"/>
              </w:rPr>
              <w:t>Проектът се преглежда според съображенията за ALARA и се актуализира въз основа на опита от съществуващи работещи централи</w:t>
            </w:r>
            <w:r>
              <w:t xml:space="preserve">. Прегледите по ALARA включват проектирането на централата и интегрираната </w:t>
            </w:r>
            <w:r w:rsidR="00ED61D1">
              <w:t>площадка</w:t>
            </w:r>
            <w:r>
              <w:t xml:space="preserve">, като се вземат предвид проектите за екранирането, ОВиК и </w:t>
            </w:r>
            <w:r w:rsidR="00ED61D1">
              <w:t>системите за наблюдение</w:t>
            </w:r>
            <w:r>
              <w:t xml:space="preserve"> свързани с контрола на трафика, сигурността, контрола на достъпа и </w:t>
            </w:r>
            <w:r w:rsidR="00ED61D1">
              <w:t>радиационната защита</w:t>
            </w:r>
            <w:r>
              <w:t xml:space="preserve"> (дозиметрията). В Глава 12 на ДКП се обсъжда допълнително прилагането на принципите на ALARA при проектирането на централата AP1000 и се потвърждава, че радиационната защита и безопасност са оптимизирани чрез следване на политиката </w:t>
            </w:r>
            <w:r>
              <w:lastRenderedPageBreak/>
              <w:t xml:space="preserve">ALARA. Също така, Глава 11 на ДКП хвърля светлина върху радиационния контрол и отпадъчните </w:t>
            </w:r>
            <w:r w:rsidR="0053168F">
              <w:t>радиоактивни води</w:t>
            </w:r>
            <w:r>
              <w:t xml:space="preserve">, а Глава 13 на ДКП предоставя информация за </w:t>
            </w:r>
            <w:r w:rsidR="00922AC9">
              <w:t>процеса</w:t>
            </w:r>
            <w:r>
              <w:t xml:space="preserve"> на експлоатацията, в която се описва експлоатацията при нормални, </w:t>
            </w:r>
            <w:r w:rsidR="00922AC9">
              <w:t>нарушени</w:t>
            </w:r>
            <w:r>
              <w:t xml:space="preserve"> и аварийни условия.</w:t>
            </w:r>
          </w:p>
          <w:p w14:paraId="7359527C" w14:textId="0ED56D1E" w:rsidR="00725829" w:rsidRPr="009E1E5A" w:rsidRDefault="00725829" w:rsidP="00725829">
            <w:pPr>
              <w:rPr>
                <w:rFonts w:eastAsiaTheme="minorHAnsi" w:cstheme="minorBidi"/>
                <w:kern w:val="0"/>
              </w:rPr>
            </w:pPr>
            <w:r>
              <w:t>Това е отговорност на Собственика/Лицензианта и/или други външни страни.</w:t>
            </w:r>
          </w:p>
        </w:tc>
      </w:tr>
    </w:tbl>
    <w:p w14:paraId="79099048" w14:textId="089155D1" w:rsidR="0010545D" w:rsidRPr="007D3878" w:rsidRDefault="007D3878" w:rsidP="00894DF1">
      <w:pPr>
        <w:spacing w:before="240" w:after="0"/>
        <w:rPr>
          <w:b/>
          <w:bCs/>
          <w:caps/>
        </w:rPr>
      </w:pPr>
      <w:r>
        <w:rPr>
          <w:b/>
          <w:caps/>
        </w:rPr>
        <w:lastRenderedPageBreak/>
        <w:tab/>
      </w:r>
      <w:r>
        <w:rPr>
          <w:b/>
          <w:caps/>
          <w:sz w:val="24"/>
        </w:rPr>
        <w:t>Отговорности на правителството</w:t>
      </w:r>
      <w:r>
        <w:rPr>
          <w:b/>
          <w:caps/>
          <w:sz w:val="24"/>
          <w:vertAlign w:val="superscript"/>
        </w:rPr>
        <w:t>10</w:t>
      </w:r>
    </w:p>
    <w:p w14:paraId="27D237C1" w14:textId="0D1851DF" w:rsidR="008C1C35" w:rsidRPr="00A40BF5" w:rsidRDefault="00841EDD" w:rsidP="007D3878">
      <w:pPr>
        <w:pStyle w:val="Heading3"/>
      </w:pPr>
      <w:bookmarkStart w:id="29" w:name="_Toc155347778"/>
      <w:r>
        <w:t>Изискване 2: Създаване на правна и регулаторна рамка</w:t>
      </w:r>
      <w:bookmarkEnd w:id="29"/>
    </w:p>
    <w:tbl>
      <w:tblPr>
        <w:tblStyle w:val="TableGrid"/>
        <w:tblW w:w="13675" w:type="dxa"/>
        <w:tblLayout w:type="fixed"/>
        <w:tblLook w:val="04A0" w:firstRow="1" w:lastRow="0" w:firstColumn="1" w:lastColumn="0" w:noHBand="0" w:noVBand="1"/>
      </w:tblPr>
      <w:tblGrid>
        <w:gridCol w:w="801"/>
        <w:gridCol w:w="5006"/>
        <w:gridCol w:w="1568"/>
        <w:gridCol w:w="6300"/>
      </w:tblGrid>
      <w:tr w:rsidR="004F3E4A" w:rsidRPr="00F172DF" w14:paraId="2452AE7F" w14:textId="77777777" w:rsidTr="00152D60">
        <w:trPr>
          <w:tblHeader/>
        </w:trPr>
        <w:tc>
          <w:tcPr>
            <w:tcW w:w="801" w:type="dxa"/>
          </w:tcPr>
          <w:p w14:paraId="2868960A" w14:textId="77777777" w:rsidR="004F3E4A" w:rsidRPr="00F172DF" w:rsidRDefault="004F3E4A" w:rsidP="00B723E1">
            <w:pPr>
              <w:rPr>
                <w:b/>
                <w:bCs/>
              </w:rPr>
            </w:pPr>
          </w:p>
        </w:tc>
        <w:tc>
          <w:tcPr>
            <w:tcW w:w="5006" w:type="dxa"/>
          </w:tcPr>
          <w:p w14:paraId="4F50D393" w14:textId="77777777" w:rsidR="004F3E4A" w:rsidRPr="00F172DF" w:rsidRDefault="004F3E4A" w:rsidP="00B723E1">
            <w:pPr>
              <w:rPr>
                <w:b/>
                <w:bCs/>
              </w:rPr>
            </w:pPr>
            <w:r>
              <w:rPr>
                <w:b/>
              </w:rPr>
              <w:t>Описание</w:t>
            </w:r>
          </w:p>
        </w:tc>
        <w:tc>
          <w:tcPr>
            <w:tcW w:w="1568" w:type="dxa"/>
          </w:tcPr>
          <w:p w14:paraId="6AD1955A" w14:textId="77777777" w:rsidR="004F3E4A" w:rsidRPr="00F172DF" w:rsidRDefault="004F3E4A" w:rsidP="00B723E1">
            <w:pPr>
              <w:rPr>
                <w:b/>
                <w:bCs/>
              </w:rPr>
            </w:pPr>
            <w:r>
              <w:rPr>
                <w:b/>
              </w:rPr>
              <w:t>Съответствие</w:t>
            </w:r>
          </w:p>
        </w:tc>
        <w:tc>
          <w:tcPr>
            <w:tcW w:w="6300" w:type="dxa"/>
          </w:tcPr>
          <w:p w14:paraId="055B8D91" w14:textId="77777777" w:rsidR="004F3E4A" w:rsidRPr="00F172DF" w:rsidRDefault="004F3E4A" w:rsidP="00B723E1">
            <w:pPr>
              <w:rPr>
                <w:b/>
                <w:bCs/>
              </w:rPr>
            </w:pPr>
            <w:r>
              <w:rPr>
                <w:b/>
              </w:rPr>
              <w:t>Обосновка</w:t>
            </w:r>
          </w:p>
        </w:tc>
      </w:tr>
      <w:tr w:rsidR="00841EDD" w14:paraId="7AE8FDAF" w14:textId="77777777" w:rsidTr="00152D60">
        <w:tc>
          <w:tcPr>
            <w:tcW w:w="801" w:type="dxa"/>
          </w:tcPr>
          <w:p w14:paraId="087BAC50" w14:textId="77777777" w:rsidR="00841EDD" w:rsidRDefault="00841EDD" w:rsidP="00841EDD"/>
        </w:tc>
        <w:tc>
          <w:tcPr>
            <w:tcW w:w="5006" w:type="dxa"/>
          </w:tcPr>
          <w:p w14:paraId="0B8E1C0F" w14:textId="6D7A0BE4" w:rsidR="00841EDD" w:rsidRPr="00EE4857" w:rsidRDefault="00841EDD" w:rsidP="00841EDD">
            <w:pPr>
              <w:tabs>
                <w:tab w:val="clear" w:pos="720"/>
                <w:tab w:val="clear" w:pos="1296"/>
                <w:tab w:val="clear" w:pos="1872"/>
                <w:tab w:val="clear" w:pos="2448"/>
              </w:tabs>
              <w:autoSpaceDE w:val="0"/>
              <w:autoSpaceDN w:val="0"/>
              <w:adjustRightInd w:val="0"/>
              <w:spacing w:line="240" w:lineRule="auto"/>
              <w:rPr>
                <w:kern w:val="0"/>
              </w:rPr>
            </w:pPr>
            <w:r>
              <w:rPr>
                <w:b/>
              </w:rPr>
              <w:t>Правителството създава и поддържа правна и регулаторна рамка за защита и безопасност и създава ефективно независим регулаторен орган с определени отговорности и функции.</w:t>
            </w:r>
          </w:p>
        </w:tc>
        <w:tc>
          <w:tcPr>
            <w:tcW w:w="1568" w:type="dxa"/>
          </w:tcPr>
          <w:p w14:paraId="65D71841" w14:textId="721BF1D9" w:rsidR="00841EDD" w:rsidRDefault="00501B07" w:rsidP="003C3A48">
            <w:pPr>
              <w:jc w:val="center"/>
            </w:pPr>
            <w:r>
              <w:t>EP</w:t>
            </w:r>
          </w:p>
        </w:tc>
        <w:tc>
          <w:tcPr>
            <w:tcW w:w="6300" w:type="dxa"/>
          </w:tcPr>
          <w:p w14:paraId="07CA6749" w14:textId="5810BA0B" w:rsidR="00841EDD" w:rsidRPr="00F7167D" w:rsidRDefault="00E70076" w:rsidP="00F7167D">
            <w:pPr>
              <w:tabs>
                <w:tab w:val="clear" w:pos="720"/>
                <w:tab w:val="clear" w:pos="1296"/>
                <w:tab w:val="clear" w:pos="1872"/>
                <w:tab w:val="clear" w:pos="2448"/>
              </w:tabs>
              <w:autoSpaceDE w:val="0"/>
              <w:autoSpaceDN w:val="0"/>
              <w:adjustRightInd w:val="0"/>
              <w:spacing w:after="0" w:line="240" w:lineRule="auto"/>
              <w:rPr>
                <w:rFonts w:eastAsiaTheme="minorHAnsi" w:cstheme="minorBidi"/>
                <w:kern w:val="0"/>
              </w:rPr>
            </w:pPr>
            <w:r>
              <w:t>Това е отговорност на Правителството.</w:t>
            </w:r>
          </w:p>
        </w:tc>
      </w:tr>
      <w:tr w:rsidR="00841EDD" w14:paraId="531388F6" w14:textId="77777777" w:rsidTr="00152D60">
        <w:tc>
          <w:tcPr>
            <w:tcW w:w="801" w:type="dxa"/>
          </w:tcPr>
          <w:p w14:paraId="7ABCAB3B" w14:textId="1B3BA27F" w:rsidR="00841EDD" w:rsidRDefault="00841EDD" w:rsidP="00841EDD">
            <w:r>
              <w:t>2.13.</w:t>
            </w:r>
          </w:p>
        </w:tc>
        <w:tc>
          <w:tcPr>
            <w:tcW w:w="5006" w:type="dxa"/>
          </w:tcPr>
          <w:p w14:paraId="3301E8B3" w14:textId="29739F8E" w:rsidR="00841EDD" w:rsidRPr="00AF7C48" w:rsidRDefault="00AF7C48" w:rsidP="00AF7C48">
            <w:pPr>
              <w:rPr>
                <w:highlight w:val="yellow"/>
              </w:rPr>
            </w:pPr>
            <w:r>
              <w:t>Правителството създава и поддържа подходяща и ефективна правна и регулаторна рамка за защита и безопасност при всички ситуации на облъчване</w:t>
            </w:r>
            <w:r>
              <w:rPr>
                <w:vertAlign w:val="superscript"/>
              </w:rPr>
              <w:t>11</w:t>
            </w:r>
            <w:r>
              <w:t xml:space="preserve">. Тази рамка обхваща както възлагането и изпълнението на </w:t>
            </w:r>
            <w:r w:rsidR="00922AC9">
              <w:t>правителствените</w:t>
            </w:r>
            <w:r>
              <w:t xml:space="preserve"> отговорности, така и регулаторния контрол върху съоръженията и дейностите, които пораждат радиационни рискове. Рамката дава възможност за изпълнение на международни задължения.</w:t>
            </w:r>
          </w:p>
        </w:tc>
        <w:tc>
          <w:tcPr>
            <w:tcW w:w="1568" w:type="dxa"/>
          </w:tcPr>
          <w:p w14:paraId="6B48F504" w14:textId="11DF4A6A" w:rsidR="00841EDD" w:rsidRDefault="00501B07" w:rsidP="003C3A48">
            <w:pPr>
              <w:jc w:val="center"/>
            </w:pPr>
            <w:r>
              <w:t>EP</w:t>
            </w:r>
          </w:p>
        </w:tc>
        <w:tc>
          <w:tcPr>
            <w:tcW w:w="6300" w:type="dxa"/>
          </w:tcPr>
          <w:p w14:paraId="68EC7A0F" w14:textId="5F22FDD9" w:rsidR="00841EDD" w:rsidRPr="00F7167D" w:rsidRDefault="00E70076" w:rsidP="00F7167D">
            <w:pPr>
              <w:tabs>
                <w:tab w:val="clear" w:pos="720"/>
                <w:tab w:val="clear" w:pos="1296"/>
                <w:tab w:val="clear" w:pos="1872"/>
                <w:tab w:val="clear" w:pos="2448"/>
              </w:tabs>
              <w:autoSpaceDE w:val="0"/>
              <w:autoSpaceDN w:val="0"/>
              <w:adjustRightInd w:val="0"/>
              <w:spacing w:after="0" w:line="240" w:lineRule="auto"/>
              <w:rPr>
                <w:rFonts w:eastAsiaTheme="minorHAnsi" w:cstheme="minorBidi"/>
                <w:kern w:val="0"/>
              </w:rPr>
            </w:pPr>
            <w:r>
              <w:t>Това е отговорност на Правителството.</w:t>
            </w:r>
          </w:p>
        </w:tc>
      </w:tr>
      <w:tr w:rsidR="00841EDD" w14:paraId="3D9C1F77" w14:textId="77777777" w:rsidTr="00152D60">
        <w:tc>
          <w:tcPr>
            <w:tcW w:w="801" w:type="dxa"/>
          </w:tcPr>
          <w:p w14:paraId="2F7A1458" w14:textId="4940CEAA" w:rsidR="00841EDD" w:rsidRDefault="00841EDD" w:rsidP="00841EDD">
            <w:r>
              <w:lastRenderedPageBreak/>
              <w:t>2.14.</w:t>
            </w:r>
          </w:p>
        </w:tc>
        <w:tc>
          <w:tcPr>
            <w:tcW w:w="5006" w:type="dxa"/>
          </w:tcPr>
          <w:p w14:paraId="796B38AD" w14:textId="55602677" w:rsidR="009B225A" w:rsidRPr="00C469CC" w:rsidRDefault="00841EDD" w:rsidP="00841EDD">
            <w:pPr>
              <w:tabs>
                <w:tab w:val="clear" w:pos="720"/>
                <w:tab w:val="clear" w:pos="1296"/>
                <w:tab w:val="clear" w:pos="1872"/>
                <w:tab w:val="clear" w:pos="2448"/>
              </w:tabs>
              <w:autoSpaceDE w:val="0"/>
              <w:autoSpaceDN w:val="0"/>
              <w:adjustRightInd w:val="0"/>
              <w:spacing w:line="240" w:lineRule="auto"/>
              <w:rPr>
                <w:kern w:val="0"/>
                <w:lang w:val="en-US"/>
              </w:rPr>
            </w:pPr>
            <w:r>
              <w:t xml:space="preserve">Правителството гарантира, че са налице адекватни мерки за защита на </w:t>
            </w:r>
            <w:r w:rsidR="00922AC9">
              <w:t>населението</w:t>
            </w:r>
            <w:r>
              <w:t xml:space="preserve"> и околната среда както сега, така и в бъдеще, от вредното въздействие на йонизиращи лъчения, без да се ограничава неоправдано експлоатацията на съоръжения или извършването на дейности, които пораждат радиационни рискове. Това включва мерки за защита на </w:t>
            </w:r>
            <w:r w:rsidR="00922AC9">
              <w:t>населението</w:t>
            </w:r>
            <w:r>
              <w:t xml:space="preserve"> от настоящите и бъдещите поколения и на населението, живеещо на територии, отдалечени от съществуващите съоръжения и дейности.</w:t>
            </w:r>
          </w:p>
        </w:tc>
        <w:tc>
          <w:tcPr>
            <w:tcW w:w="1568" w:type="dxa"/>
          </w:tcPr>
          <w:p w14:paraId="216A3458" w14:textId="13DAD14D" w:rsidR="00841EDD" w:rsidRDefault="00501B07" w:rsidP="003C3A48">
            <w:pPr>
              <w:jc w:val="center"/>
            </w:pPr>
            <w:r>
              <w:t>EP</w:t>
            </w:r>
          </w:p>
        </w:tc>
        <w:tc>
          <w:tcPr>
            <w:tcW w:w="6300" w:type="dxa"/>
          </w:tcPr>
          <w:p w14:paraId="0266D23D" w14:textId="00C34411" w:rsidR="00841EDD" w:rsidRPr="00F7167D" w:rsidRDefault="00E70076" w:rsidP="00F7167D">
            <w:pPr>
              <w:tabs>
                <w:tab w:val="clear" w:pos="720"/>
                <w:tab w:val="clear" w:pos="1296"/>
                <w:tab w:val="clear" w:pos="1872"/>
                <w:tab w:val="clear" w:pos="2448"/>
              </w:tabs>
              <w:autoSpaceDE w:val="0"/>
              <w:autoSpaceDN w:val="0"/>
              <w:adjustRightInd w:val="0"/>
              <w:spacing w:after="0" w:line="240" w:lineRule="auto"/>
              <w:rPr>
                <w:rFonts w:eastAsiaTheme="minorHAnsi" w:cstheme="minorBidi"/>
                <w:kern w:val="0"/>
              </w:rPr>
            </w:pPr>
            <w:r>
              <w:t>Това е отговорност на Правителството.</w:t>
            </w:r>
          </w:p>
        </w:tc>
      </w:tr>
      <w:tr w:rsidR="00841EDD" w14:paraId="105366DF" w14:textId="77777777" w:rsidTr="00152D60">
        <w:tc>
          <w:tcPr>
            <w:tcW w:w="801" w:type="dxa"/>
          </w:tcPr>
          <w:p w14:paraId="296FDFA4" w14:textId="1697103A" w:rsidR="00841EDD" w:rsidRDefault="00841EDD" w:rsidP="00841EDD">
            <w:r>
              <w:t>2.15.</w:t>
            </w:r>
          </w:p>
        </w:tc>
        <w:tc>
          <w:tcPr>
            <w:tcW w:w="5006" w:type="dxa"/>
          </w:tcPr>
          <w:p w14:paraId="1055E4B6" w14:textId="77777777" w:rsidR="00841EDD" w:rsidRPr="00EE4857" w:rsidRDefault="00841EDD" w:rsidP="00841EDD">
            <w:pPr>
              <w:tabs>
                <w:tab w:val="clear" w:pos="720"/>
                <w:tab w:val="clear" w:pos="1296"/>
                <w:tab w:val="clear" w:pos="1872"/>
                <w:tab w:val="clear" w:pos="2448"/>
              </w:tabs>
              <w:autoSpaceDE w:val="0"/>
              <w:autoSpaceDN w:val="0"/>
              <w:adjustRightInd w:val="0"/>
              <w:spacing w:after="0" w:line="240" w:lineRule="auto"/>
              <w:rPr>
                <w:kern w:val="0"/>
              </w:rPr>
            </w:pPr>
            <w:r>
              <w:t>Правителството създава законодателство, което, наред с другото:</w:t>
            </w:r>
          </w:p>
          <w:p w14:paraId="4411E779" w14:textId="1334E682" w:rsidR="00841EDD" w:rsidRPr="00EE4857" w:rsidRDefault="00841EDD" w:rsidP="00841EDD">
            <w:pPr>
              <w:tabs>
                <w:tab w:val="clear" w:pos="720"/>
                <w:tab w:val="clear" w:pos="1296"/>
                <w:tab w:val="clear" w:pos="1872"/>
                <w:tab w:val="clear" w:pos="2448"/>
              </w:tabs>
              <w:autoSpaceDE w:val="0"/>
              <w:autoSpaceDN w:val="0"/>
              <w:adjustRightInd w:val="0"/>
              <w:spacing w:after="0" w:line="240" w:lineRule="auto"/>
              <w:rPr>
                <w:kern w:val="0"/>
              </w:rPr>
            </w:pPr>
            <w:r>
              <w:t>(а) предоставя законовата основа за изискванията за защита и безопасност във всички ситуации на облъчване;</w:t>
            </w:r>
          </w:p>
          <w:p w14:paraId="496B40D2" w14:textId="3CF397B2" w:rsidR="00841EDD" w:rsidRPr="00EE4857" w:rsidRDefault="00841EDD" w:rsidP="00841EDD">
            <w:pPr>
              <w:tabs>
                <w:tab w:val="clear" w:pos="720"/>
                <w:tab w:val="clear" w:pos="1296"/>
                <w:tab w:val="clear" w:pos="1872"/>
                <w:tab w:val="clear" w:pos="2448"/>
              </w:tabs>
              <w:autoSpaceDE w:val="0"/>
              <w:autoSpaceDN w:val="0"/>
              <w:adjustRightInd w:val="0"/>
              <w:spacing w:after="0" w:line="240" w:lineRule="auto"/>
              <w:rPr>
                <w:kern w:val="0"/>
              </w:rPr>
            </w:pPr>
            <w:r>
              <w:t>(б) конкретно посочва, че основната отговорност за осигуряването на защита и безопасност се носи от лицето или организацията, отговорни за съоръженията и дейностите, които пораждат радиационни рискове;</w:t>
            </w:r>
          </w:p>
          <w:p w14:paraId="32A2A409" w14:textId="77777777" w:rsidR="00841EDD" w:rsidRPr="00EE4857" w:rsidRDefault="00841EDD" w:rsidP="00841EDD">
            <w:pPr>
              <w:tabs>
                <w:tab w:val="clear" w:pos="720"/>
                <w:tab w:val="clear" w:pos="1296"/>
                <w:tab w:val="clear" w:pos="1872"/>
                <w:tab w:val="clear" w:pos="2448"/>
              </w:tabs>
              <w:autoSpaceDE w:val="0"/>
              <w:autoSpaceDN w:val="0"/>
              <w:adjustRightInd w:val="0"/>
              <w:spacing w:after="0" w:line="240" w:lineRule="auto"/>
              <w:rPr>
                <w:kern w:val="0"/>
              </w:rPr>
            </w:pPr>
            <w:r>
              <w:t>(в) определя обхвата на неговата приложимост;</w:t>
            </w:r>
          </w:p>
          <w:p w14:paraId="3CB781A7" w14:textId="2176E021" w:rsidR="00841EDD" w:rsidRPr="00EE4857" w:rsidRDefault="00841EDD" w:rsidP="00841EDD">
            <w:pPr>
              <w:tabs>
                <w:tab w:val="clear" w:pos="720"/>
                <w:tab w:val="clear" w:pos="1296"/>
                <w:tab w:val="clear" w:pos="1872"/>
                <w:tab w:val="clear" w:pos="2448"/>
              </w:tabs>
              <w:autoSpaceDE w:val="0"/>
              <w:autoSpaceDN w:val="0"/>
              <w:adjustRightInd w:val="0"/>
              <w:spacing w:after="0" w:line="240" w:lineRule="auto"/>
              <w:rPr>
                <w:kern w:val="0"/>
              </w:rPr>
            </w:pPr>
            <w:r>
              <w:t>(г) създава и осигурява поддържането на независим регулаторен орган с ясно определени функции и отговорности за регулиране на</w:t>
            </w:r>
          </w:p>
          <w:p w14:paraId="66F5BEB4" w14:textId="77777777" w:rsidR="00841EDD" w:rsidRPr="00EE4857" w:rsidRDefault="00841EDD" w:rsidP="00841EDD">
            <w:pPr>
              <w:tabs>
                <w:tab w:val="clear" w:pos="720"/>
                <w:tab w:val="clear" w:pos="1296"/>
                <w:tab w:val="clear" w:pos="1872"/>
                <w:tab w:val="clear" w:pos="2448"/>
              </w:tabs>
              <w:autoSpaceDE w:val="0"/>
              <w:autoSpaceDN w:val="0"/>
              <w:adjustRightInd w:val="0"/>
              <w:spacing w:after="0" w:line="240" w:lineRule="auto"/>
              <w:rPr>
                <w:kern w:val="0"/>
              </w:rPr>
            </w:pPr>
            <w:r>
              <w:t>защитата и безопасността;</w:t>
            </w:r>
          </w:p>
          <w:p w14:paraId="43E36507" w14:textId="3DD75D0F" w:rsidR="00841EDD" w:rsidRPr="00EE4857" w:rsidRDefault="00841EDD" w:rsidP="00841EDD">
            <w:pPr>
              <w:tabs>
                <w:tab w:val="clear" w:pos="720"/>
                <w:tab w:val="clear" w:pos="1296"/>
                <w:tab w:val="clear" w:pos="1872"/>
                <w:tab w:val="clear" w:pos="2448"/>
              </w:tabs>
              <w:autoSpaceDE w:val="0"/>
              <w:autoSpaceDN w:val="0"/>
              <w:adjustRightInd w:val="0"/>
              <w:spacing w:line="240" w:lineRule="auto"/>
              <w:rPr>
                <w:rFonts w:ascii="TimesNewRomanPSMT" w:hAnsi="TimesNewRomanPSMT" w:cs="TimesNewRomanPSMT"/>
                <w:kern w:val="0"/>
                <w:sz w:val="21"/>
                <w:szCs w:val="21"/>
              </w:rPr>
            </w:pPr>
            <w:r>
              <w:t>(д) осигурява координация между органите с отговорности, свързани със защитата и безопасността, във всички ситуации на облъчване.</w:t>
            </w:r>
          </w:p>
        </w:tc>
        <w:tc>
          <w:tcPr>
            <w:tcW w:w="1568" w:type="dxa"/>
          </w:tcPr>
          <w:p w14:paraId="05A79E34" w14:textId="5D7C93D0" w:rsidR="00841EDD" w:rsidRDefault="00501B07" w:rsidP="003C3A48">
            <w:pPr>
              <w:jc w:val="center"/>
            </w:pPr>
            <w:r>
              <w:t>EP</w:t>
            </w:r>
          </w:p>
        </w:tc>
        <w:tc>
          <w:tcPr>
            <w:tcW w:w="6300" w:type="dxa"/>
          </w:tcPr>
          <w:p w14:paraId="0A6CF082" w14:textId="300FD08B" w:rsidR="00841EDD" w:rsidRPr="00F7167D" w:rsidRDefault="00E70076" w:rsidP="00F7167D">
            <w:pPr>
              <w:tabs>
                <w:tab w:val="clear" w:pos="720"/>
                <w:tab w:val="clear" w:pos="1296"/>
                <w:tab w:val="clear" w:pos="1872"/>
                <w:tab w:val="clear" w:pos="2448"/>
              </w:tabs>
              <w:autoSpaceDE w:val="0"/>
              <w:autoSpaceDN w:val="0"/>
              <w:adjustRightInd w:val="0"/>
              <w:spacing w:after="0" w:line="240" w:lineRule="auto"/>
              <w:rPr>
                <w:rFonts w:eastAsiaTheme="minorHAnsi" w:cstheme="minorBidi"/>
                <w:kern w:val="0"/>
              </w:rPr>
            </w:pPr>
            <w:r>
              <w:t>Това е отговорност на Правителството.</w:t>
            </w:r>
          </w:p>
        </w:tc>
      </w:tr>
      <w:tr w:rsidR="00841EDD" w14:paraId="0EAD1ECB" w14:textId="77777777" w:rsidTr="00152D60">
        <w:tc>
          <w:tcPr>
            <w:tcW w:w="801" w:type="dxa"/>
          </w:tcPr>
          <w:p w14:paraId="2FA4DB38" w14:textId="433EA7CC" w:rsidR="00841EDD" w:rsidRDefault="00841EDD" w:rsidP="00841EDD">
            <w:r>
              <w:lastRenderedPageBreak/>
              <w:t>2.16.</w:t>
            </w:r>
          </w:p>
        </w:tc>
        <w:tc>
          <w:tcPr>
            <w:tcW w:w="5006" w:type="dxa"/>
          </w:tcPr>
          <w:p w14:paraId="627ABEDF" w14:textId="64CE89C6" w:rsidR="00841EDD" w:rsidRPr="00EE4857" w:rsidRDefault="00841EDD" w:rsidP="00C469CC">
            <w:pPr>
              <w:tabs>
                <w:tab w:val="clear" w:pos="720"/>
                <w:tab w:val="clear" w:pos="1296"/>
                <w:tab w:val="clear" w:pos="1872"/>
                <w:tab w:val="clear" w:pos="2448"/>
              </w:tabs>
              <w:autoSpaceDE w:val="0"/>
              <w:autoSpaceDN w:val="0"/>
              <w:adjustRightInd w:val="0"/>
              <w:spacing w:line="240" w:lineRule="auto"/>
            </w:pPr>
            <w:r>
              <w:t xml:space="preserve">Правителството гарантира, че при вземането на решения, свързани със защитата и безопасността, регулаторният орган е ефективно независим от лица и организации, които използват или насърчават използването на </w:t>
            </w:r>
            <w:r w:rsidR="00B76224">
              <w:t>йонизиращи лъчения</w:t>
            </w:r>
            <w:r>
              <w:t xml:space="preserve"> и радиоактивни</w:t>
            </w:r>
            <w:r w:rsidR="00B76224">
              <w:t xml:space="preserve"> </w:t>
            </w:r>
            <w:r>
              <w:t>материали, така че да е свободен от всякакво неправомерно влияние от страна на заинтересовани страни и от всякакви конфликти на интереси; и гарантира, че е функционално отделен от организации с отговорности или интереси, които биха могли да окажат неправомерно влияние върху взетите от него решения.</w:t>
            </w:r>
          </w:p>
        </w:tc>
        <w:tc>
          <w:tcPr>
            <w:tcW w:w="1568" w:type="dxa"/>
          </w:tcPr>
          <w:p w14:paraId="19F94E73" w14:textId="620A9AC1" w:rsidR="00841EDD" w:rsidRDefault="00501B07" w:rsidP="003C3A48">
            <w:pPr>
              <w:jc w:val="center"/>
            </w:pPr>
            <w:r>
              <w:t>EP</w:t>
            </w:r>
          </w:p>
        </w:tc>
        <w:tc>
          <w:tcPr>
            <w:tcW w:w="6300" w:type="dxa"/>
          </w:tcPr>
          <w:p w14:paraId="0C4358AA" w14:textId="0CB1971C" w:rsidR="00841EDD" w:rsidRPr="00F7167D" w:rsidRDefault="00E70076" w:rsidP="00F7167D">
            <w:pPr>
              <w:tabs>
                <w:tab w:val="clear" w:pos="720"/>
                <w:tab w:val="clear" w:pos="1296"/>
                <w:tab w:val="clear" w:pos="1872"/>
                <w:tab w:val="clear" w:pos="2448"/>
              </w:tabs>
              <w:autoSpaceDE w:val="0"/>
              <w:autoSpaceDN w:val="0"/>
              <w:adjustRightInd w:val="0"/>
              <w:spacing w:after="0" w:line="240" w:lineRule="auto"/>
              <w:rPr>
                <w:rFonts w:eastAsiaTheme="minorHAnsi" w:cstheme="minorBidi"/>
                <w:kern w:val="0"/>
              </w:rPr>
            </w:pPr>
            <w:r>
              <w:t>Това е отговорност на Правителството.</w:t>
            </w:r>
          </w:p>
        </w:tc>
      </w:tr>
      <w:tr w:rsidR="00841EDD" w14:paraId="536D0399" w14:textId="77777777" w:rsidTr="00152D60">
        <w:tc>
          <w:tcPr>
            <w:tcW w:w="801" w:type="dxa"/>
          </w:tcPr>
          <w:p w14:paraId="22830B98" w14:textId="6B83AE04" w:rsidR="00841EDD" w:rsidRDefault="00841EDD" w:rsidP="00841EDD">
            <w:r>
              <w:t>2.17.</w:t>
            </w:r>
          </w:p>
        </w:tc>
        <w:tc>
          <w:tcPr>
            <w:tcW w:w="5006" w:type="dxa"/>
          </w:tcPr>
          <w:p w14:paraId="18608264" w14:textId="68138009" w:rsidR="009B225A" w:rsidRPr="009B225A" w:rsidRDefault="00841EDD" w:rsidP="00841EDD">
            <w:pPr>
              <w:rPr>
                <w:kern w:val="0"/>
              </w:rPr>
            </w:pPr>
            <w:r>
              <w:t>Правителството гарантира, че регулаторният орган разполага с необходимите правомощия, компетентност и ресурси, за да изпълнява своите законоустановени функции и отговорности.</w:t>
            </w:r>
          </w:p>
        </w:tc>
        <w:tc>
          <w:tcPr>
            <w:tcW w:w="1568" w:type="dxa"/>
          </w:tcPr>
          <w:p w14:paraId="4976E455" w14:textId="72A5B904" w:rsidR="00841EDD" w:rsidRDefault="00501B07" w:rsidP="003C3A48">
            <w:pPr>
              <w:jc w:val="center"/>
            </w:pPr>
            <w:r>
              <w:t>EP</w:t>
            </w:r>
          </w:p>
        </w:tc>
        <w:tc>
          <w:tcPr>
            <w:tcW w:w="6300" w:type="dxa"/>
          </w:tcPr>
          <w:p w14:paraId="71227EF2" w14:textId="31875714" w:rsidR="00841EDD" w:rsidRPr="00F7167D" w:rsidRDefault="00E70076" w:rsidP="00F7167D">
            <w:pPr>
              <w:tabs>
                <w:tab w:val="clear" w:pos="720"/>
                <w:tab w:val="clear" w:pos="1296"/>
                <w:tab w:val="clear" w:pos="1872"/>
                <w:tab w:val="clear" w:pos="2448"/>
              </w:tabs>
              <w:autoSpaceDE w:val="0"/>
              <w:autoSpaceDN w:val="0"/>
              <w:adjustRightInd w:val="0"/>
              <w:spacing w:after="0" w:line="240" w:lineRule="auto"/>
              <w:rPr>
                <w:rFonts w:eastAsiaTheme="minorHAnsi" w:cstheme="minorBidi"/>
                <w:kern w:val="0"/>
              </w:rPr>
            </w:pPr>
            <w:r>
              <w:t>Това е отговорност на Правителството.</w:t>
            </w:r>
          </w:p>
        </w:tc>
      </w:tr>
      <w:tr w:rsidR="00841EDD" w14:paraId="10627DCB" w14:textId="77777777" w:rsidTr="00152D60">
        <w:tc>
          <w:tcPr>
            <w:tcW w:w="801" w:type="dxa"/>
          </w:tcPr>
          <w:p w14:paraId="182FDDD3" w14:textId="152FF2D6" w:rsidR="00841EDD" w:rsidRPr="00FE7EF5" w:rsidRDefault="00841EDD" w:rsidP="00841EDD">
            <w:r>
              <w:t>2.18.</w:t>
            </w:r>
          </w:p>
        </w:tc>
        <w:tc>
          <w:tcPr>
            <w:tcW w:w="5006" w:type="dxa"/>
          </w:tcPr>
          <w:p w14:paraId="7F5DA7F0" w14:textId="6530D9FF" w:rsidR="00841EDD" w:rsidRPr="00FE7EF5" w:rsidRDefault="00841EDD" w:rsidP="00841EDD">
            <w:r>
              <w:t>Правителството гарантира, че при регулаторния контрол на радиационното облъчване се прилага диференциран подход по такъв начин, че прилагането на регулаторните изисквания да е съизмеримо с радиационните рискове, свързани със ситуацията на облъчване.</w:t>
            </w:r>
          </w:p>
        </w:tc>
        <w:tc>
          <w:tcPr>
            <w:tcW w:w="1568" w:type="dxa"/>
          </w:tcPr>
          <w:p w14:paraId="47009C8C" w14:textId="677A5F26" w:rsidR="00841EDD" w:rsidRDefault="00501B07" w:rsidP="003C3A48">
            <w:pPr>
              <w:jc w:val="center"/>
            </w:pPr>
            <w:r>
              <w:t>EP</w:t>
            </w:r>
          </w:p>
        </w:tc>
        <w:tc>
          <w:tcPr>
            <w:tcW w:w="6300" w:type="dxa"/>
          </w:tcPr>
          <w:p w14:paraId="7D827229" w14:textId="7F7BD904" w:rsidR="00841EDD" w:rsidRPr="00F7167D" w:rsidRDefault="00E70076" w:rsidP="00F7167D">
            <w:pPr>
              <w:tabs>
                <w:tab w:val="clear" w:pos="720"/>
                <w:tab w:val="clear" w:pos="1296"/>
                <w:tab w:val="clear" w:pos="1872"/>
                <w:tab w:val="clear" w:pos="2448"/>
              </w:tabs>
              <w:autoSpaceDE w:val="0"/>
              <w:autoSpaceDN w:val="0"/>
              <w:adjustRightInd w:val="0"/>
              <w:spacing w:after="0" w:line="240" w:lineRule="auto"/>
              <w:rPr>
                <w:rFonts w:eastAsiaTheme="minorHAnsi" w:cstheme="minorBidi"/>
                <w:kern w:val="0"/>
              </w:rPr>
            </w:pPr>
            <w:r>
              <w:t>Това е отговорност на Правителството.</w:t>
            </w:r>
          </w:p>
        </w:tc>
      </w:tr>
      <w:tr w:rsidR="00841EDD" w14:paraId="31686BC3" w14:textId="77777777" w:rsidTr="00152D60">
        <w:tc>
          <w:tcPr>
            <w:tcW w:w="801" w:type="dxa"/>
          </w:tcPr>
          <w:p w14:paraId="2D8081A1" w14:textId="47A4B7E7" w:rsidR="00841EDD" w:rsidRPr="00FE7EF5" w:rsidRDefault="00841EDD" w:rsidP="00841EDD">
            <w:r>
              <w:t>2.19.</w:t>
            </w:r>
          </w:p>
        </w:tc>
        <w:tc>
          <w:tcPr>
            <w:tcW w:w="5006" w:type="dxa"/>
          </w:tcPr>
          <w:p w14:paraId="35F9CFC3" w14:textId="703BC286" w:rsidR="00841EDD" w:rsidRPr="003153C6" w:rsidRDefault="00841EDD" w:rsidP="00841EDD">
            <w:pPr>
              <w:rPr>
                <w:kern w:val="0"/>
              </w:rPr>
            </w:pPr>
            <w:r>
              <w:t>Правителството създава механизми, които да гарантират, че:</w:t>
            </w:r>
            <w:r>
              <w:br/>
              <w:t xml:space="preserve">(а) дейностите на регулаторния орган се координират с дейностите на други държавни органи в съответствие с т. 2.15, както и с </w:t>
            </w:r>
            <w:r>
              <w:lastRenderedPageBreak/>
              <w:t xml:space="preserve">национални и международни организации, които имат свързани отговорности; </w:t>
            </w:r>
            <w:r>
              <w:br/>
              <w:t>б) заинтересованите страни се включват по целесъобразност в процеси на вземане на регулаторни решения или в процеси на подпомагане вземането на регулаторни решения.</w:t>
            </w:r>
          </w:p>
        </w:tc>
        <w:tc>
          <w:tcPr>
            <w:tcW w:w="1568" w:type="dxa"/>
          </w:tcPr>
          <w:p w14:paraId="4BA43040" w14:textId="7DF2C2DF" w:rsidR="00841EDD" w:rsidRDefault="00501B07" w:rsidP="003C3A48">
            <w:pPr>
              <w:jc w:val="center"/>
            </w:pPr>
            <w:r>
              <w:lastRenderedPageBreak/>
              <w:t>EP</w:t>
            </w:r>
          </w:p>
        </w:tc>
        <w:tc>
          <w:tcPr>
            <w:tcW w:w="6300" w:type="dxa"/>
          </w:tcPr>
          <w:p w14:paraId="74DBDADE" w14:textId="5F98934C" w:rsidR="00841EDD" w:rsidRPr="00F7167D" w:rsidRDefault="00E70076" w:rsidP="00F7167D">
            <w:pPr>
              <w:tabs>
                <w:tab w:val="clear" w:pos="720"/>
                <w:tab w:val="clear" w:pos="1296"/>
                <w:tab w:val="clear" w:pos="1872"/>
                <w:tab w:val="clear" w:pos="2448"/>
              </w:tabs>
              <w:autoSpaceDE w:val="0"/>
              <w:autoSpaceDN w:val="0"/>
              <w:adjustRightInd w:val="0"/>
              <w:spacing w:after="0" w:line="240" w:lineRule="auto"/>
              <w:rPr>
                <w:rFonts w:eastAsiaTheme="minorHAnsi" w:cstheme="minorBidi"/>
                <w:kern w:val="0"/>
              </w:rPr>
            </w:pPr>
            <w:r>
              <w:t>Това е отговорност на Правителството.</w:t>
            </w:r>
          </w:p>
        </w:tc>
      </w:tr>
      <w:tr w:rsidR="00841EDD" w14:paraId="200B1DEA" w14:textId="77777777" w:rsidTr="00152D60">
        <w:tc>
          <w:tcPr>
            <w:tcW w:w="801" w:type="dxa"/>
          </w:tcPr>
          <w:p w14:paraId="0DFAEE16" w14:textId="1824604A" w:rsidR="00841EDD" w:rsidRPr="00FE7EF5" w:rsidRDefault="00841EDD" w:rsidP="00841EDD">
            <w:r>
              <w:t>2.20.</w:t>
            </w:r>
          </w:p>
        </w:tc>
        <w:tc>
          <w:tcPr>
            <w:tcW w:w="5006" w:type="dxa"/>
          </w:tcPr>
          <w:p w14:paraId="6E8C7817" w14:textId="6EB8D904" w:rsidR="00841EDD" w:rsidRPr="003153C6" w:rsidRDefault="00841EDD" w:rsidP="00841EDD">
            <w:r>
              <w:t>Правителството гарантира, че на национално равнище са въведени механизми за вземане на решения, свързани със защитата и безопасността, които са извън правомощията на регулаторния орган.</w:t>
            </w:r>
          </w:p>
        </w:tc>
        <w:tc>
          <w:tcPr>
            <w:tcW w:w="1568" w:type="dxa"/>
          </w:tcPr>
          <w:p w14:paraId="1DE7E9BE" w14:textId="470A4828" w:rsidR="00841EDD" w:rsidRDefault="00501B07" w:rsidP="003C3A48">
            <w:pPr>
              <w:jc w:val="center"/>
            </w:pPr>
            <w:r>
              <w:t>EP</w:t>
            </w:r>
          </w:p>
        </w:tc>
        <w:tc>
          <w:tcPr>
            <w:tcW w:w="6300" w:type="dxa"/>
          </w:tcPr>
          <w:p w14:paraId="64FEDA57" w14:textId="6F4C1EEB" w:rsidR="00841EDD" w:rsidRPr="00F7167D" w:rsidRDefault="00E70076" w:rsidP="00F7167D">
            <w:pPr>
              <w:tabs>
                <w:tab w:val="clear" w:pos="720"/>
                <w:tab w:val="clear" w:pos="1296"/>
                <w:tab w:val="clear" w:pos="1872"/>
                <w:tab w:val="clear" w:pos="2448"/>
              </w:tabs>
              <w:autoSpaceDE w:val="0"/>
              <w:autoSpaceDN w:val="0"/>
              <w:adjustRightInd w:val="0"/>
              <w:spacing w:after="0" w:line="240" w:lineRule="auto"/>
              <w:rPr>
                <w:rFonts w:eastAsiaTheme="minorHAnsi" w:cstheme="minorBidi"/>
                <w:kern w:val="0"/>
              </w:rPr>
            </w:pPr>
            <w:r>
              <w:t>Това е отговорност на Правителството.</w:t>
            </w:r>
          </w:p>
        </w:tc>
      </w:tr>
      <w:tr w:rsidR="00841EDD" w14:paraId="25FE0FF9" w14:textId="77777777" w:rsidTr="00152D60">
        <w:tc>
          <w:tcPr>
            <w:tcW w:w="801" w:type="dxa"/>
          </w:tcPr>
          <w:p w14:paraId="65875978" w14:textId="2ABFB8E1" w:rsidR="00841EDD" w:rsidRPr="00FE7EF5" w:rsidRDefault="00841EDD" w:rsidP="00841EDD">
            <w:r>
              <w:t>2.21.</w:t>
            </w:r>
          </w:p>
        </w:tc>
        <w:tc>
          <w:tcPr>
            <w:tcW w:w="5006" w:type="dxa"/>
          </w:tcPr>
          <w:p w14:paraId="14804B08" w14:textId="0DE6B588" w:rsidR="00841EDD" w:rsidRPr="003153C6" w:rsidRDefault="00841EDD" w:rsidP="00841EDD">
            <w:r>
              <w:t xml:space="preserve">Правителството гарантира, че са установени изисквания за: </w:t>
            </w:r>
            <w:r>
              <w:br/>
              <w:t xml:space="preserve">(а) образованието, обучението, квалификацията и компетенциите в областта на защитата и безопасността на всички лица, ангажирани с дейности, свързани със защитата и безопасността; </w:t>
            </w:r>
            <w:r>
              <w:br/>
              <w:t>б) официалното признаване</w:t>
            </w:r>
            <w:r>
              <w:rPr>
                <w:vertAlign w:val="superscript"/>
              </w:rPr>
              <w:t>12</w:t>
            </w:r>
            <w:r>
              <w:t xml:space="preserve"> на квалифицирани експерти; </w:t>
            </w:r>
            <w:r>
              <w:br/>
              <w:t>в) компетенциите на организации, които имат отговорности, свързани със защитата и безопасността.</w:t>
            </w:r>
          </w:p>
        </w:tc>
        <w:tc>
          <w:tcPr>
            <w:tcW w:w="1568" w:type="dxa"/>
          </w:tcPr>
          <w:p w14:paraId="18CB1DBE" w14:textId="22B6C174" w:rsidR="00841EDD" w:rsidRPr="00FE7EF5" w:rsidRDefault="00501B07" w:rsidP="003C3A48">
            <w:pPr>
              <w:jc w:val="center"/>
            </w:pPr>
            <w:r>
              <w:t>EP</w:t>
            </w:r>
          </w:p>
        </w:tc>
        <w:tc>
          <w:tcPr>
            <w:tcW w:w="6300" w:type="dxa"/>
          </w:tcPr>
          <w:p w14:paraId="4340BF77" w14:textId="16C0CFEF" w:rsidR="00841EDD" w:rsidRPr="00F7167D" w:rsidRDefault="00E70076" w:rsidP="00F7167D">
            <w:pPr>
              <w:tabs>
                <w:tab w:val="clear" w:pos="720"/>
                <w:tab w:val="clear" w:pos="1296"/>
                <w:tab w:val="clear" w:pos="1872"/>
                <w:tab w:val="clear" w:pos="2448"/>
              </w:tabs>
              <w:autoSpaceDE w:val="0"/>
              <w:autoSpaceDN w:val="0"/>
              <w:adjustRightInd w:val="0"/>
              <w:spacing w:after="0" w:line="240" w:lineRule="auto"/>
              <w:rPr>
                <w:rFonts w:eastAsiaTheme="minorHAnsi" w:cstheme="minorBidi"/>
                <w:kern w:val="0"/>
              </w:rPr>
            </w:pPr>
            <w:r>
              <w:t>Това е отговорност на Правителството.</w:t>
            </w:r>
          </w:p>
        </w:tc>
      </w:tr>
      <w:tr w:rsidR="00841EDD" w14:paraId="06C45187" w14:textId="77777777" w:rsidTr="00152D60">
        <w:tc>
          <w:tcPr>
            <w:tcW w:w="801" w:type="dxa"/>
          </w:tcPr>
          <w:p w14:paraId="72BEE045" w14:textId="3C4F901C" w:rsidR="00841EDD" w:rsidRPr="00FE7EF5" w:rsidRDefault="00841EDD" w:rsidP="00841EDD">
            <w:r>
              <w:t>2.22.</w:t>
            </w:r>
          </w:p>
        </w:tc>
        <w:tc>
          <w:tcPr>
            <w:tcW w:w="5006" w:type="dxa"/>
          </w:tcPr>
          <w:p w14:paraId="1FAEBF10" w14:textId="68DFDEDE" w:rsidR="00841EDD" w:rsidRPr="003153C6" w:rsidRDefault="00841EDD" w:rsidP="00841EDD">
            <w:r>
              <w:t xml:space="preserve">Правителството гарантира, че са въведени мерки за предоставяне на услуги за образование и обучение, необходими за изграждане и поддържане на компетенциите на лица и </w:t>
            </w:r>
            <w:r>
              <w:lastRenderedPageBreak/>
              <w:t>организации, които имат отговорности, свързани със защитата и безопасността.</w:t>
            </w:r>
          </w:p>
        </w:tc>
        <w:tc>
          <w:tcPr>
            <w:tcW w:w="1568" w:type="dxa"/>
          </w:tcPr>
          <w:p w14:paraId="0DE4965E" w14:textId="3453A7FF" w:rsidR="00841EDD" w:rsidRPr="00FE7EF5" w:rsidRDefault="00501B07" w:rsidP="003C3A48">
            <w:pPr>
              <w:jc w:val="center"/>
            </w:pPr>
            <w:r>
              <w:lastRenderedPageBreak/>
              <w:t>EP</w:t>
            </w:r>
          </w:p>
        </w:tc>
        <w:tc>
          <w:tcPr>
            <w:tcW w:w="6300" w:type="dxa"/>
          </w:tcPr>
          <w:p w14:paraId="01787F9D" w14:textId="57A82995" w:rsidR="00841EDD" w:rsidRPr="00F7167D" w:rsidRDefault="00E70076" w:rsidP="00F7167D">
            <w:pPr>
              <w:tabs>
                <w:tab w:val="clear" w:pos="720"/>
                <w:tab w:val="clear" w:pos="1296"/>
                <w:tab w:val="clear" w:pos="1872"/>
                <w:tab w:val="clear" w:pos="2448"/>
              </w:tabs>
              <w:autoSpaceDE w:val="0"/>
              <w:autoSpaceDN w:val="0"/>
              <w:adjustRightInd w:val="0"/>
              <w:spacing w:after="0" w:line="240" w:lineRule="auto"/>
              <w:rPr>
                <w:rFonts w:eastAsiaTheme="minorHAnsi" w:cstheme="minorBidi"/>
                <w:kern w:val="0"/>
              </w:rPr>
            </w:pPr>
            <w:r>
              <w:t>Това е отговорност на Правителството.</w:t>
            </w:r>
          </w:p>
        </w:tc>
      </w:tr>
      <w:tr w:rsidR="00841EDD" w14:paraId="73EF6B6E" w14:textId="77777777" w:rsidTr="00152D60">
        <w:tc>
          <w:tcPr>
            <w:tcW w:w="801" w:type="dxa"/>
          </w:tcPr>
          <w:p w14:paraId="347867F4" w14:textId="492F62EC" w:rsidR="00841EDD" w:rsidRPr="00FE7EF5" w:rsidRDefault="00841EDD" w:rsidP="00841EDD">
            <w:r>
              <w:t>2.23.</w:t>
            </w:r>
          </w:p>
        </w:tc>
        <w:tc>
          <w:tcPr>
            <w:tcW w:w="5006" w:type="dxa"/>
          </w:tcPr>
          <w:p w14:paraId="0A38C009" w14:textId="77715C1B" w:rsidR="00841EDD" w:rsidRPr="003153C6" w:rsidRDefault="00841EDD" w:rsidP="00841EDD">
            <w:r>
              <w:t>Правителството гарантира, че са налице мерки за предоставяне на технически услуги, свързани със защитата и безопасността, като например услуги за индивидуален дозиметричен контрол, мониторинг на околната среда и калибриране на контролно-измервателно оборудване.</w:t>
            </w:r>
          </w:p>
        </w:tc>
        <w:tc>
          <w:tcPr>
            <w:tcW w:w="1568" w:type="dxa"/>
          </w:tcPr>
          <w:p w14:paraId="3E2BCE65" w14:textId="400A0C5F" w:rsidR="00841EDD" w:rsidRPr="00FE7EF5" w:rsidRDefault="00501B07" w:rsidP="003C3A48">
            <w:pPr>
              <w:jc w:val="center"/>
            </w:pPr>
            <w:r>
              <w:t>EP</w:t>
            </w:r>
          </w:p>
        </w:tc>
        <w:tc>
          <w:tcPr>
            <w:tcW w:w="6300" w:type="dxa"/>
          </w:tcPr>
          <w:p w14:paraId="3199CA37" w14:textId="40C37C74" w:rsidR="00841EDD" w:rsidRPr="00F7167D" w:rsidRDefault="00E70076" w:rsidP="00F7167D">
            <w:pPr>
              <w:tabs>
                <w:tab w:val="clear" w:pos="720"/>
                <w:tab w:val="clear" w:pos="1296"/>
                <w:tab w:val="clear" w:pos="1872"/>
                <w:tab w:val="clear" w:pos="2448"/>
              </w:tabs>
              <w:autoSpaceDE w:val="0"/>
              <w:autoSpaceDN w:val="0"/>
              <w:adjustRightInd w:val="0"/>
              <w:spacing w:after="0" w:line="240" w:lineRule="auto"/>
              <w:rPr>
                <w:rFonts w:eastAsiaTheme="minorHAnsi" w:cstheme="minorBidi"/>
                <w:kern w:val="0"/>
              </w:rPr>
            </w:pPr>
            <w:r>
              <w:t>Това е отговорност на Правителството.</w:t>
            </w:r>
          </w:p>
        </w:tc>
      </w:tr>
      <w:tr w:rsidR="00841EDD" w14:paraId="682E269A" w14:textId="77777777" w:rsidTr="00152D60">
        <w:tc>
          <w:tcPr>
            <w:tcW w:w="801" w:type="dxa"/>
          </w:tcPr>
          <w:p w14:paraId="42F957CB" w14:textId="586830A9" w:rsidR="00841EDD" w:rsidRPr="00FE7EF5" w:rsidRDefault="00841EDD" w:rsidP="00841EDD">
            <w:r>
              <w:t>2.24.</w:t>
            </w:r>
          </w:p>
        </w:tc>
        <w:tc>
          <w:tcPr>
            <w:tcW w:w="5006" w:type="dxa"/>
          </w:tcPr>
          <w:p w14:paraId="72A9D1E5" w14:textId="7E0AB173" w:rsidR="00841EDD" w:rsidRPr="003153C6" w:rsidRDefault="00841EDD" w:rsidP="00841EDD">
            <w:r>
              <w:t>Правителството гарантира, че са налице мерки за безопасно извеждане от експлоатация на съоръжения [16], безопасно управление на радиоактивни отпадъци [17, 18] и безопасно управление на отработено гориво.</w:t>
            </w:r>
          </w:p>
        </w:tc>
        <w:tc>
          <w:tcPr>
            <w:tcW w:w="1568" w:type="dxa"/>
          </w:tcPr>
          <w:p w14:paraId="77E64582" w14:textId="22745061" w:rsidR="00841EDD" w:rsidRPr="00FE7EF5" w:rsidRDefault="00501B07" w:rsidP="003C3A48">
            <w:pPr>
              <w:jc w:val="center"/>
            </w:pPr>
            <w:r>
              <w:t>EP</w:t>
            </w:r>
          </w:p>
        </w:tc>
        <w:tc>
          <w:tcPr>
            <w:tcW w:w="6300" w:type="dxa"/>
          </w:tcPr>
          <w:p w14:paraId="4D2D478B" w14:textId="641BE5E9" w:rsidR="00E564B5" w:rsidRDefault="00E70076" w:rsidP="007B146C">
            <w:pPr>
              <w:tabs>
                <w:tab w:val="clear" w:pos="720"/>
                <w:tab w:val="clear" w:pos="1296"/>
                <w:tab w:val="clear" w:pos="1872"/>
                <w:tab w:val="clear" w:pos="2448"/>
              </w:tabs>
              <w:autoSpaceDE w:val="0"/>
              <w:autoSpaceDN w:val="0"/>
              <w:adjustRightInd w:val="0"/>
              <w:spacing w:line="240" w:lineRule="auto"/>
              <w:rPr>
                <w:rFonts w:eastAsiaTheme="minorHAnsi" w:cstheme="minorBidi"/>
                <w:kern w:val="0"/>
              </w:rPr>
            </w:pPr>
            <w:r>
              <w:t>Това е отговорност на Правителството.</w:t>
            </w:r>
          </w:p>
          <w:p w14:paraId="58058E3A" w14:textId="7616C66A" w:rsidR="00286785" w:rsidRPr="00F7167D" w:rsidRDefault="00286785" w:rsidP="007B146C">
            <w:pPr>
              <w:tabs>
                <w:tab w:val="clear" w:pos="720"/>
                <w:tab w:val="clear" w:pos="1296"/>
                <w:tab w:val="clear" w:pos="1872"/>
                <w:tab w:val="clear" w:pos="2448"/>
              </w:tabs>
              <w:autoSpaceDE w:val="0"/>
              <w:autoSpaceDN w:val="0"/>
              <w:adjustRightInd w:val="0"/>
              <w:spacing w:after="220" w:line="240" w:lineRule="auto"/>
              <w:rPr>
                <w:rFonts w:eastAsiaTheme="minorHAnsi" w:cstheme="minorBidi"/>
                <w:kern w:val="0"/>
              </w:rPr>
            </w:pPr>
            <w:r>
              <w:rPr>
                <w:shd w:val="clear" w:color="auto" w:fill="FFFFFF"/>
              </w:rPr>
              <w:t>В Глава 11 на ДКП са описани стандартните системи за управление на отпадъците в централата AP1000, съображенията за проектиране на централата с цел минимизиране на генерирането на експлоатационни радиоактивни отпадъци, оценките на генерирането на експлоатационни радиоактивни отпадъци и свързаните с тях дейности, както и стратегиите за управление на високоактивни радиоактивни отпадъци. Освен това си струва да се отбележи, че минимизирането на отпадъците е неразделна част от управлението на отпадъците в централата AP1000. Основните принципи за проектиране на централата AP1000 минимизират генерирането на радиоактивни отпадъци по време на експлоатация и извеждане от експлоатация. Също така, компанията У</w:t>
            </w:r>
            <w:r>
              <w:rPr>
                <w:rFonts w:ascii="Calibri" w:hAnsi="Calibri"/>
              </w:rPr>
              <w:t>естингхаус е в процес на установяване на процедура за извеждане от експлоатация, което не е изискване за централа в САЩ, но е изискване в Европа.</w:t>
            </w:r>
          </w:p>
        </w:tc>
      </w:tr>
      <w:tr w:rsidR="00841EDD" w14:paraId="35F565AD" w14:textId="77777777" w:rsidTr="00152D60">
        <w:tc>
          <w:tcPr>
            <w:tcW w:w="801" w:type="dxa"/>
          </w:tcPr>
          <w:p w14:paraId="4D8BD27D" w14:textId="29C93382" w:rsidR="00841EDD" w:rsidRPr="00FE7EF5" w:rsidRDefault="00841EDD" w:rsidP="00841EDD">
            <w:r>
              <w:t>2.25.</w:t>
            </w:r>
          </w:p>
        </w:tc>
        <w:tc>
          <w:tcPr>
            <w:tcW w:w="5006" w:type="dxa"/>
          </w:tcPr>
          <w:p w14:paraId="0816D882" w14:textId="53DF5640" w:rsidR="00841EDD" w:rsidRPr="003153C6" w:rsidRDefault="00841EDD" w:rsidP="007B146C">
            <w:pPr>
              <w:spacing w:after="220"/>
            </w:pPr>
            <w:r>
              <w:t xml:space="preserve">Правителството гарантира, че транспортирането на радиоактивни материали е в съответствие с Правилата на МААЕ за безопасно транспортиране </w:t>
            </w:r>
            <w:r>
              <w:lastRenderedPageBreak/>
              <w:t>на радиоактивни материали (Правила за транспортиране на МААЕ) [19] и с всички приложими международни конвенции с отчитане на други международно одобрени стандарти и препоръки, произтичащи от Правилата за транспортиране на МААЕ</w:t>
            </w:r>
            <w:r>
              <w:rPr>
                <w:vertAlign w:val="superscript"/>
              </w:rPr>
              <w:t>13</w:t>
            </w:r>
            <w:r>
              <w:t>.</w:t>
            </w:r>
          </w:p>
        </w:tc>
        <w:tc>
          <w:tcPr>
            <w:tcW w:w="1568" w:type="dxa"/>
          </w:tcPr>
          <w:p w14:paraId="6F7CB78F" w14:textId="5AF661A7" w:rsidR="00841EDD" w:rsidRPr="00FE7EF5" w:rsidRDefault="00501B07" w:rsidP="003C3A48">
            <w:pPr>
              <w:jc w:val="center"/>
            </w:pPr>
            <w:r>
              <w:lastRenderedPageBreak/>
              <w:t>EP</w:t>
            </w:r>
          </w:p>
        </w:tc>
        <w:tc>
          <w:tcPr>
            <w:tcW w:w="6300" w:type="dxa"/>
          </w:tcPr>
          <w:p w14:paraId="1E9ADBF7" w14:textId="1E0D1A52" w:rsidR="00841EDD" w:rsidRPr="00F7167D" w:rsidRDefault="00E70076" w:rsidP="00F7167D">
            <w:pPr>
              <w:tabs>
                <w:tab w:val="clear" w:pos="720"/>
                <w:tab w:val="clear" w:pos="1296"/>
                <w:tab w:val="clear" w:pos="1872"/>
                <w:tab w:val="clear" w:pos="2448"/>
              </w:tabs>
              <w:autoSpaceDE w:val="0"/>
              <w:autoSpaceDN w:val="0"/>
              <w:adjustRightInd w:val="0"/>
              <w:spacing w:after="0" w:line="240" w:lineRule="auto"/>
              <w:rPr>
                <w:rFonts w:eastAsiaTheme="minorEastAsia" w:cstheme="minorBidi"/>
                <w:kern w:val="0"/>
              </w:rPr>
            </w:pPr>
            <w:r>
              <w:t>Това е отговорност на Правителството.</w:t>
            </w:r>
          </w:p>
        </w:tc>
      </w:tr>
      <w:tr w:rsidR="00841EDD" w14:paraId="65C8A4C6" w14:textId="77777777" w:rsidTr="00152D60">
        <w:tc>
          <w:tcPr>
            <w:tcW w:w="801" w:type="dxa"/>
          </w:tcPr>
          <w:p w14:paraId="224A7A9C" w14:textId="1A5DFD11" w:rsidR="00841EDD" w:rsidRPr="00FE7EF5" w:rsidRDefault="00841EDD" w:rsidP="00841EDD">
            <w:r>
              <w:t>2.26.</w:t>
            </w:r>
          </w:p>
        </w:tc>
        <w:tc>
          <w:tcPr>
            <w:tcW w:w="5006" w:type="dxa"/>
          </w:tcPr>
          <w:p w14:paraId="1E4E8791" w14:textId="1910874B" w:rsidR="00841EDD" w:rsidRPr="00FE7EF5" w:rsidRDefault="00841EDD" w:rsidP="007B146C">
            <w:pPr>
              <w:spacing w:after="220"/>
            </w:pPr>
            <w:r>
              <w:t>Правителството гарантира, че са налице мерки за възстановяване на контрола върху радиоактивни източници, които са били изоставени, изгубени, погрешно поставени, откраднати или прехвърлени по друг начин без официално разрешение.</w:t>
            </w:r>
          </w:p>
        </w:tc>
        <w:tc>
          <w:tcPr>
            <w:tcW w:w="1568" w:type="dxa"/>
          </w:tcPr>
          <w:p w14:paraId="45B397CC" w14:textId="143DEE2B" w:rsidR="00841EDD" w:rsidRPr="00FE7EF5" w:rsidRDefault="00501B07" w:rsidP="003C3A48">
            <w:pPr>
              <w:jc w:val="center"/>
            </w:pPr>
            <w:r>
              <w:t>EP</w:t>
            </w:r>
          </w:p>
        </w:tc>
        <w:tc>
          <w:tcPr>
            <w:tcW w:w="6300" w:type="dxa"/>
          </w:tcPr>
          <w:p w14:paraId="15D349F3" w14:textId="03C4E638" w:rsidR="00841EDD" w:rsidRPr="00F7167D" w:rsidRDefault="00E70076" w:rsidP="00F7167D">
            <w:pPr>
              <w:tabs>
                <w:tab w:val="clear" w:pos="720"/>
                <w:tab w:val="clear" w:pos="1296"/>
                <w:tab w:val="clear" w:pos="1872"/>
                <w:tab w:val="clear" w:pos="2448"/>
              </w:tabs>
              <w:autoSpaceDE w:val="0"/>
              <w:autoSpaceDN w:val="0"/>
              <w:adjustRightInd w:val="0"/>
              <w:spacing w:after="0" w:line="240" w:lineRule="auto"/>
              <w:rPr>
                <w:rFonts w:eastAsiaTheme="minorHAnsi" w:cstheme="minorBidi"/>
                <w:kern w:val="0"/>
              </w:rPr>
            </w:pPr>
            <w:r>
              <w:t>Това е отговорност на Правителството.</w:t>
            </w:r>
          </w:p>
        </w:tc>
      </w:tr>
      <w:tr w:rsidR="00841EDD" w14:paraId="32976C28" w14:textId="77777777" w:rsidTr="00152D60">
        <w:tc>
          <w:tcPr>
            <w:tcW w:w="801" w:type="dxa"/>
          </w:tcPr>
          <w:p w14:paraId="5D66344B" w14:textId="26996172" w:rsidR="00841EDD" w:rsidRDefault="00841EDD" w:rsidP="00841EDD">
            <w:r>
              <w:t>2.27.</w:t>
            </w:r>
          </w:p>
        </w:tc>
        <w:tc>
          <w:tcPr>
            <w:tcW w:w="5006" w:type="dxa"/>
          </w:tcPr>
          <w:p w14:paraId="34F0FE75" w14:textId="1A50C331" w:rsidR="00841EDD" w:rsidRPr="00453CBA" w:rsidRDefault="00841EDD" w:rsidP="007B146C">
            <w:pPr>
              <w:spacing w:after="40"/>
            </w:pPr>
            <w:r>
              <w:t>Правителството осигурява наличие на инфраструктурни мерки за взаимодействие между безопасността и сигурността на радиоактивните източници.</w:t>
            </w:r>
          </w:p>
        </w:tc>
        <w:tc>
          <w:tcPr>
            <w:tcW w:w="1568" w:type="dxa"/>
          </w:tcPr>
          <w:p w14:paraId="1C5EA6D9" w14:textId="5EB6E6EA" w:rsidR="00841EDD" w:rsidRDefault="00501B07" w:rsidP="003C3A48">
            <w:pPr>
              <w:jc w:val="center"/>
            </w:pPr>
            <w:r>
              <w:t>EP</w:t>
            </w:r>
          </w:p>
        </w:tc>
        <w:tc>
          <w:tcPr>
            <w:tcW w:w="6300" w:type="dxa"/>
          </w:tcPr>
          <w:p w14:paraId="76338C39" w14:textId="7DF459FF" w:rsidR="00841EDD" w:rsidRPr="00F7167D" w:rsidRDefault="00E70076" w:rsidP="00F7167D">
            <w:pPr>
              <w:tabs>
                <w:tab w:val="clear" w:pos="720"/>
                <w:tab w:val="clear" w:pos="1296"/>
                <w:tab w:val="clear" w:pos="1872"/>
                <w:tab w:val="clear" w:pos="2448"/>
              </w:tabs>
              <w:autoSpaceDE w:val="0"/>
              <w:autoSpaceDN w:val="0"/>
              <w:adjustRightInd w:val="0"/>
              <w:spacing w:after="0" w:line="240" w:lineRule="auto"/>
              <w:rPr>
                <w:rFonts w:eastAsiaTheme="minorHAnsi" w:cstheme="minorBidi"/>
                <w:kern w:val="0"/>
              </w:rPr>
            </w:pPr>
            <w:r>
              <w:t>Това е отговорност на Правителството.</w:t>
            </w:r>
          </w:p>
        </w:tc>
      </w:tr>
      <w:tr w:rsidR="00841EDD" w14:paraId="602645B2" w14:textId="77777777" w:rsidTr="00152D60">
        <w:tc>
          <w:tcPr>
            <w:tcW w:w="801" w:type="dxa"/>
          </w:tcPr>
          <w:p w14:paraId="5DAD3D56" w14:textId="1F32C988" w:rsidR="00841EDD" w:rsidRDefault="00841EDD" w:rsidP="00841EDD">
            <w:r>
              <w:t>2.28.</w:t>
            </w:r>
          </w:p>
        </w:tc>
        <w:tc>
          <w:tcPr>
            <w:tcW w:w="5006" w:type="dxa"/>
          </w:tcPr>
          <w:p w14:paraId="5A16F344" w14:textId="4DCB4068" w:rsidR="00841EDD" w:rsidRPr="00453CBA" w:rsidRDefault="00841EDD" w:rsidP="00841EDD">
            <w:pPr>
              <w:tabs>
                <w:tab w:val="clear" w:pos="720"/>
                <w:tab w:val="clear" w:pos="1296"/>
                <w:tab w:val="clear" w:pos="1872"/>
                <w:tab w:val="clear" w:pos="2448"/>
              </w:tabs>
              <w:autoSpaceDE w:val="0"/>
              <w:autoSpaceDN w:val="0"/>
              <w:adjustRightInd w:val="0"/>
              <w:spacing w:line="240" w:lineRule="auto"/>
              <w:rPr>
                <w:kern w:val="0"/>
              </w:rPr>
            </w:pPr>
            <w:r>
              <w:t xml:space="preserve">При създаването на правната и регулаторната рамка за защита и безопасност, правителството: </w:t>
            </w:r>
            <w:r>
              <w:br/>
              <w:t xml:space="preserve">(а) изпълнява съответните си международни задължения; </w:t>
            </w:r>
            <w:r>
              <w:br/>
              <w:t xml:space="preserve">б) дава възможност за участие в съответни международни договорености, включително международни партньорски проверки; </w:t>
            </w:r>
            <w:r>
              <w:br/>
              <w:t>в) насърчава международното сътрудничество за повишаване на безопасността в глобален мащаб.</w:t>
            </w:r>
          </w:p>
        </w:tc>
        <w:tc>
          <w:tcPr>
            <w:tcW w:w="1568" w:type="dxa"/>
          </w:tcPr>
          <w:p w14:paraId="3D7F6E8A" w14:textId="5D3789E9" w:rsidR="00841EDD" w:rsidRDefault="00501B07" w:rsidP="003C3A48">
            <w:pPr>
              <w:jc w:val="center"/>
            </w:pPr>
            <w:r>
              <w:t>EP</w:t>
            </w:r>
          </w:p>
        </w:tc>
        <w:tc>
          <w:tcPr>
            <w:tcW w:w="6300" w:type="dxa"/>
          </w:tcPr>
          <w:p w14:paraId="5CC0811E" w14:textId="4707581D" w:rsidR="00841EDD" w:rsidRPr="00F7167D" w:rsidRDefault="00E70076" w:rsidP="00F7167D">
            <w:pPr>
              <w:tabs>
                <w:tab w:val="clear" w:pos="720"/>
                <w:tab w:val="clear" w:pos="1296"/>
                <w:tab w:val="clear" w:pos="1872"/>
                <w:tab w:val="clear" w:pos="2448"/>
              </w:tabs>
              <w:autoSpaceDE w:val="0"/>
              <w:autoSpaceDN w:val="0"/>
              <w:adjustRightInd w:val="0"/>
              <w:spacing w:after="0" w:line="240" w:lineRule="auto"/>
              <w:rPr>
                <w:rFonts w:eastAsiaTheme="minorHAnsi" w:cstheme="minorBidi"/>
                <w:kern w:val="0"/>
              </w:rPr>
            </w:pPr>
            <w:r>
              <w:t>Това е отговорност на Правителството.</w:t>
            </w:r>
          </w:p>
        </w:tc>
      </w:tr>
    </w:tbl>
    <w:p w14:paraId="2C49B418" w14:textId="3CC062F7" w:rsidR="0010545D" w:rsidRPr="007D3878" w:rsidRDefault="007D3878" w:rsidP="00BC4328">
      <w:pPr>
        <w:spacing w:before="240" w:after="0"/>
        <w:rPr>
          <w:b/>
          <w:bCs/>
          <w:caps/>
        </w:rPr>
      </w:pPr>
      <w:r>
        <w:rPr>
          <w:b/>
          <w:caps/>
        </w:rPr>
        <w:tab/>
      </w:r>
      <w:r>
        <w:rPr>
          <w:b/>
          <w:caps/>
          <w:sz w:val="24"/>
        </w:rPr>
        <w:t>Отговорности на регулаторния орган</w:t>
      </w:r>
    </w:p>
    <w:p w14:paraId="3993CE08" w14:textId="0A13950C" w:rsidR="004F3E4A" w:rsidRPr="001967FE" w:rsidRDefault="00453CBA" w:rsidP="007D3878">
      <w:pPr>
        <w:pStyle w:val="Heading3"/>
        <w:rPr>
          <w:caps/>
        </w:rPr>
      </w:pPr>
      <w:bookmarkStart w:id="30" w:name="_Toc155347779"/>
      <w:r>
        <w:lastRenderedPageBreak/>
        <w:t>Изискване 3: Отговорности на регулаторния орган</w:t>
      </w:r>
      <w:bookmarkEnd w:id="30"/>
    </w:p>
    <w:tbl>
      <w:tblPr>
        <w:tblStyle w:val="TableGrid"/>
        <w:tblW w:w="13675" w:type="dxa"/>
        <w:tblLayout w:type="fixed"/>
        <w:tblLook w:val="04A0" w:firstRow="1" w:lastRow="0" w:firstColumn="1" w:lastColumn="0" w:noHBand="0" w:noVBand="1"/>
      </w:tblPr>
      <w:tblGrid>
        <w:gridCol w:w="801"/>
        <w:gridCol w:w="5006"/>
        <w:gridCol w:w="1568"/>
        <w:gridCol w:w="6300"/>
      </w:tblGrid>
      <w:tr w:rsidR="0009352B" w:rsidRPr="00F172DF" w14:paraId="3FE6139B" w14:textId="77777777" w:rsidTr="00D32BFE">
        <w:trPr>
          <w:tblHeader/>
        </w:trPr>
        <w:tc>
          <w:tcPr>
            <w:tcW w:w="801" w:type="dxa"/>
          </w:tcPr>
          <w:p w14:paraId="6C215F48" w14:textId="77777777" w:rsidR="0009352B" w:rsidRPr="00F172DF" w:rsidRDefault="0009352B" w:rsidP="00B723E1">
            <w:pPr>
              <w:rPr>
                <w:b/>
                <w:bCs/>
              </w:rPr>
            </w:pPr>
          </w:p>
        </w:tc>
        <w:tc>
          <w:tcPr>
            <w:tcW w:w="5006" w:type="dxa"/>
          </w:tcPr>
          <w:p w14:paraId="575145B7" w14:textId="77777777" w:rsidR="0009352B" w:rsidRPr="00F172DF" w:rsidRDefault="0009352B" w:rsidP="00B723E1">
            <w:pPr>
              <w:rPr>
                <w:b/>
                <w:bCs/>
              </w:rPr>
            </w:pPr>
            <w:r>
              <w:rPr>
                <w:b/>
              </w:rPr>
              <w:t>Описание</w:t>
            </w:r>
          </w:p>
        </w:tc>
        <w:tc>
          <w:tcPr>
            <w:tcW w:w="1568" w:type="dxa"/>
          </w:tcPr>
          <w:p w14:paraId="63EC615C" w14:textId="77777777" w:rsidR="0009352B" w:rsidRPr="00F172DF" w:rsidRDefault="0009352B" w:rsidP="00B723E1">
            <w:pPr>
              <w:rPr>
                <w:b/>
                <w:bCs/>
              </w:rPr>
            </w:pPr>
            <w:r>
              <w:rPr>
                <w:b/>
              </w:rPr>
              <w:t>Съответствие</w:t>
            </w:r>
          </w:p>
        </w:tc>
        <w:tc>
          <w:tcPr>
            <w:tcW w:w="6300" w:type="dxa"/>
          </w:tcPr>
          <w:p w14:paraId="7E5FE521" w14:textId="77777777" w:rsidR="0009352B" w:rsidRPr="00F172DF" w:rsidRDefault="0009352B" w:rsidP="00B723E1">
            <w:pPr>
              <w:rPr>
                <w:b/>
                <w:bCs/>
              </w:rPr>
            </w:pPr>
            <w:r>
              <w:rPr>
                <w:b/>
              </w:rPr>
              <w:t>Обосновка</w:t>
            </w:r>
          </w:p>
        </w:tc>
      </w:tr>
      <w:tr w:rsidR="001967FE" w14:paraId="6B3CD47E" w14:textId="77777777" w:rsidTr="00D32BFE">
        <w:tc>
          <w:tcPr>
            <w:tcW w:w="801" w:type="dxa"/>
          </w:tcPr>
          <w:p w14:paraId="4FA05024" w14:textId="77777777" w:rsidR="001967FE" w:rsidRDefault="001967FE" w:rsidP="00B723E1"/>
        </w:tc>
        <w:tc>
          <w:tcPr>
            <w:tcW w:w="5006" w:type="dxa"/>
          </w:tcPr>
          <w:p w14:paraId="542F5729" w14:textId="17B0D425" w:rsidR="001967FE" w:rsidRPr="00733F72" w:rsidRDefault="001967FE" w:rsidP="006815D0">
            <w:pPr>
              <w:tabs>
                <w:tab w:val="clear" w:pos="720"/>
                <w:tab w:val="clear" w:pos="1296"/>
                <w:tab w:val="clear" w:pos="1872"/>
                <w:tab w:val="clear" w:pos="2448"/>
              </w:tabs>
              <w:autoSpaceDE w:val="0"/>
              <w:autoSpaceDN w:val="0"/>
              <w:adjustRightInd w:val="0"/>
              <w:spacing w:line="240" w:lineRule="auto"/>
              <w:rPr>
                <w:kern w:val="0"/>
              </w:rPr>
            </w:pPr>
            <w:r>
              <w:rPr>
                <w:b/>
              </w:rPr>
              <w:t>Регулаторният орган установява или приема правила и ръководства за защита и безопасност и създава система за осигуряване на тяхното прилагане.</w:t>
            </w:r>
          </w:p>
        </w:tc>
        <w:tc>
          <w:tcPr>
            <w:tcW w:w="1568" w:type="dxa"/>
          </w:tcPr>
          <w:p w14:paraId="372F90D1" w14:textId="0BD50E2A" w:rsidR="001967FE" w:rsidRDefault="00501B07" w:rsidP="003C3A48">
            <w:pPr>
              <w:jc w:val="center"/>
            </w:pPr>
            <w:r>
              <w:t>EP</w:t>
            </w:r>
          </w:p>
        </w:tc>
        <w:tc>
          <w:tcPr>
            <w:tcW w:w="6300" w:type="dxa"/>
          </w:tcPr>
          <w:p w14:paraId="36D3825C" w14:textId="73B8D57E" w:rsidR="00905236" w:rsidRPr="00BC1694" w:rsidRDefault="00E70076" w:rsidP="00B723E1">
            <w:pPr>
              <w:rPr>
                <w:rFonts w:eastAsiaTheme="minorHAnsi" w:cstheme="minorBidi"/>
                <w:b/>
                <w:bCs/>
                <w:kern w:val="0"/>
              </w:rPr>
            </w:pPr>
            <w:r>
              <w:t>Това е отговорност на Регулаторния орган.</w:t>
            </w:r>
          </w:p>
        </w:tc>
      </w:tr>
      <w:tr w:rsidR="0009352B" w14:paraId="7653F23E" w14:textId="77777777" w:rsidTr="00D32BFE">
        <w:tc>
          <w:tcPr>
            <w:tcW w:w="801" w:type="dxa"/>
          </w:tcPr>
          <w:p w14:paraId="6ED2736B" w14:textId="4069AB6B" w:rsidR="0009352B" w:rsidRDefault="00453CBA" w:rsidP="00B723E1">
            <w:r>
              <w:t>2.29.</w:t>
            </w:r>
          </w:p>
        </w:tc>
        <w:tc>
          <w:tcPr>
            <w:tcW w:w="5006" w:type="dxa"/>
          </w:tcPr>
          <w:p w14:paraId="1AA2D3E6" w14:textId="2C38004C" w:rsidR="002F6D9C" w:rsidRPr="002F6D9C" w:rsidRDefault="00453CBA" w:rsidP="002F6D9C">
            <w:pPr>
              <w:tabs>
                <w:tab w:val="clear" w:pos="720"/>
                <w:tab w:val="clear" w:pos="1296"/>
                <w:tab w:val="clear" w:pos="1872"/>
                <w:tab w:val="clear" w:pos="2448"/>
              </w:tabs>
              <w:autoSpaceDE w:val="0"/>
              <w:autoSpaceDN w:val="0"/>
              <w:adjustRightInd w:val="0"/>
              <w:spacing w:line="240" w:lineRule="auto"/>
              <w:rPr>
                <w:kern w:val="0"/>
              </w:rPr>
            </w:pPr>
            <w:r>
              <w:t>Регулаторният орган установява изисквания за прилагане на принципите на радиационна защита, посочени в т. 2.8-2.12, за всички ситуации на облъчване и установява или приема правила и ръководства за защита и безопасност.</w:t>
            </w:r>
          </w:p>
        </w:tc>
        <w:tc>
          <w:tcPr>
            <w:tcW w:w="1568" w:type="dxa"/>
          </w:tcPr>
          <w:p w14:paraId="73A7D420" w14:textId="59381732" w:rsidR="0009352B" w:rsidRDefault="00501B07" w:rsidP="003C3A48">
            <w:pPr>
              <w:jc w:val="center"/>
            </w:pPr>
            <w:r>
              <w:t>EP</w:t>
            </w:r>
          </w:p>
        </w:tc>
        <w:tc>
          <w:tcPr>
            <w:tcW w:w="6300" w:type="dxa"/>
          </w:tcPr>
          <w:p w14:paraId="0881CAF6" w14:textId="69F28C27" w:rsidR="00453CBA" w:rsidRPr="00BC1694" w:rsidRDefault="00E70076" w:rsidP="00B723E1">
            <w:pPr>
              <w:rPr>
                <w:rFonts w:eastAsiaTheme="minorHAnsi" w:cstheme="minorBidi"/>
                <w:b/>
                <w:bCs/>
                <w:kern w:val="0"/>
              </w:rPr>
            </w:pPr>
            <w:r>
              <w:t>Това е отговорност на Регулаторния орган.</w:t>
            </w:r>
          </w:p>
        </w:tc>
      </w:tr>
      <w:tr w:rsidR="0009352B" w14:paraId="39A0F021" w14:textId="77777777" w:rsidTr="00D32BFE">
        <w:tc>
          <w:tcPr>
            <w:tcW w:w="801" w:type="dxa"/>
          </w:tcPr>
          <w:p w14:paraId="0D811B2E" w14:textId="55448330" w:rsidR="0009352B" w:rsidRDefault="00453CBA" w:rsidP="00B723E1">
            <w:r>
              <w:t>2.30.</w:t>
            </w:r>
          </w:p>
        </w:tc>
        <w:tc>
          <w:tcPr>
            <w:tcW w:w="5006" w:type="dxa"/>
          </w:tcPr>
          <w:p w14:paraId="4A390013" w14:textId="5F947700" w:rsidR="00453CBA" w:rsidRPr="003153C6" w:rsidRDefault="00453CBA" w:rsidP="00453CBA">
            <w:pPr>
              <w:tabs>
                <w:tab w:val="clear" w:pos="720"/>
                <w:tab w:val="clear" w:pos="1296"/>
                <w:tab w:val="clear" w:pos="1872"/>
                <w:tab w:val="clear" w:pos="2448"/>
              </w:tabs>
              <w:autoSpaceDE w:val="0"/>
              <w:autoSpaceDN w:val="0"/>
              <w:adjustRightInd w:val="0"/>
              <w:spacing w:after="0" w:line="240" w:lineRule="auto"/>
              <w:rPr>
                <w:kern w:val="0"/>
              </w:rPr>
            </w:pPr>
            <w:r>
              <w:t>Регулаторният орган създава регулаторна система за защита и безопасност, която включва [15]:</w:t>
            </w:r>
          </w:p>
          <w:p w14:paraId="07C4AF60" w14:textId="77777777" w:rsidR="00453CBA" w:rsidRPr="003153C6" w:rsidRDefault="00453CBA" w:rsidP="00453CBA">
            <w:pPr>
              <w:tabs>
                <w:tab w:val="clear" w:pos="720"/>
                <w:tab w:val="clear" w:pos="1296"/>
                <w:tab w:val="clear" w:pos="1872"/>
                <w:tab w:val="clear" w:pos="2448"/>
              </w:tabs>
              <w:autoSpaceDE w:val="0"/>
              <w:autoSpaceDN w:val="0"/>
              <w:adjustRightInd w:val="0"/>
              <w:spacing w:after="0" w:line="240" w:lineRule="auto"/>
              <w:rPr>
                <w:kern w:val="0"/>
              </w:rPr>
            </w:pPr>
            <w:r>
              <w:t>(а) уведомление и официално разрешение;</w:t>
            </w:r>
          </w:p>
          <w:p w14:paraId="1F889A84" w14:textId="77777777" w:rsidR="00453CBA" w:rsidRPr="003153C6" w:rsidRDefault="00453CBA" w:rsidP="00453CBA">
            <w:pPr>
              <w:tabs>
                <w:tab w:val="clear" w:pos="720"/>
                <w:tab w:val="clear" w:pos="1296"/>
                <w:tab w:val="clear" w:pos="1872"/>
                <w:tab w:val="clear" w:pos="2448"/>
              </w:tabs>
              <w:autoSpaceDE w:val="0"/>
              <w:autoSpaceDN w:val="0"/>
              <w:adjustRightInd w:val="0"/>
              <w:spacing w:after="0" w:line="240" w:lineRule="auto"/>
              <w:rPr>
                <w:kern w:val="0"/>
              </w:rPr>
            </w:pPr>
            <w:r>
              <w:t>(б) преглед и оценка на съоръжения и дейности;</w:t>
            </w:r>
          </w:p>
          <w:p w14:paraId="569C8CF9" w14:textId="77777777" w:rsidR="00453CBA" w:rsidRPr="003153C6" w:rsidRDefault="00453CBA" w:rsidP="00453CBA">
            <w:pPr>
              <w:tabs>
                <w:tab w:val="clear" w:pos="720"/>
                <w:tab w:val="clear" w:pos="1296"/>
                <w:tab w:val="clear" w:pos="1872"/>
                <w:tab w:val="clear" w:pos="2448"/>
              </w:tabs>
              <w:autoSpaceDE w:val="0"/>
              <w:autoSpaceDN w:val="0"/>
              <w:adjustRightInd w:val="0"/>
              <w:spacing w:after="0" w:line="240" w:lineRule="auto"/>
              <w:rPr>
                <w:kern w:val="0"/>
              </w:rPr>
            </w:pPr>
            <w:r>
              <w:t>(в) инспекция на съоръжения и дейности;</w:t>
            </w:r>
          </w:p>
          <w:p w14:paraId="4ED91030" w14:textId="77777777" w:rsidR="00453CBA" w:rsidRPr="003153C6" w:rsidRDefault="00453CBA" w:rsidP="00453CBA">
            <w:pPr>
              <w:tabs>
                <w:tab w:val="clear" w:pos="720"/>
                <w:tab w:val="clear" w:pos="1296"/>
                <w:tab w:val="clear" w:pos="1872"/>
                <w:tab w:val="clear" w:pos="2448"/>
              </w:tabs>
              <w:autoSpaceDE w:val="0"/>
              <w:autoSpaceDN w:val="0"/>
              <w:adjustRightInd w:val="0"/>
              <w:spacing w:after="0" w:line="240" w:lineRule="auto"/>
              <w:rPr>
                <w:kern w:val="0"/>
              </w:rPr>
            </w:pPr>
            <w:r>
              <w:t>(г) прилагане на регулаторни изисквания;</w:t>
            </w:r>
          </w:p>
          <w:p w14:paraId="02E3341E" w14:textId="5D40007C" w:rsidR="00453CBA" w:rsidRPr="003153C6" w:rsidRDefault="00453CBA" w:rsidP="00453CBA">
            <w:pPr>
              <w:tabs>
                <w:tab w:val="clear" w:pos="720"/>
                <w:tab w:val="clear" w:pos="1296"/>
                <w:tab w:val="clear" w:pos="1872"/>
                <w:tab w:val="clear" w:pos="2448"/>
              </w:tabs>
              <w:autoSpaceDE w:val="0"/>
              <w:autoSpaceDN w:val="0"/>
              <w:adjustRightInd w:val="0"/>
              <w:spacing w:after="0" w:line="240" w:lineRule="auto"/>
              <w:rPr>
                <w:kern w:val="0"/>
              </w:rPr>
            </w:pPr>
            <w:r>
              <w:t>(д) регулаторни функции, свързани със ситуации на аварийно облъчване и ситуации на съществуващо облъчване;</w:t>
            </w:r>
          </w:p>
          <w:p w14:paraId="2CFC617E" w14:textId="0E511322" w:rsidR="0009352B" w:rsidRPr="003153C6" w:rsidRDefault="00453CBA" w:rsidP="006815D0">
            <w:pPr>
              <w:tabs>
                <w:tab w:val="clear" w:pos="720"/>
                <w:tab w:val="clear" w:pos="1296"/>
                <w:tab w:val="clear" w:pos="1872"/>
                <w:tab w:val="clear" w:pos="2448"/>
              </w:tabs>
              <w:autoSpaceDE w:val="0"/>
              <w:autoSpaceDN w:val="0"/>
              <w:adjustRightInd w:val="0"/>
              <w:spacing w:line="240" w:lineRule="auto"/>
            </w:pPr>
            <w:r>
              <w:t>(е) предоставяне на информация и консултации със страните, засегнати от нейните решения, и, ако е целесъобразно, с населението и други заинтересовани страни.</w:t>
            </w:r>
          </w:p>
        </w:tc>
        <w:tc>
          <w:tcPr>
            <w:tcW w:w="1568" w:type="dxa"/>
          </w:tcPr>
          <w:p w14:paraId="6934F7F0" w14:textId="12D49A39" w:rsidR="0009352B" w:rsidRDefault="00501B07" w:rsidP="003C3A48">
            <w:pPr>
              <w:jc w:val="center"/>
            </w:pPr>
            <w:r>
              <w:t>EP</w:t>
            </w:r>
          </w:p>
        </w:tc>
        <w:tc>
          <w:tcPr>
            <w:tcW w:w="6300" w:type="dxa"/>
          </w:tcPr>
          <w:p w14:paraId="301891DF" w14:textId="70DB1D2C" w:rsidR="0009352B" w:rsidRPr="00BC1694" w:rsidRDefault="00E70076" w:rsidP="00B723E1">
            <w:pPr>
              <w:rPr>
                <w:rFonts w:eastAsiaTheme="minorHAnsi" w:cstheme="minorBidi"/>
                <w:b/>
                <w:bCs/>
                <w:kern w:val="0"/>
              </w:rPr>
            </w:pPr>
            <w:r>
              <w:t>Това е отговорност на Регулаторния орган.</w:t>
            </w:r>
          </w:p>
        </w:tc>
      </w:tr>
      <w:tr w:rsidR="00EC2DEA" w14:paraId="412F2373" w14:textId="77777777" w:rsidTr="00D32BFE">
        <w:tc>
          <w:tcPr>
            <w:tcW w:w="801" w:type="dxa"/>
          </w:tcPr>
          <w:p w14:paraId="76171057" w14:textId="2A488FE0" w:rsidR="00EC2DEA" w:rsidRDefault="00EC2DEA" w:rsidP="00EC2DEA">
            <w:r>
              <w:t>2.31.</w:t>
            </w:r>
          </w:p>
        </w:tc>
        <w:tc>
          <w:tcPr>
            <w:tcW w:w="5006" w:type="dxa"/>
          </w:tcPr>
          <w:p w14:paraId="6DDADDED" w14:textId="1DFA9503" w:rsidR="00EC2DEA" w:rsidRPr="003153C6" w:rsidRDefault="00EC2DEA" w:rsidP="00EC2DEA">
            <w:r>
              <w:t xml:space="preserve">Регулаторният орган възприема диференциран подход към реализацията на системата за защита и безопасност, така че прилагането на регулаторните изисквания да бъде съизмеримо с </w:t>
            </w:r>
            <w:r>
              <w:lastRenderedPageBreak/>
              <w:t>радиационните рискове, свързани със ситуацията на облъчване.</w:t>
            </w:r>
          </w:p>
        </w:tc>
        <w:tc>
          <w:tcPr>
            <w:tcW w:w="1568" w:type="dxa"/>
          </w:tcPr>
          <w:p w14:paraId="0080C4EA" w14:textId="49A2262E" w:rsidR="00EC2DEA" w:rsidRDefault="00501B07" w:rsidP="00EC2DEA">
            <w:pPr>
              <w:jc w:val="center"/>
            </w:pPr>
            <w:r>
              <w:lastRenderedPageBreak/>
              <w:t>EP</w:t>
            </w:r>
          </w:p>
        </w:tc>
        <w:tc>
          <w:tcPr>
            <w:tcW w:w="6300" w:type="dxa"/>
          </w:tcPr>
          <w:p w14:paraId="670EE334" w14:textId="5DE45838" w:rsidR="00EC2DEA" w:rsidRPr="00BC1694" w:rsidRDefault="00E70076" w:rsidP="00EC2DEA">
            <w:pPr>
              <w:rPr>
                <w:rFonts w:eastAsiaTheme="minorHAnsi" w:cstheme="minorBidi"/>
                <w:b/>
                <w:bCs/>
                <w:kern w:val="0"/>
              </w:rPr>
            </w:pPr>
            <w:r>
              <w:t>Това е отговорност на Регулаторния орган.</w:t>
            </w:r>
          </w:p>
        </w:tc>
      </w:tr>
      <w:tr w:rsidR="00EC2DEA" w14:paraId="39B5AEF3" w14:textId="77777777" w:rsidTr="00D32BFE">
        <w:tc>
          <w:tcPr>
            <w:tcW w:w="801" w:type="dxa"/>
          </w:tcPr>
          <w:p w14:paraId="486FC4C0" w14:textId="4FCFD194" w:rsidR="00EC2DEA" w:rsidRDefault="00EC2DEA" w:rsidP="00EC2DEA">
            <w:r>
              <w:t>2.32.</w:t>
            </w:r>
          </w:p>
        </w:tc>
        <w:tc>
          <w:tcPr>
            <w:tcW w:w="5006" w:type="dxa"/>
          </w:tcPr>
          <w:p w14:paraId="02DBC8A7" w14:textId="7A039D60" w:rsidR="00EC2DEA" w:rsidRPr="003153C6" w:rsidRDefault="00EC2DEA" w:rsidP="00EC2DEA">
            <w:r>
              <w:t>Регулаторният орган осигурява прилагането на изискванията за образование, обучение, квалификация и компетентност в областта на защитата и безопасността за всички лица, ангажирани с дейности, свързани със защитата и безопасността.</w:t>
            </w:r>
          </w:p>
        </w:tc>
        <w:tc>
          <w:tcPr>
            <w:tcW w:w="1568" w:type="dxa"/>
          </w:tcPr>
          <w:p w14:paraId="44AD6C69" w14:textId="11B29216" w:rsidR="00EC2DEA" w:rsidRDefault="00501B07" w:rsidP="00EC2DEA">
            <w:pPr>
              <w:jc w:val="center"/>
            </w:pPr>
            <w:r>
              <w:t>EP</w:t>
            </w:r>
          </w:p>
        </w:tc>
        <w:tc>
          <w:tcPr>
            <w:tcW w:w="6300" w:type="dxa"/>
          </w:tcPr>
          <w:p w14:paraId="4C24C566" w14:textId="10C17DE9" w:rsidR="00EC2DEA" w:rsidRPr="00501B07" w:rsidRDefault="00E70076" w:rsidP="00EC2DEA">
            <w:pPr>
              <w:rPr>
                <w:rFonts w:eastAsiaTheme="minorHAnsi" w:cstheme="minorBidi"/>
              </w:rPr>
            </w:pPr>
            <w:r>
              <w:t>Това е отговорност на Регулаторния орган.</w:t>
            </w:r>
          </w:p>
        </w:tc>
      </w:tr>
      <w:tr w:rsidR="00EC2DEA" w14:paraId="7AF86C2E" w14:textId="77777777" w:rsidTr="00D32BFE">
        <w:tc>
          <w:tcPr>
            <w:tcW w:w="801" w:type="dxa"/>
          </w:tcPr>
          <w:p w14:paraId="0A057267" w14:textId="14E5106E" w:rsidR="00EC2DEA" w:rsidRDefault="00EC2DEA" w:rsidP="00EC2DEA">
            <w:r>
              <w:t>2.33.</w:t>
            </w:r>
          </w:p>
        </w:tc>
        <w:tc>
          <w:tcPr>
            <w:tcW w:w="5006" w:type="dxa"/>
          </w:tcPr>
          <w:p w14:paraId="0E028FE5" w14:textId="06DD7F42" w:rsidR="00EC2DEA" w:rsidRPr="003153C6" w:rsidRDefault="00EC2DEA" w:rsidP="00EC2DEA">
            <w:r>
              <w:t>Регулаторният орган осигурява наличието на механизми за своевременно разпространение на информация до съответните страни, като например доставчици и ползватели на източници, относно извлечените поуки в областта на защитата и безопасността от регулаторния опит и експлоатационния опит, както и от инциденти и аварии и свързаните с тях констатации. Създадените механизми се използват по целесъобразност за предоставяне на съответната информация на други съответни организации на национално и международно равнище.</w:t>
            </w:r>
          </w:p>
        </w:tc>
        <w:tc>
          <w:tcPr>
            <w:tcW w:w="1568" w:type="dxa"/>
          </w:tcPr>
          <w:p w14:paraId="1356F9B1" w14:textId="3AFE6F60" w:rsidR="00EC2DEA" w:rsidRDefault="00501B07" w:rsidP="00EC2DEA">
            <w:pPr>
              <w:jc w:val="center"/>
            </w:pPr>
            <w:r>
              <w:t>EP</w:t>
            </w:r>
          </w:p>
        </w:tc>
        <w:tc>
          <w:tcPr>
            <w:tcW w:w="6300" w:type="dxa"/>
          </w:tcPr>
          <w:p w14:paraId="0AB5C94E" w14:textId="5136DFBC" w:rsidR="00EC2DEA" w:rsidRDefault="00E70076" w:rsidP="00EC2DEA">
            <w:r>
              <w:t>Това е отговорност на Регулаторния орган.</w:t>
            </w:r>
          </w:p>
        </w:tc>
      </w:tr>
      <w:tr w:rsidR="00EC2DEA" w:rsidRPr="00262711" w14:paraId="6CF9904C" w14:textId="77777777" w:rsidTr="00D32BFE">
        <w:tc>
          <w:tcPr>
            <w:tcW w:w="801" w:type="dxa"/>
          </w:tcPr>
          <w:p w14:paraId="275B1F6B" w14:textId="2947CEA2" w:rsidR="00EC2DEA" w:rsidRDefault="00EC2DEA" w:rsidP="00EC2DEA">
            <w:r>
              <w:t>2.34.</w:t>
            </w:r>
          </w:p>
        </w:tc>
        <w:tc>
          <w:tcPr>
            <w:tcW w:w="5006" w:type="dxa"/>
          </w:tcPr>
          <w:p w14:paraId="6DD10557" w14:textId="03B68420" w:rsidR="00EC2DEA" w:rsidRPr="003153C6" w:rsidRDefault="00EC2DEA" w:rsidP="00EC2DEA">
            <w:r>
              <w:t xml:space="preserve">Регулаторният орган, съвместно с други съответни органи, определя изискванията за приемливост и за изпълнение, чрез наредба или чрез прилагане на публикувани стандарти, за всеки произведен или конструиран източник, устройство, оборудване или съоръжение, които при </w:t>
            </w:r>
            <w:r>
              <w:lastRenderedPageBreak/>
              <w:t>използване имат значение за защитата и безопасността.</w:t>
            </w:r>
          </w:p>
        </w:tc>
        <w:tc>
          <w:tcPr>
            <w:tcW w:w="1568" w:type="dxa"/>
          </w:tcPr>
          <w:p w14:paraId="06C6C0A9" w14:textId="507CB5E3" w:rsidR="00EC2DEA" w:rsidRDefault="00501B07" w:rsidP="00EC2DEA">
            <w:pPr>
              <w:jc w:val="center"/>
            </w:pPr>
            <w:r>
              <w:lastRenderedPageBreak/>
              <w:t>EP</w:t>
            </w:r>
          </w:p>
        </w:tc>
        <w:tc>
          <w:tcPr>
            <w:tcW w:w="6300" w:type="dxa"/>
          </w:tcPr>
          <w:p w14:paraId="11D9D629" w14:textId="037B4493" w:rsidR="00EC2DEA" w:rsidRPr="00262711" w:rsidRDefault="00E70076" w:rsidP="00EC2DEA">
            <w:r>
              <w:t>Това е отговорност на Регулаторния орган.</w:t>
            </w:r>
          </w:p>
        </w:tc>
      </w:tr>
      <w:tr w:rsidR="00EC2DEA" w14:paraId="6202A99A" w14:textId="77777777" w:rsidTr="00D32BFE">
        <w:tc>
          <w:tcPr>
            <w:tcW w:w="801" w:type="dxa"/>
          </w:tcPr>
          <w:p w14:paraId="02CAF263" w14:textId="2F127CA9" w:rsidR="00EC2DEA" w:rsidRDefault="00EC2DEA" w:rsidP="00EC2DEA">
            <w:r>
              <w:t>2.35.</w:t>
            </w:r>
          </w:p>
        </w:tc>
        <w:tc>
          <w:tcPr>
            <w:tcW w:w="5006" w:type="dxa"/>
          </w:tcPr>
          <w:p w14:paraId="3EC16069" w14:textId="6740917F" w:rsidR="00EC2DEA" w:rsidRPr="003153C6" w:rsidRDefault="00EC2DEA" w:rsidP="00EC2DEA">
            <w:pPr>
              <w:rPr>
                <w:kern w:val="0"/>
              </w:rPr>
            </w:pPr>
            <w:r>
              <w:t>Регулаторният орган осигурява създаването, поддържането и извличането на адекватни записи, свързани със съоръженията и дейностите. Тези записи включват:</w:t>
            </w:r>
            <w:r>
              <w:br/>
              <w:t xml:space="preserve">– регистри на </w:t>
            </w:r>
            <w:r w:rsidR="001E4062">
              <w:t>закрити</w:t>
            </w:r>
            <w:r>
              <w:t xml:space="preserve"> източници и генератори на </w:t>
            </w:r>
            <w:r w:rsidR="001E4062">
              <w:t>йонизиращи лъчения</w:t>
            </w:r>
            <w:r>
              <w:rPr>
                <w:vertAlign w:val="superscript"/>
              </w:rPr>
              <w:t>14</w:t>
            </w:r>
            <w:r>
              <w:t>;</w:t>
            </w:r>
            <w:r>
              <w:br/>
              <w:t>– записи на дози на професионално облъчване;</w:t>
            </w:r>
            <w:r>
              <w:br/>
              <w:t>– записи, свързани с безопасността на съоръжения и дейности;</w:t>
            </w:r>
            <w:r>
              <w:br/>
              <w:t xml:space="preserve">– записи, които могат да бъдат необходими за спиране и извеждане от експлоатация или </w:t>
            </w:r>
            <w:r w:rsidR="00632FAC">
              <w:t>затваряне</w:t>
            </w:r>
            <w:r>
              <w:t xml:space="preserve"> на съоръжения;</w:t>
            </w:r>
            <w:r>
              <w:br/>
              <w:t>– записи на събития, включително нестандартни изхвърляния на радиоактивни материали в околната среда;</w:t>
            </w:r>
            <w:r>
              <w:br/>
              <w:t>– количества радиоактивни отпадъци и отработено гориво.</w:t>
            </w:r>
          </w:p>
        </w:tc>
        <w:tc>
          <w:tcPr>
            <w:tcW w:w="1568" w:type="dxa"/>
          </w:tcPr>
          <w:p w14:paraId="1B9C6894" w14:textId="4B6C1EAD" w:rsidR="00EC2DEA" w:rsidRDefault="00501B07" w:rsidP="00EC2DEA">
            <w:pPr>
              <w:jc w:val="center"/>
            </w:pPr>
            <w:r>
              <w:t>EP</w:t>
            </w:r>
          </w:p>
        </w:tc>
        <w:tc>
          <w:tcPr>
            <w:tcW w:w="6300" w:type="dxa"/>
          </w:tcPr>
          <w:p w14:paraId="5A64A45F" w14:textId="70E1C21C" w:rsidR="00EC2DEA" w:rsidRPr="00BB3B59" w:rsidRDefault="00E70076" w:rsidP="00BB3B59">
            <w:pPr>
              <w:rPr>
                <w:rFonts w:eastAsiaTheme="minorHAnsi" w:cstheme="minorBidi"/>
                <w:b/>
                <w:bCs/>
                <w:kern w:val="0"/>
              </w:rPr>
            </w:pPr>
            <w:r>
              <w:t>Това е отговорност на Регулаторния орган.</w:t>
            </w:r>
          </w:p>
        </w:tc>
      </w:tr>
      <w:tr w:rsidR="00EC2DEA" w14:paraId="7569E931" w14:textId="77777777" w:rsidTr="00D32BFE">
        <w:tc>
          <w:tcPr>
            <w:tcW w:w="801" w:type="dxa"/>
          </w:tcPr>
          <w:p w14:paraId="2BF12E32" w14:textId="61BC8BA7" w:rsidR="00EC2DEA" w:rsidRDefault="00EC2DEA" w:rsidP="00EC2DEA">
            <w:r>
              <w:t>2.36.</w:t>
            </w:r>
          </w:p>
        </w:tc>
        <w:tc>
          <w:tcPr>
            <w:tcW w:w="5006" w:type="dxa"/>
          </w:tcPr>
          <w:p w14:paraId="5E8607EF" w14:textId="5D254004" w:rsidR="00EC2DEA" w:rsidRPr="00733F72" w:rsidRDefault="00EC2DEA" w:rsidP="00EC2DEA">
            <w:pPr>
              <w:tabs>
                <w:tab w:val="clear" w:pos="720"/>
                <w:tab w:val="clear" w:pos="1296"/>
                <w:tab w:val="clear" w:pos="1872"/>
                <w:tab w:val="clear" w:pos="2448"/>
              </w:tabs>
              <w:autoSpaceDE w:val="0"/>
              <w:autoSpaceDN w:val="0"/>
              <w:adjustRightInd w:val="0"/>
              <w:spacing w:after="0" w:line="240" w:lineRule="auto"/>
              <w:rPr>
                <w:kern w:val="0"/>
              </w:rPr>
            </w:pPr>
            <w:r>
              <w:t>Регулаторният орган създава механизми за комуникация и обсъждане, които включват професионално и конструктивно взаимодействие със съответните страни по всички въпроси, свързани със защитата и безопасността.</w:t>
            </w:r>
          </w:p>
        </w:tc>
        <w:tc>
          <w:tcPr>
            <w:tcW w:w="1568" w:type="dxa"/>
          </w:tcPr>
          <w:p w14:paraId="56EB3882" w14:textId="596F3E3C" w:rsidR="00EC2DEA" w:rsidRDefault="00501B07" w:rsidP="00EC2DEA">
            <w:pPr>
              <w:jc w:val="center"/>
            </w:pPr>
            <w:r>
              <w:t>EP</w:t>
            </w:r>
          </w:p>
        </w:tc>
        <w:tc>
          <w:tcPr>
            <w:tcW w:w="6300" w:type="dxa"/>
          </w:tcPr>
          <w:p w14:paraId="18E3C785" w14:textId="0955CFCC" w:rsidR="00EC2DEA" w:rsidRDefault="00E70076" w:rsidP="00EC2DEA">
            <w:r>
              <w:t>Това е отговорност на Регулаторния орган.</w:t>
            </w:r>
          </w:p>
        </w:tc>
      </w:tr>
      <w:tr w:rsidR="00EC2DEA" w14:paraId="5758F5DE" w14:textId="77777777" w:rsidTr="00D32BFE">
        <w:tc>
          <w:tcPr>
            <w:tcW w:w="801" w:type="dxa"/>
          </w:tcPr>
          <w:p w14:paraId="5E1B2542" w14:textId="6AFE91DF" w:rsidR="00EC2DEA" w:rsidRDefault="00EC2DEA" w:rsidP="00EC2DEA">
            <w:r>
              <w:t>2.37.</w:t>
            </w:r>
          </w:p>
        </w:tc>
        <w:tc>
          <w:tcPr>
            <w:tcW w:w="5006" w:type="dxa"/>
          </w:tcPr>
          <w:p w14:paraId="5271497D" w14:textId="21F0C4B0" w:rsidR="00EC2DEA" w:rsidRPr="00733F72" w:rsidRDefault="00EC2DEA" w:rsidP="00EC2DEA">
            <w:r>
              <w:t>Регулаторният орган, след консултация със здравния орган, гарантира, че са налице мерки за осигуряване на защита и безопасност при манипулации с починали лица или човешки останки, за които е известно, че съдържат за</w:t>
            </w:r>
            <w:r w:rsidR="00D11C9D">
              <w:t>крити</w:t>
            </w:r>
            <w:r>
              <w:t xml:space="preserve"> </w:t>
            </w:r>
            <w:r>
              <w:lastRenderedPageBreak/>
              <w:t xml:space="preserve">или </w:t>
            </w:r>
            <w:r w:rsidR="00D11C9D">
              <w:t>открити</w:t>
            </w:r>
            <w:r>
              <w:t xml:space="preserve"> радиоактивни източници в резултат на радиологични процедури за медицинско лечение на пациенти или вследствие на аварийна ситуация.</w:t>
            </w:r>
          </w:p>
        </w:tc>
        <w:tc>
          <w:tcPr>
            <w:tcW w:w="1568" w:type="dxa"/>
          </w:tcPr>
          <w:p w14:paraId="5F1D2B8E" w14:textId="364E7B85" w:rsidR="00EC2DEA" w:rsidRDefault="00501B07" w:rsidP="00EC2DEA">
            <w:pPr>
              <w:jc w:val="center"/>
            </w:pPr>
            <w:r>
              <w:lastRenderedPageBreak/>
              <w:t>EP</w:t>
            </w:r>
          </w:p>
        </w:tc>
        <w:tc>
          <w:tcPr>
            <w:tcW w:w="6300" w:type="dxa"/>
          </w:tcPr>
          <w:p w14:paraId="7D1CDD0B" w14:textId="02FE9EAE" w:rsidR="00EC2DEA" w:rsidRDefault="00E70076" w:rsidP="00EC2DEA">
            <w:r>
              <w:t>Това е отговорност на Регулаторния орган.</w:t>
            </w:r>
          </w:p>
        </w:tc>
      </w:tr>
      <w:tr w:rsidR="00EC2DEA" w14:paraId="3D921DE5" w14:textId="77777777" w:rsidTr="00D32BFE">
        <w:tc>
          <w:tcPr>
            <w:tcW w:w="801" w:type="dxa"/>
          </w:tcPr>
          <w:p w14:paraId="0ADD1DB1" w14:textId="3B136FBC" w:rsidR="00EC2DEA" w:rsidRDefault="00EC2DEA" w:rsidP="00EC2DEA">
            <w:r>
              <w:t>2.38.</w:t>
            </w:r>
          </w:p>
        </w:tc>
        <w:tc>
          <w:tcPr>
            <w:tcW w:w="5006" w:type="dxa"/>
          </w:tcPr>
          <w:p w14:paraId="5FC8D32F" w14:textId="2475EDBA" w:rsidR="007E5153" w:rsidRPr="00733F72" w:rsidRDefault="00EC2DEA" w:rsidP="00EC2DEA">
            <w:r>
              <w:t>Регулаторният орган създава, внедрява, оценява и се стреми непрекъснато да подобрява система за управление, която е в съответствие с целите на регулаторния орган и допринася за постигането на тези цели.</w:t>
            </w:r>
          </w:p>
        </w:tc>
        <w:tc>
          <w:tcPr>
            <w:tcW w:w="1568" w:type="dxa"/>
          </w:tcPr>
          <w:p w14:paraId="365AA1A5" w14:textId="3FC173EC" w:rsidR="00EC2DEA" w:rsidRDefault="00501B07" w:rsidP="00EC2DEA">
            <w:pPr>
              <w:jc w:val="center"/>
            </w:pPr>
            <w:r>
              <w:t>EP</w:t>
            </w:r>
          </w:p>
        </w:tc>
        <w:tc>
          <w:tcPr>
            <w:tcW w:w="6300" w:type="dxa"/>
          </w:tcPr>
          <w:p w14:paraId="4DF7FC2D" w14:textId="703F8CF6" w:rsidR="00EC2DEA" w:rsidRDefault="00E70076" w:rsidP="00EC2DEA">
            <w:r>
              <w:t>Това е отговорност на Регулаторния орган.</w:t>
            </w:r>
          </w:p>
        </w:tc>
      </w:tr>
    </w:tbl>
    <w:p w14:paraId="37F4F2F5" w14:textId="7DF63905" w:rsidR="0010545D" w:rsidRPr="007D3878" w:rsidRDefault="005B01C4" w:rsidP="00894DF1">
      <w:pPr>
        <w:spacing w:before="240" w:after="0"/>
        <w:rPr>
          <w:b/>
          <w:bCs/>
          <w:caps/>
          <w:kern w:val="24"/>
          <w:sz w:val="24"/>
          <w:szCs w:val="24"/>
        </w:rPr>
      </w:pPr>
      <w:r>
        <w:rPr>
          <w:b/>
          <w:caps/>
          <w:sz w:val="24"/>
        </w:rPr>
        <w:tab/>
        <w:t>Отговорности за защита и безопасност</w:t>
      </w:r>
    </w:p>
    <w:p w14:paraId="728A625C" w14:textId="2DC349DA" w:rsidR="0009352B" w:rsidRPr="00733F72" w:rsidRDefault="00733F72" w:rsidP="0010545D">
      <w:pPr>
        <w:pStyle w:val="Heading3"/>
        <w:rPr>
          <w:sz w:val="22"/>
        </w:rPr>
      </w:pPr>
      <w:bookmarkStart w:id="31" w:name="_Toc155347780"/>
      <w:r>
        <w:t>Изискване 4: Отговорности за защита и безопасност</w:t>
      </w:r>
      <w:bookmarkEnd w:id="31"/>
    </w:p>
    <w:tbl>
      <w:tblPr>
        <w:tblStyle w:val="TableGrid"/>
        <w:tblW w:w="13675" w:type="dxa"/>
        <w:tblLayout w:type="fixed"/>
        <w:tblLook w:val="04A0" w:firstRow="1" w:lastRow="0" w:firstColumn="1" w:lastColumn="0" w:noHBand="0" w:noVBand="1"/>
      </w:tblPr>
      <w:tblGrid>
        <w:gridCol w:w="801"/>
        <w:gridCol w:w="5006"/>
        <w:gridCol w:w="1568"/>
        <w:gridCol w:w="6300"/>
      </w:tblGrid>
      <w:tr w:rsidR="009A6289" w:rsidRPr="00F172DF" w14:paraId="62D58590" w14:textId="77777777" w:rsidTr="001410E3">
        <w:trPr>
          <w:tblHeader/>
        </w:trPr>
        <w:tc>
          <w:tcPr>
            <w:tcW w:w="801" w:type="dxa"/>
          </w:tcPr>
          <w:p w14:paraId="3028FEAD" w14:textId="77777777" w:rsidR="009A6289" w:rsidRPr="00F172DF" w:rsidRDefault="009A6289" w:rsidP="00B723E1">
            <w:pPr>
              <w:rPr>
                <w:b/>
                <w:bCs/>
              </w:rPr>
            </w:pPr>
          </w:p>
        </w:tc>
        <w:tc>
          <w:tcPr>
            <w:tcW w:w="5006" w:type="dxa"/>
          </w:tcPr>
          <w:p w14:paraId="2FBF0AAA" w14:textId="77777777" w:rsidR="009A6289" w:rsidRPr="00F172DF" w:rsidRDefault="009A6289" w:rsidP="00B723E1">
            <w:pPr>
              <w:rPr>
                <w:b/>
                <w:bCs/>
              </w:rPr>
            </w:pPr>
            <w:r>
              <w:rPr>
                <w:b/>
              </w:rPr>
              <w:t>Описание</w:t>
            </w:r>
          </w:p>
        </w:tc>
        <w:tc>
          <w:tcPr>
            <w:tcW w:w="1568" w:type="dxa"/>
          </w:tcPr>
          <w:p w14:paraId="4F08F11A" w14:textId="77777777" w:rsidR="009A6289" w:rsidRPr="00F172DF" w:rsidRDefault="009A6289" w:rsidP="00B723E1">
            <w:pPr>
              <w:rPr>
                <w:b/>
                <w:bCs/>
              </w:rPr>
            </w:pPr>
            <w:r>
              <w:rPr>
                <w:b/>
              </w:rPr>
              <w:t>Съответствие</w:t>
            </w:r>
          </w:p>
        </w:tc>
        <w:tc>
          <w:tcPr>
            <w:tcW w:w="6300" w:type="dxa"/>
          </w:tcPr>
          <w:p w14:paraId="25164804" w14:textId="77777777" w:rsidR="009A6289" w:rsidRPr="00F172DF" w:rsidRDefault="009A6289" w:rsidP="00B723E1">
            <w:pPr>
              <w:rPr>
                <w:b/>
                <w:bCs/>
              </w:rPr>
            </w:pPr>
            <w:r>
              <w:rPr>
                <w:b/>
              </w:rPr>
              <w:t>Обосновка</w:t>
            </w:r>
          </w:p>
        </w:tc>
      </w:tr>
      <w:tr w:rsidR="001967FE" w14:paraId="52EAEE5D" w14:textId="77777777" w:rsidTr="001410E3">
        <w:tc>
          <w:tcPr>
            <w:tcW w:w="801" w:type="dxa"/>
          </w:tcPr>
          <w:p w14:paraId="45C5C31C" w14:textId="77777777" w:rsidR="001967FE" w:rsidRPr="009E1D35" w:rsidRDefault="001967FE" w:rsidP="00B723E1"/>
        </w:tc>
        <w:tc>
          <w:tcPr>
            <w:tcW w:w="5006" w:type="dxa"/>
          </w:tcPr>
          <w:p w14:paraId="4EDAD599" w14:textId="19C74219" w:rsidR="001967FE" w:rsidRPr="009E1D35" w:rsidRDefault="001967FE" w:rsidP="001967FE">
            <w:pPr>
              <w:rPr>
                <w:b/>
                <w:bCs/>
              </w:rPr>
            </w:pPr>
            <w:r>
              <w:rPr>
                <w:b/>
              </w:rPr>
              <w:t xml:space="preserve">Лицето или организацията, отговорни за съоръженията и дейностите, които пораждат радиационни рискове, носят основната отговорност за защитата и безопасността. Другите страни имат </w:t>
            </w:r>
            <w:r w:rsidR="00632FAC">
              <w:rPr>
                <w:b/>
              </w:rPr>
              <w:t xml:space="preserve">специално </w:t>
            </w:r>
            <w:r>
              <w:rPr>
                <w:b/>
              </w:rPr>
              <w:t>определени отговорности за защитата и безопасността.</w:t>
            </w:r>
          </w:p>
        </w:tc>
        <w:tc>
          <w:tcPr>
            <w:tcW w:w="1568" w:type="dxa"/>
          </w:tcPr>
          <w:p w14:paraId="3C4132E9" w14:textId="3B4625CE" w:rsidR="001967FE" w:rsidRDefault="00DE5355" w:rsidP="003C3A48">
            <w:pPr>
              <w:jc w:val="center"/>
            </w:pPr>
            <w:r>
              <w:t>OR, EP</w:t>
            </w:r>
          </w:p>
        </w:tc>
        <w:tc>
          <w:tcPr>
            <w:tcW w:w="6300" w:type="dxa"/>
          </w:tcPr>
          <w:p w14:paraId="44BAF942" w14:textId="77777777" w:rsidR="00725829" w:rsidRDefault="00725829" w:rsidP="00B723E1">
            <w:pPr>
              <w:rPr>
                <w:rFonts w:eastAsiaTheme="minorEastAsia" w:cstheme="minorBidi"/>
                <w:kern w:val="0"/>
              </w:rPr>
            </w:pPr>
            <w:r>
              <w:t>Това е отговорност на Собственика/Лицензианта и/или други външни страни.</w:t>
            </w:r>
          </w:p>
          <w:p w14:paraId="2C4AF6CD" w14:textId="186568BE" w:rsidR="009277DA" w:rsidRPr="00C8517C" w:rsidRDefault="1F707026" w:rsidP="00C8517C">
            <w:pPr>
              <w:rPr>
                <w:rFonts w:eastAsiaTheme="minorEastAsia" w:cstheme="minorBidi"/>
              </w:rPr>
            </w:pPr>
            <w:r>
              <w:t>Собственикът трябва, както се изисква от един от основните принципи на радиационната защита, да представи обосновка на практическата дейност. Отговорността за преценката на обосновката се носи от правителствата или националните органи/регулатори, за да се осигури обща полза за обществото, а не непременно за конкретен човек.</w:t>
            </w:r>
          </w:p>
        </w:tc>
      </w:tr>
      <w:tr w:rsidR="009A6289" w14:paraId="6F6695BF" w14:textId="77777777" w:rsidTr="001410E3">
        <w:tc>
          <w:tcPr>
            <w:tcW w:w="801" w:type="dxa"/>
          </w:tcPr>
          <w:p w14:paraId="6C0A0143" w14:textId="36AD8D53" w:rsidR="009A6289" w:rsidRPr="009E1D35" w:rsidRDefault="001967FE" w:rsidP="00B723E1">
            <w:r>
              <w:t>2.39.</w:t>
            </w:r>
          </w:p>
        </w:tc>
        <w:tc>
          <w:tcPr>
            <w:tcW w:w="5006" w:type="dxa"/>
          </w:tcPr>
          <w:p w14:paraId="56DF4AEB" w14:textId="237E428D" w:rsidR="009A6289" w:rsidRPr="009E1D35" w:rsidRDefault="001967FE" w:rsidP="006E3BC6">
            <w:r>
              <w:t xml:space="preserve">Лицето или организацията, отговорни за всяко съоръжение или дейност, които пораждат радиационни рискове, носят основната </w:t>
            </w:r>
            <w:r>
              <w:lastRenderedPageBreak/>
              <w:t>отговорност за защитата и безопасността и тази отговорност не може да бъде делегирана.</w:t>
            </w:r>
          </w:p>
        </w:tc>
        <w:tc>
          <w:tcPr>
            <w:tcW w:w="1568" w:type="dxa"/>
          </w:tcPr>
          <w:p w14:paraId="4F4A02A5" w14:textId="75617FC0" w:rsidR="009A6289" w:rsidRDefault="00DE5355" w:rsidP="003C3A48">
            <w:pPr>
              <w:jc w:val="center"/>
            </w:pPr>
            <w:r>
              <w:lastRenderedPageBreak/>
              <w:t>OR</w:t>
            </w:r>
          </w:p>
        </w:tc>
        <w:tc>
          <w:tcPr>
            <w:tcW w:w="6300" w:type="dxa"/>
          </w:tcPr>
          <w:p w14:paraId="488B45CA" w14:textId="425432EA" w:rsidR="00262711" w:rsidRDefault="00DE5355" w:rsidP="00262711">
            <w:pPr>
              <w:rPr>
                <w:rFonts w:eastAsiaTheme="minorHAnsi" w:cstheme="minorBidi"/>
                <w:b/>
                <w:bCs/>
                <w:kern w:val="0"/>
              </w:rPr>
            </w:pPr>
            <w:r>
              <w:t>Това е отговорност на Собственика/Лицензианта.</w:t>
            </w:r>
          </w:p>
          <w:p w14:paraId="655455A5" w14:textId="0EB877C0" w:rsidR="00146DFE" w:rsidRDefault="00146DFE" w:rsidP="00B723E1"/>
        </w:tc>
      </w:tr>
      <w:tr w:rsidR="009A6289" w14:paraId="5B449166" w14:textId="77777777" w:rsidTr="001410E3">
        <w:tc>
          <w:tcPr>
            <w:tcW w:w="801" w:type="dxa"/>
          </w:tcPr>
          <w:p w14:paraId="4D8BB56D" w14:textId="4B7A8783" w:rsidR="009A6289" w:rsidRPr="009E1D35" w:rsidRDefault="001967FE" w:rsidP="00B723E1">
            <w:r>
              <w:t>2.40.</w:t>
            </w:r>
          </w:p>
        </w:tc>
        <w:tc>
          <w:tcPr>
            <w:tcW w:w="5006" w:type="dxa"/>
          </w:tcPr>
          <w:p w14:paraId="03BBE5F3" w14:textId="74811F10" w:rsidR="009A6289" w:rsidRPr="009E1D35" w:rsidRDefault="001967FE" w:rsidP="006E3BC6">
            <w:r>
              <w:t>Главните страни, отговорни за защитата и безопасността, са:</w:t>
            </w:r>
            <w:r>
              <w:br/>
              <w:t>(а) регистрираните лица или лицензиантите, или лицето или организацията, отговорни за съоръженията и дейностите, за които се изисква само уведомление;</w:t>
            </w:r>
            <w:r>
              <w:br/>
              <w:t>(б) работодателите, по отношение на професионалното облъчване;</w:t>
            </w:r>
            <w:r>
              <w:br/>
              <w:t>(в) лекарите-радиолози, по отношение на медицинското облъчване;</w:t>
            </w:r>
            <w:r>
              <w:br/>
              <w:t>(г) лицата или организациите, определени да се справят със ситуации на аварийно облъчване или ситуации на съществуващо облъчване.</w:t>
            </w:r>
          </w:p>
        </w:tc>
        <w:tc>
          <w:tcPr>
            <w:tcW w:w="1568" w:type="dxa"/>
          </w:tcPr>
          <w:p w14:paraId="5A715C77" w14:textId="59B42783" w:rsidR="009A6289" w:rsidRDefault="00CB221D" w:rsidP="003C3A48">
            <w:pPr>
              <w:jc w:val="center"/>
            </w:pPr>
            <w:r>
              <w:t>NR</w:t>
            </w:r>
          </w:p>
        </w:tc>
        <w:tc>
          <w:tcPr>
            <w:tcW w:w="6300" w:type="dxa"/>
          </w:tcPr>
          <w:p w14:paraId="49F51C1E" w14:textId="1408C097" w:rsidR="00DE5355" w:rsidRPr="00E42AD8" w:rsidRDefault="005B01C4" w:rsidP="005B01C4">
            <w:pPr>
              <w:rPr>
                <w:rFonts w:eastAsiaTheme="minorHAnsi" w:cstheme="minorBidi"/>
                <w:kern w:val="0"/>
                <w:highlight w:val="red"/>
              </w:rPr>
            </w:pPr>
            <w:r>
              <w:t>Това е пояснение, а не изискване.</w:t>
            </w:r>
          </w:p>
        </w:tc>
      </w:tr>
      <w:tr w:rsidR="009A6289" w14:paraId="39A03AA7" w14:textId="77777777" w:rsidTr="001410E3">
        <w:tc>
          <w:tcPr>
            <w:tcW w:w="801" w:type="dxa"/>
          </w:tcPr>
          <w:p w14:paraId="175F6DB6" w14:textId="314A4B5B" w:rsidR="009A6289" w:rsidRPr="009E1D35" w:rsidRDefault="006E3BC6" w:rsidP="00B723E1">
            <w:r>
              <w:t>2.41.</w:t>
            </w:r>
          </w:p>
        </w:tc>
        <w:tc>
          <w:tcPr>
            <w:tcW w:w="5006" w:type="dxa"/>
          </w:tcPr>
          <w:p w14:paraId="4300A51A" w14:textId="406CBDA1" w:rsidR="00CC62BD" w:rsidRPr="009E1D35" w:rsidRDefault="001967FE" w:rsidP="006E3BC6">
            <w:r>
              <w:t>Други страни имат определени отговорности по отношение на защитата и безопасността. Тези други страни включват:</w:t>
            </w:r>
            <w:r>
              <w:br/>
              <w:t>(а) доставчици на източници, доставчици на оборудване и софтуер и доставчици на потребителски продукти;</w:t>
            </w:r>
            <w:r>
              <w:br/>
              <w:t>(б) служители по радиационна защита;</w:t>
            </w:r>
            <w:r>
              <w:br/>
              <w:t>(в) насочващи лекари;</w:t>
            </w:r>
            <w:r>
              <w:br/>
              <w:t xml:space="preserve">(г) </w:t>
            </w:r>
            <w:r w:rsidR="00632FAC">
              <w:t>специалисти по радиационна защита (дозиметристи);</w:t>
            </w:r>
            <w:r>
              <w:br/>
              <w:t>(д) медицински радиационни технолози;</w:t>
            </w:r>
            <w:r>
              <w:br/>
              <w:t>(е) квалифицирани експерти или всяка друга страна, на която главната страна е възложила конкретни отговорности;</w:t>
            </w:r>
            <w:r>
              <w:br/>
            </w:r>
            <w:r>
              <w:lastRenderedPageBreak/>
              <w:t xml:space="preserve">(ж) </w:t>
            </w:r>
            <w:r w:rsidR="00632FAC">
              <w:t>персонал</w:t>
            </w:r>
            <w:r>
              <w:t>, различ</w:t>
            </w:r>
            <w:r w:rsidR="00632FAC">
              <w:t>ен</w:t>
            </w:r>
            <w:r>
              <w:t xml:space="preserve"> от изброените в букви а)-е) на настоящата точка;</w:t>
            </w:r>
            <w:r>
              <w:br/>
              <w:t>(з) комитети по етика.</w:t>
            </w:r>
          </w:p>
        </w:tc>
        <w:tc>
          <w:tcPr>
            <w:tcW w:w="1568" w:type="dxa"/>
          </w:tcPr>
          <w:p w14:paraId="0ACAA2F3" w14:textId="525632D8" w:rsidR="009A6289" w:rsidRPr="0040029C" w:rsidRDefault="00FA6046" w:rsidP="003C3A48">
            <w:pPr>
              <w:jc w:val="center"/>
            </w:pPr>
            <w:r>
              <w:lastRenderedPageBreak/>
              <w:t>NR</w:t>
            </w:r>
          </w:p>
        </w:tc>
        <w:tc>
          <w:tcPr>
            <w:tcW w:w="6300" w:type="dxa"/>
          </w:tcPr>
          <w:p w14:paraId="1ADA0937" w14:textId="70D1155F" w:rsidR="009A6289" w:rsidRPr="00E42AD8" w:rsidRDefault="00FA6046" w:rsidP="00FA6046">
            <w:pPr>
              <w:rPr>
                <w:highlight w:val="red"/>
              </w:rPr>
            </w:pPr>
            <w:r>
              <w:t>Това е пояснение, а не изискване.</w:t>
            </w:r>
          </w:p>
        </w:tc>
      </w:tr>
      <w:tr w:rsidR="00B9082D" w14:paraId="6D90EE14" w14:textId="77777777" w:rsidTr="001410E3">
        <w:tc>
          <w:tcPr>
            <w:tcW w:w="801" w:type="dxa"/>
          </w:tcPr>
          <w:p w14:paraId="52F6F0EF" w14:textId="525FC58A" w:rsidR="00B9082D" w:rsidRDefault="00B9082D" w:rsidP="00B9082D">
            <w:r>
              <w:t>2.42.</w:t>
            </w:r>
          </w:p>
        </w:tc>
        <w:tc>
          <w:tcPr>
            <w:tcW w:w="5006" w:type="dxa"/>
          </w:tcPr>
          <w:p w14:paraId="6685D99D" w14:textId="76C05230" w:rsidR="00B9082D" w:rsidRPr="00B9082D" w:rsidRDefault="00B9082D" w:rsidP="00B9082D">
            <w:pPr>
              <w:rPr>
                <w:b/>
                <w:bCs/>
              </w:rPr>
            </w:pPr>
            <w:r>
              <w:t>Съответните главни страни създават и осъществяват програма за защита и безопасност, която съответства на ситуацията на облъчване. В програмата за защита и безопасност:</w:t>
            </w:r>
            <w:r>
              <w:br/>
              <w:t>(а) се приемат цели за защита и безопасност в съответствие с изискванията на настоящите стандарти;</w:t>
            </w:r>
            <w:r>
              <w:br/>
              <w:t>(б) се прилагат мерки за защита и безопасност, които са съизмерими с радиационните рискове, свързани със ситуацията на облъчване, и които са адекватни за осигуряване спазването на изискванията на настоящите стандарти.</w:t>
            </w:r>
          </w:p>
        </w:tc>
        <w:tc>
          <w:tcPr>
            <w:tcW w:w="1568" w:type="dxa"/>
          </w:tcPr>
          <w:p w14:paraId="37FA3F3E" w14:textId="02979753" w:rsidR="00B9082D" w:rsidRDefault="00DE5355" w:rsidP="00B9082D">
            <w:pPr>
              <w:jc w:val="center"/>
            </w:pPr>
            <w:r>
              <w:t>OR, EP</w:t>
            </w:r>
          </w:p>
        </w:tc>
        <w:tc>
          <w:tcPr>
            <w:tcW w:w="6300" w:type="dxa"/>
          </w:tcPr>
          <w:p w14:paraId="1658F3E2" w14:textId="609E7E05" w:rsidR="00B9082D" w:rsidRPr="00B9082D" w:rsidRDefault="00DE5355" w:rsidP="00B9082D">
            <w:pPr>
              <w:rPr>
                <w:rFonts w:eastAsiaTheme="minorHAnsi" w:cstheme="minorBidi"/>
                <w:b/>
                <w:bCs/>
                <w:kern w:val="0"/>
              </w:rPr>
            </w:pPr>
            <w:r>
              <w:t>Това е отговорност на Собственика/Лицензианта и/или други външни страни.</w:t>
            </w:r>
          </w:p>
        </w:tc>
      </w:tr>
      <w:tr w:rsidR="00B9082D" w14:paraId="1050E244" w14:textId="77777777" w:rsidTr="001410E3">
        <w:tc>
          <w:tcPr>
            <w:tcW w:w="801" w:type="dxa"/>
          </w:tcPr>
          <w:p w14:paraId="6C0A7252" w14:textId="11583426" w:rsidR="00B9082D" w:rsidRDefault="00B9082D" w:rsidP="00B9082D">
            <w:r>
              <w:t>2.43.</w:t>
            </w:r>
          </w:p>
        </w:tc>
        <w:tc>
          <w:tcPr>
            <w:tcW w:w="5006" w:type="dxa"/>
          </w:tcPr>
          <w:p w14:paraId="67D093C5" w14:textId="49609EB5" w:rsidR="00B9082D" w:rsidRDefault="00B9082D" w:rsidP="00655A19">
            <w:pPr>
              <w:spacing w:line="240" w:lineRule="atLeast"/>
            </w:pPr>
            <w:r>
              <w:t>Съответните главни страни гарантират, че при осъществяването на програмата за защита и безопасност:</w:t>
            </w:r>
            <w:r>
              <w:br/>
              <w:t>(а) мерките и ресурсите, които са необходими за постигане на целите за защита и безопасност, са определени и са надлежно осигурени;</w:t>
            </w:r>
            <w:r>
              <w:br/>
              <w:t>б) програмата се преразглежда периодично, за да се оцени нейната ефективност и постоянната ѝ пригодност за поставената цел;</w:t>
            </w:r>
            <w:r>
              <w:br/>
              <w:t>в) установяват се и се коригират всякакви пропуски или недостатъци в защитата и безопасността и се предприемат мерки за предотвратяване на повторното им възникване;</w:t>
            </w:r>
            <w:r>
              <w:br/>
              <w:t xml:space="preserve">г) създават се условия за провеждане на </w:t>
            </w:r>
            <w:r>
              <w:lastRenderedPageBreak/>
              <w:t>консултации със заинтересованите страни;</w:t>
            </w:r>
            <w:r>
              <w:br/>
              <w:t>д) води се подходяща документация.</w:t>
            </w:r>
          </w:p>
        </w:tc>
        <w:tc>
          <w:tcPr>
            <w:tcW w:w="1568" w:type="dxa"/>
          </w:tcPr>
          <w:p w14:paraId="47C1E0A1" w14:textId="4AC66BE5" w:rsidR="00B9082D" w:rsidRDefault="00DE5355" w:rsidP="00655A19">
            <w:pPr>
              <w:spacing w:line="240" w:lineRule="atLeast"/>
              <w:jc w:val="center"/>
            </w:pPr>
            <w:r>
              <w:lastRenderedPageBreak/>
              <w:t>OR, EP</w:t>
            </w:r>
          </w:p>
        </w:tc>
        <w:tc>
          <w:tcPr>
            <w:tcW w:w="6300" w:type="dxa"/>
          </w:tcPr>
          <w:p w14:paraId="73D36830" w14:textId="5D7F2AC5" w:rsidR="00F16AC6" w:rsidRPr="00A048A7" w:rsidRDefault="00DE5355" w:rsidP="00655A19">
            <w:pPr>
              <w:spacing w:line="240" w:lineRule="atLeast"/>
              <w:rPr>
                <w:rFonts w:eastAsiaTheme="minorHAnsi" w:cstheme="minorBidi"/>
                <w:kern w:val="0"/>
              </w:rPr>
            </w:pPr>
            <w:r>
              <w:t>Това е отговорност на Собственика/Лицензианта и/или други външни страни.</w:t>
            </w:r>
          </w:p>
        </w:tc>
      </w:tr>
      <w:tr w:rsidR="00B9082D" w14:paraId="0B21AE44" w14:textId="77777777" w:rsidTr="00655A19">
        <w:trPr>
          <w:trHeight w:val="2779"/>
        </w:trPr>
        <w:tc>
          <w:tcPr>
            <w:tcW w:w="801" w:type="dxa"/>
          </w:tcPr>
          <w:p w14:paraId="0A0502AE" w14:textId="72023850" w:rsidR="00B9082D" w:rsidRDefault="00B9082D" w:rsidP="00B9082D">
            <w:r>
              <w:t>2.44.</w:t>
            </w:r>
          </w:p>
        </w:tc>
        <w:tc>
          <w:tcPr>
            <w:tcW w:w="5006" w:type="dxa"/>
          </w:tcPr>
          <w:p w14:paraId="7D44749F" w14:textId="3A0C439A" w:rsidR="00B9082D" w:rsidRDefault="00B9082D" w:rsidP="00655A19">
            <w:pPr>
              <w:spacing w:line="240" w:lineRule="atLeast"/>
            </w:pPr>
            <w:r>
              <w:t>Съответните главни страни и други страни, които имат определени отговорности във връзка със защитата и безопасността, гарантират, че целият персонал, ангажиран с дейности, свързани със защитата и безопасността, има подходящо образование, обучение и квалификация, така че да разбира своите отговорности и да може да изпълнява задълженията си компетентно, с подходяща преценка и в съответствие с процедурите.</w:t>
            </w:r>
          </w:p>
        </w:tc>
        <w:tc>
          <w:tcPr>
            <w:tcW w:w="1568" w:type="dxa"/>
          </w:tcPr>
          <w:p w14:paraId="463AE66E" w14:textId="5E498DB1" w:rsidR="00B9082D" w:rsidRDefault="00DE5355" w:rsidP="00655A19">
            <w:pPr>
              <w:spacing w:line="240" w:lineRule="atLeast"/>
              <w:jc w:val="center"/>
            </w:pPr>
            <w:r>
              <w:t>OR, EP</w:t>
            </w:r>
          </w:p>
        </w:tc>
        <w:tc>
          <w:tcPr>
            <w:tcW w:w="6300" w:type="dxa"/>
          </w:tcPr>
          <w:p w14:paraId="1E13C9BA" w14:textId="72DB5B87" w:rsidR="00D122B1" w:rsidRDefault="00D122B1" w:rsidP="00655A19">
            <w:pPr>
              <w:spacing w:line="240" w:lineRule="atLeast"/>
              <w:rPr>
                <w:rFonts w:eastAsiaTheme="minorHAnsi" w:cstheme="minorBidi"/>
                <w:kern w:val="0"/>
              </w:rPr>
            </w:pPr>
            <w:r>
              <w:t>Това е отговорност на Собственика/Лицензианта и/или други външни страни.</w:t>
            </w:r>
          </w:p>
          <w:p w14:paraId="5CA6EEBD" w14:textId="3D8C2CB9" w:rsidR="009C6A43" w:rsidRPr="009C6A43" w:rsidRDefault="009C6A43" w:rsidP="00655A19">
            <w:pPr>
              <w:spacing w:after="0" w:line="240" w:lineRule="atLeast"/>
              <w:rPr>
                <w:rFonts w:eastAsiaTheme="minorEastAsia"/>
              </w:rPr>
            </w:pPr>
            <w:r>
              <w:t>Компанията Уестингхаус е провела разработването на проекта на AP1000 в рамките на своята призната система за управление на качеството (СУК) и е поела основната отговорност за безопасността по време на разработването на проекта. Добре познатата СУК е метод за ефективно изпълнение на изискванията за защита и безопасност в системата за управление на ниво технологично проектиране. Налице са съответната квалификация и обучение на персонала по проектирането.</w:t>
            </w:r>
          </w:p>
        </w:tc>
      </w:tr>
      <w:tr w:rsidR="00B9082D" w14:paraId="5AB91F87" w14:textId="77777777" w:rsidTr="00655A19">
        <w:trPr>
          <w:trHeight w:val="1663"/>
        </w:trPr>
        <w:tc>
          <w:tcPr>
            <w:tcW w:w="801" w:type="dxa"/>
          </w:tcPr>
          <w:p w14:paraId="13BEF6F1" w14:textId="79AB4C90" w:rsidR="00B9082D" w:rsidRDefault="00B9082D" w:rsidP="00B9082D">
            <w:r>
              <w:t>2.45.</w:t>
            </w:r>
          </w:p>
        </w:tc>
        <w:tc>
          <w:tcPr>
            <w:tcW w:w="5006" w:type="dxa"/>
          </w:tcPr>
          <w:p w14:paraId="20142969" w14:textId="314EBEC5" w:rsidR="00B9082D" w:rsidRDefault="00B9082D" w:rsidP="00655A19">
            <w:pPr>
              <w:spacing w:after="0" w:line="240" w:lineRule="atLeast"/>
            </w:pPr>
            <w:r>
              <w:t>Съответните главни страни разрешават достъп на упълномощени представители на регулаторния орган за извършване на инспекции на техните съоръжения и дейности и на техните регистрационни записи за защита и безопасност, а също така сътрудничат при провеждането на инспекциите.</w:t>
            </w:r>
          </w:p>
        </w:tc>
        <w:tc>
          <w:tcPr>
            <w:tcW w:w="1568" w:type="dxa"/>
          </w:tcPr>
          <w:p w14:paraId="40855AEA" w14:textId="3AD960A4" w:rsidR="00B9082D" w:rsidRDefault="00C05D64" w:rsidP="00655A19">
            <w:pPr>
              <w:spacing w:line="240" w:lineRule="atLeast"/>
              <w:jc w:val="center"/>
            </w:pPr>
            <w:r>
              <w:t>OR, EP</w:t>
            </w:r>
          </w:p>
        </w:tc>
        <w:tc>
          <w:tcPr>
            <w:tcW w:w="6300" w:type="dxa"/>
          </w:tcPr>
          <w:p w14:paraId="56FD9E92" w14:textId="71F6F73A" w:rsidR="00B9082D" w:rsidRPr="00C05D64" w:rsidRDefault="00E70076" w:rsidP="00655A19">
            <w:pPr>
              <w:spacing w:line="240" w:lineRule="atLeast"/>
              <w:rPr>
                <w:rFonts w:eastAsiaTheme="minorHAnsi" w:cstheme="minorBidi"/>
                <w:b/>
                <w:bCs/>
                <w:kern w:val="0"/>
              </w:rPr>
            </w:pPr>
            <w:r>
              <w:t>Това е отговорност на Собственика/Лицензианта и/или други външни страни.</w:t>
            </w:r>
          </w:p>
        </w:tc>
      </w:tr>
      <w:tr w:rsidR="00B9082D" w14:paraId="0BFF99FC" w14:textId="77777777" w:rsidTr="001410E3">
        <w:tc>
          <w:tcPr>
            <w:tcW w:w="801" w:type="dxa"/>
          </w:tcPr>
          <w:p w14:paraId="31A1ECFE" w14:textId="3A5DB8DE" w:rsidR="00B9082D" w:rsidRDefault="00B9082D" w:rsidP="00B9082D">
            <w:r>
              <w:t>2.46.</w:t>
            </w:r>
          </w:p>
        </w:tc>
        <w:tc>
          <w:tcPr>
            <w:tcW w:w="5006" w:type="dxa"/>
          </w:tcPr>
          <w:p w14:paraId="2C0D8B71" w14:textId="738C5B17" w:rsidR="00B9082D" w:rsidRDefault="00B9082D" w:rsidP="00655A19">
            <w:pPr>
              <w:spacing w:after="120" w:line="240" w:lineRule="atLeast"/>
            </w:pPr>
            <w:r>
              <w:t>Съответните главни страни гарантират, че са определени квалифицирани експерти, с които при необходимост се провеждат консултации относно правилното спазване на настоящите стандарти.</w:t>
            </w:r>
          </w:p>
        </w:tc>
        <w:tc>
          <w:tcPr>
            <w:tcW w:w="1568" w:type="dxa"/>
          </w:tcPr>
          <w:p w14:paraId="1EAB2640" w14:textId="74ADBC8A" w:rsidR="00B9082D" w:rsidRDefault="00DE5355" w:rsidP="00655A19">
            <w:pPr>
              <w:spacing w:line="240" w:lineRule="atLeast"/>
              <w:jc w:val="center"/>
            </w:pPr>
            <w:r>
              <w:t>OR, EP</w:t>
            </w:r>
          </w:p>
        </w:tc>
        <w:tc>
          <w:tcPr>
            <w:tcW w:w="6300" w:type="dxa"/>
          </w:tcPr>
          <w:p w14:paraId="26E72192" w14:textId="56757EEC" w:rsidR="00B9082D" w:rsidRPr="00EB3138" w:rsidRDefault="00DE5355" w:rsidP="00655A19">
            <w:pPr>
              <w:spacing w:line="240" w:lineRule="atLeast"/>
              <w:rPr>
                <w:rFonts w:eastAsiaTheme="minorHAnsi" w:cstheme="minorBidi"/>
                <w:b/>
                <w:bCs/>
                <w:kern w:val="0"/>
              </w:rPr>
            </w:pPr>
            <w:r>
              <w:t>Това е отговорност на Собственика/Лицензианта и/или други външни страни.</w:t>
            </w:r>
          </w:p>
        </w:tc>
      </w:tr>
    </w:tbl>
    <w:p w14:paraId="39D636B5" w14:textId="485D1DBA" w:rsidR="0010545D" w:rsidRPr="007D3878" w:rsidRDefault="0063574F" w:rsidP="00894DF1">
      <w:pPr>
        <w:spacing w:before="240" w:after="0"/>
        <w:rPr>
          <w:b/>
          <w:bCs/>
          <w:caps/>
          <w:sz w:val="24"/>
          <w:szCs w:val="24"/>
        </w:rPr>
      </w:pPr>
      <w:r>
        <w:rPr>
          <w:b/>
          <w:caps/>
          <w:sz w:val="24"/>
        </w:rPr>
        <w:tab/>
        <w:t>Изисквания към управлението</w:t>
      </w:r>
    </w:p>
    <w:p w14:paraId="56E123AA" w14:textId="0C3A763A" w:rsidR="009A6289" w:rsidRDefault="006E3BC6" w:rsidP="0010545D">
      <w:pPr>
        <w:pStyle w:val="Heading3"/>
      </w:pPr>
      <w:bookmarkStart w:id="32" w:name="_Toc155347781"/>
      <w:r>
        <w:lastRenderedPageBreak/>
        <w:t>Изискване 5: Управление за защита и безопасност</w:t>
      </w:r>
      <w:bookmarkEnd w:id="32"/>
    </w:p>
    <w:tbl>
      <w:tblPr>
        <w:tblStyle w:val="TableGrid"/>
        <w:tblW w:w="13675" w:type="dxa"/>
        <w:tblLayout w:type="fixed"/>
        <w:tblLook w:val="04A0" w:firstRow="1" w:lastRow="0" w:firstColumn="1" w:lastColumn="0" w:noHBand="0" w:noVBand="1"/>
      </w:tblPr>
      <w:tblGrid>
        <w:gridCol w:w="829"/>
        <w:gridCol w:w="4978"/>
        <w:gridCol w:w="1584"/>
        <w:gridCol w:w="6284"/>
      </w:tblGrid>
      <w:tr w:rsidR="00821C09" w:rsidRPr="00F172DF" w14:paraId="7396BB78" w14:textId="77777777" w:rsidTr="001410E3">
        <w:trPr>
          <w:tblHeader/>
        </w:trPr>
        <w:tc>
          <w:tcPr>
            <w:tcW w:w="829" w:type="dxa"/>
          </w:tcPr>
          <w:p w14:paraId="3968C194" w14:textId="77777777" w:rsidR="00821C09" w:rsidRPr="00F172DF" w:rsidRDefault="00821C09" w:rsidP="00B723E1">
            <w:pPr>
              <w:rPr>
                <w:b/>
                <w:bCs/>
              </w:rPr>
            </w:pPr>
          </w:p>
        </w:tc>
        <w:tc>
          <w:tcPr>
            <w:tcW w:w="4978" w:type="dxa"/>
          </w:tcPr>
          <w:p w14:paraId="02D70AAF" w14:textId="77777777" w:rsidR="00821C09" w:rsidRPr="00F172DF" w:rsidRDefault="00821C09" w:rsidP="00B723E1">
            <w:pPr>
              <w:rPr>
                <w:b/>
                <w:bCs/>
              </w:rPr>
            </w:pPr>
            <w:r>
              <w:rPr>
                <w:b/>
              </w:rPr>
              <w:t>Описание</w:t>
            </w:r>
          </w:p>
        </w:tc>
        <w:tc>
          <w:tcPr>
            <w:tcW w:w="1584" w:type="dxa"/>
          </w:tcPr>
          <w:p w14:paraId="0EC18CBB" w14:textId="77777777" w:rsidR="00821C09" w:rsidRPr="00F172DF" w:rsidRDefault="00821C09" w:rsidP="00B723E1">
            <w:pPr>
              <w:rPr>
                <w:b/>
                <w:bCs/>
              </w:rPr>
            </w:pPr>
            <w:r>
              <w:rPr>
                <w:b/>
              </w:rPr>
              <w:t>Съответствие</w:t>
            </w:r>
          </w:p>
        </w:tc>
        <w:tc>
          <w:tcPr>
            <w:tcW w:w="6284" w:type="dxa"/>
          </w:tcPr>
          <w:p w14:paraId="32409B68" w14:textId="77777777" w:rsidR="00821C09" w:rsidRPr="00F172DF" w:rsidRDefault="00821C09" w:rsidP="00B723E1">
            <w:pPr>
              <w:rPr>
                <w:b/>
                <w:bCs/>
              </w:rPr>
            </w:pPr>
            <w:r>
              <w:rPr>
                <w:b/>
              </w:rPr>
              <w:t>Обосновка</w:t>
            </w:r>
          </w:p>
        </w:tc>
      </w:tr>
      <w:tr w:rsidR="00C04C8A" w14:paraId="2E4BB475" w14:textId="77777777" w:rsidTr="001410E3">
        <w:tc>
          <w:tcPr>
            <w:tcW w:w="829" w:type="dxa"/>
          </w:tcPr>
          <w:p w14:paraId="7DF3E0AA" w14:textId="77777777" w:rsidR="00C04C8A" w:rsidRDefault="00C04C8A" w:rsidP="00B723E1"/>
        </w:tc>
        <w:tc>
          <w:tcPr>
            <w:tcW w:w="4978" w:type="dxa"/>
          </w:tcPr>
          <w:p w14:paraId="0FFED8EA" w14:textId="12E66E3C" w:rsidR="00837BC2" w:rsidRPr="00C04C8A" w:rsidRDefault="00C04C8A" w:rsidP="00C04C8A">
            <w:pPr>
              <w:rPr>
                <w:b/>
                <w:bCs/>
              </w:rPr>
            </w:pPr>
            <w:r>
              <w:rPr>
                <w:b/>
              </w:rPr>
              <w:t>Главните страни осигуряват ефективно интегриране на защитата и безопасността в общата система за управление на организациите, за които те отговарят.</w:t>
            </w:r>
          </w:p>
        </w:tc>
        <w:tc>
          <w:tcPr>
            <w:tcW w:w="1584" w:type="dxa"/>
          </w:tcPr>
          <w:p w14:paraId="3ED445ED" w14:textId="0C226C07" w:rsidR="00C04C8A" w:rsidRDefault="00DE5355" w:rsidP="00837BC2">
            <w:pPr>
              <w:jc w:val="center"/>
            </w:pPr>
            <w:r>
              <w:t>OR, EP</w:t>
            </w:r>
          </w:p>
        </w:tc>
        <w:tc>
          <w:tcPr>
            <w:tcW w:w="6284" w:type="dxa"/>
          </w:tcPr>
          <w:p w14:paraId="708B626C" w14:textId="0D500CC0" w:rsidR="00805CD8" w:rsidRPr="009108C6" w:rsidRDefault="00FA6046" w:rsidP="0015493A">
            <w:pPr>
              <w:keepNext/>
              <w:rPr>
                <w:rFonts w:ascii="Calibri" w:hAnsi="Calibri" w:cs="Calibri"/>
                <w:kern w:val="0"/>
              </w:rPr>
            </w:pPr>
            <w:r>
              <w:t>Това е отговорност на Собственика/Лицензианта и/или други външни страни.</w:t>
            </w:r>
          </w:p>
        </w:tc>
      </w:tr>
      <w:tr w:rsidR="00313081" w14:paraId="5CE33AD6" w14:textId="77777777" w:rsidTr="00FA3D32">
        <w:tc>
          <w:tcPr>
            <w:tcW w:w="13675" w:type="dxa"/>
            <w:gridSpan w:val="4"/>
          </w:tcPr>
          <w:p w14:paraId="5231D5C8" w14:textId="29D183AC" w:rsidR="00313081" w:rsidRPr="00313081" w:rsidRDefault="00313081" w:rsidP="00313081">
            <w:pPr>
              <w:jc w:val="center"/>
              <w:rPr>
                <w:b/>
                <w:bCs/>
              </w:rPr>
            </w:pPr>
            <w:r>
              <w:rPr>
                <w:b/>
              </w:rPr>
              <w:t>Елементи на системата за управление, свързани със защитата и безопасността</w:t>
            </w:r>
          </w:p>
        </w:tc>
      </w:tr>
      <w:tr w:rsidR="00837BC2" w:rsidRPr="00837BC2" w14:paraId="4804E45F" w14:textId="77777777" w:rsidTr="001410E3">
        <w:tc>
          <w:tcPr>
            <w:tcW w:w="829" w:type="dxa"/>
          </w:tcPr>
          <w:p w14:paraId="63930443" w14:textId="58EF35C5" w:rsidR="00837BC2" w:rsidRDefault="00837BC2" w:rsidP="00837BC2">
            <w:r>
              <w:t>2.47.</w:t>
            </w:r>
          </w:p>
        </w:tc>
        <w:tc>
          <w:tcPr>
            <w:tcW w:w="4978" w:type="dxa"/>
          </w:tcPr>
          <w:p w14:paraId="1A1771E2" w14:textId="3A618715" w:rsidR="00837BC2" w:rsidRDefault="00837BC2" w:rsidP="00837BC2">
            <w:r>
              <w:t>Главните страни демонстрират ангажираност към защитата и безопасността на най-високите нива в организациите, за които отговарят.</w:t>
            </w:r>
          </w:p>
        </w:tc>
        <w:tc>
          <w:tcPr>
            <w:tcW w:w="1584" w:type="dxa"/>
          </w:tcPr>
          <w:p w14:paraId="1078A207" w14:textId="4925597F" w:rsidR="00837BC2" w:rsidRDefault="00DE5355" w:rsidP="00837BC2">
            <w:pPr>
              <w:jc w:val="center"/>
            </w:pPr>
            <w:r>
              <w:t>OR, EP</w:t>
            </w:r>
          </w:p>
        </w:tc>
        <w:tc>
          <w:tcPr>
            <w:tcW w:w="6284" w:type="dxa"/>
          </w:tcPr>
          <w:p w14:paraId="201E5DE5" w14:textId="080E4DE7" w:rsidR="003168AF" w:rsidRPr="003168AF" w:rsidRDefault="00FA6046" w:rsidP="0015493A">
            <w:pPr>
              <w:keepNext/>
              <w:rPr>
                <w:rFonts w:eastAsiaTheme="minorHAnsi" w:cstheme="minorBidi"/>
                <w:kern w:val="0"/>
              </w:rPr>
            </w:pPr>
            <w:r>
              <w:t>Това е отговорност на Собственика/Лицензианта и/или други външни страни.</w:t>
            </w:r>
          </w:p>
        </w:tc>
      </w:tr>
      <w:tr w:rsidR="00837BC2" w14:paraId="2A675111" w14:textId="77777777" w:rsidTr="001410E3">
        <w:tc>
          <w:tcPr>
            <w:tcW w:w="829" w:type="dxa"/>
          </w:tcPr>
          <w:p w14:paraId="6E36C560" w14:textId="6CF73E67" w:rsidR="00837BC2" w:rsidRDefault="00837BC2" w:rsidP="00837BC2">
            <w:r>
              <w:t>2.48.</w:t>
            </w:r>
          </w:p>
        </w:tc>
        <w:tc>
          <w:tcPr>
            <w:tcW w:w="4978" w:type="dxa"/>
          </w:tcPr>
          <w:p w14:paraId="463EED1C" w14:textId="63780F25" w:rsidR="00837BC2" w:rsidRPr="00D122B1" w:rsidRDefault="00837BC2" w:rsidP="00837BC2">
            <w:r>
              <w:t>Главните страни гарантират, че системата за управление</w:t>
            </w:r>
            <w:r>
              <w:rPr>
                <w:vertAlign w:val="superscript"/>
              </w:rPr>
              <w:t>15</w:t>
            </w:r>
            <w:r>
              <w:rPr>
                <w:sz w:val="14"/>
              </w:rPr>
              <w:t xml:space="preserve"> </w:t>
            </w:r>
            <w:r>
              <w:t>е проектирана и се прилага с цел повишаване на защитата и безопасността чрез:</w:t>
            </w:r>
            <w:r>
              <w:br/>
              <w:t>(а) прилагане на изискванията за защита и безопасност съгласувано с други изисквания, включително изискванията за експлоатационни характеристики, и съгласувано с ръководните принципи за сигурност;</w:t>
            </w:r>
            <w:r>
              <w:br/>
              <w:t>б) описване на планираните и систематични действия, необходими за осигуряване на достатъчна увереност, че изискванията за защита и безопасност се изпълняват;</w:t>
            </w:r>
            <w:r>
              <w:br/>
              <w:t>в) гарантиране, че защитата и безопасността не са компрометирани от други изисквания;</w:t>
            </w:r>
            <w:r>
              <w:br/>
              <w:t xml:space="preserve">г) осигуряване на редовна оценка на изпълнението на изискванията за защита и безопасност и прилагане на поуките, извлечени от </w:t>
            </w:r>
            <w:r>
              <w:lastRenderedPageBreak/>
              <w:t>опита;</w:t>
            </w:r>
            <w:r>
              <w:br/>
              <w:t>д) насърчаване на културата на безопасност.</w:t>
            </w:r>
          </w:p>
        </w:tc>
        <w:tc>
          <w:tcPr>
            <w:tcW w:w="1584" w:type="dxa"/>
          </w:tcPr>
          <w:p w14:paraId="771B211D" w14:textId="4B9C03DE" w:rsidR="00837BC2" w:rsidRDefault="00DE5355" w:rsidP="00502040">
            <w:pPr>
              <w:jc w:val="center"/>
            </w:pPr>
            <w:r>
              <w:lastRenderedPageBreak/>
              <w:t>OR, EP</w:t>
            </w:r>
          </w:p>
        </w:tc>
        <w:tc>
          <w:tcPr>
            <w:tcW w:w="6284" w:type="dxa"/>
          </w:tcPr>
          <w:p w14:paraId="66D23C7C" w14:textId="6718CB4B" w:rsidR="003168AF" w:rsidRPr="003168AF" w:rsidRDefault="00FA6046" w:rsidP="0015493A">
            <w:pPr>
              <w:keepNext/>
              <w:rPr>
                <w:rFonts w:eastAsiaTheme="minorHAnsi" w:cstheme="minorBidi"/>
                <w:kern w:val="0"/>
              </w:rPr>
            </w:pPr>
            <w:r>
              <w:t>Това е отговорност на Собственика/Лицензианта и/или други външни страни.</w:t>
            </w:r>
          </w:p>
        </w:tc>
      </w:tr>
      <w:tr w:rsidR="00D27590" w14:paraId="60A24A3C" w14:textId="77777777" w:rsidTr="001410E3">
        <w:tc>
          <w:tcPr>
            <w:tcW w:w="829" w:type="dxa"/>
          </w:tcPr>
          <w:p w14:paraId="589DC1DB" w14:textId="6F1D4EE7" w:rsidR="00D27590" w:rsidRDefault="00D27590" w:rsidP="00D27590">
            <w:r>
              <w:t>2.49.</w:t>
            </w:r>
          </w:p>
        </w:tc>
        <w:tc>
          <w:tcPr>
            <w:tcW w:w="4978" w:type="dxa"/>
          </w:tcPr>
          <w:p w14:paraId="7BAD6621" w14:textId="5A77B15E" w:rsidR="00D27590" w:rsidRPr="00D122B1" w:rsidRDefault="00D27590" w:rsidP="00D27590">
            <w:r>
              <w:t>Главните страни гарантират, че елементите на системата за управление, свързани със защитата и безопасността, са съизмерими със сложността на дейността и свързаните с нея радиационни рискове.</w:t>
            </w:r>
          </w:p>
        </w:tc>
        <w:tc>
          <w:tcPr>
            <w:tcW w:w="1584" w:type="dxa"/>
          </w:tcPr>
          <w:p w14:paraId="46340044" w14:textId="29593C86" w:rsidR="00D27590" w:rsidRDefault="00DE5355" w:rsidP="001338F0">
            <w:pPr>
              <w:jc w:val="center"/>
            </w:pPr>
            <w:r>
              <w:t>OR, EP</w:t>
            </w:r>
          </w:p>
        </w:tc>
        <w:tc>
          <w:tcPr>
            <w:tcW w:w="6284" w:type="dxa"/>
          </w:tcPr>
          <w:p w14:paraId="53FB0958" w14:textId="2534CC77" w:rsidR="00BA1958" w:rsidRPr="00BA1958" w:rsidRDefault="00FA6046" w:rsidP="00FA6046">
            <w:pPr>
              <w:keepNext/>
              <w:rPr>
                <w:rFonts w:eastAsiaTheme="minorHAnsi"/>
              </w:rPr>
            </w:pPr>
            <w:r>
              <w:t>Това е отговорност на Собственика/Лицензианта и/или други външни страни.</w:t>
            </w:r>
          </w:p>
        </w:tc>
      </w:tr>
      <w:tr w:rsidR="00D27590" w14:paraId="768D9ED0" w14:textId="77777777" w:rsidTr="001410E3">
        <w:trPr>
          <w:trHeight w:val="868"/>
        </w:trPr>
        <w:tc>
          <w:tcPr>
            <w:tcW w:w="829" w:type="dxa"/>
          </w:tcPr>
          <w:p w14:paraId="0D4E210B" w14:textId="4192331A" w:rsidR="00D27590" w:rsidRDefault="00D27590" w:rsidP="00D27590">
            <w:r>
              <w:t>2.50.</w:t>
            </w:r>
          </w:p>
        </w:tc>
        <w:tc>
          <w:tcPr>
            <w:tcW w:w="4978" w:type="dxa"/>
          </w:tcPr>
          <w:p w14:paraId="7CAFE55C" w14:textId="6421F0F3" w:rsidR="00D27590" w:rsidRPr="00D122B1" w:rsidRDefault="00D27590" w:rsidP="00D27590">
            <w:r>
              <w:t>Главните страни трябва да могат да демонстрират ефективното изпълнение на изискванията за защита и безопасност в системата за управление.</w:t>
            </w:r>
          </w:p>
        </w:tc>
        <w:tc>
          <w:tcPr>
            <w:tcW w:w="1584" w:type="dxa"/>
          </w:tcPr>
          <w:p w14:paraId="02FF03EB" w14:textId="3C9737F2" w:rsidR="00D27590" w:rsidRDefault="00DE5355" w:rsidP="00D27590">
            <w:pPr>
              <w:jc w:val="center"/>
            </w:pPr>
            <w:r>
              <w:t>OR, EP</w:t>
            </w:r>
          </w:p>
        </w:tc>
        <w:tc>
          <w:tcPr>
            <w:tcW w:w="6284" w:type="dxa"/>
          </w:tcPr>
          <w:p w14:paraId="0C460DD7" w14:textId="758D9F59" w:rsidR="00FA6046" w:rsidRPr="00D27590" w:rsidRDefault="00FA6046" w:rsidP="00FA6046">
            <w:pPr>
              <w:rPr>
                <w:rFonts w:eastAsiaTheme="minorHAnsi"/>
              </w:rPr>
            </w:pPr>
            <w:r>
              <w:t>Това е отговорност на Собственика/Лицензианта и/или други външни страни.</w:t>
            </w:r>
          </w:p>
        </w:tc>
      </w:tr>
      <w:tr w:rsidR="00D27590" w14:paraId="712B2EB8" w14:textId="77777777" w:rsidTr="00FA3D32">
        <w:tc>
          <w:tcPr>
            <w:tcW w:w="13675" w:type="dxa"/>
            <w:gridSpan w:val="4"/>
          </w:tcPr>
          <w:p w14:paraId="6FBAED36" w14:textId="5E946293" w:rsidR="00D27590" w:rsidRPr="00572C16" w:rsidRDefault="00D27590" w:rsidP="00D27590">
            <w:pPr>
              <w:jc w:val="center"/>
              <w:rPr>
                <w:b/>
                <w:bCs/>
                <w:szCs w:val="20"/>
              </w:rPr>
            </w:pPr>
            <w:r>
              <w:rPr>
                <w:b/>
              </w:rPr>
              <w:t>Култура на безопасност</w:t>
            </w:r>
          </w:p>
        </w:tc>
      </w:tr>
      <w:tr w:rsidR="00D27590" w14:paraId="34AD274B" w14:textId="77777777" w:rsidTr="001410E3">
        <w:tc>
          <w:tcPr>
            <w:tcW w:w="829" w:type="dxa"/>
          </w:tcPr>
          <w:p w14:paraId="21E730CB" w14:textId="77EDB236" w:rsidR="00D27590" w:rsidRDefault="00D27590" w:rsidP="00D27590">
            <w:r>
              <w:t>2.51.</w:t>
            </w:r>
          </w:p>
        </w:tc>
        <w:tc>
          <w:tcPr>
            <w:tcW w:w="4978" w:type="dxa"/>
          </w:tcPr>
          <w:p w14:paraId="3D47A9AC" w14:textId="1E7DD60E" w:rsidR="0022165A" w:rsidRDefault="00D27590" w:rsidP="00D27590">
            <w:r>
              <w:t>Главните страни насърчават и поддържат културата на безопасност чрез:</w:t>
            </w:r>
            <w:r>
              <w:br/>
              <w:t xml:space="preserve">(а) насърчаване на индивидуалната и колективната ангажираност към защитата и безопасността на всички нива в организацията; </w:t>
            </w:r>
            <w:r>
              <w:br/>
              <w:t xml:space="preserve">б) осигуряване на общо разбиране на ключовите аспекти на културата на безопасност в организацията; </w:t>
            </w:r>
            <w:r>
              <w:br/>
              <w:t xml:space="preserve">в) осигуряване на средства, чрез които организацията да подкрепя отделните лица и екипи при безопасното и успешно изпълнение на техните задачи, като се отчита взаимодействието между отделните лица, технологиите и организацията; </w:t>
            </w:r>
            <w:r>
              <w:br/>
              <w:t xml:space="preserve">г) насърчаване участието на работниците и техните представители, както и на други </w:t>
            </w:r>
            <w:r>
              <w:lastRenderedPageBreak/>
              <w:t xml:space="preserve">заинтересовани лица в разработването и прилагането на политики, правила и процедури, свързани със защитата и безопасността; </w:t>
            </w:r>
            <w:r>
              <w:br/>
              <w:t xml:space="preserve">(д) осигуряване на отчетност на организацията и отделните лица на всички равнища по отношение на защитата и безопасността; </w:t>
            </w:r>
            <w:r>
              <w:br/>
              <w:t xml:space="preserve">е) насърчаване на открита комуникация по отношение на защитата и безопасността в рамките на организацията и със съответните страни, когато е целесъобразно; </w:t>
            </w:r>
            <w:r>
              <w:br/>
              <w:t xml:space="preserve">ж) насърчаване на нагласата за задаване на въпроси и учене, както и възпиране на самодоволството по отношение на защитата и безопасността; </w:t>
            </w:r>
            <w:r>
              <w:br/>
              <w:t>з) осигуряване на средства, чрез които организацията непрекъснато да се стреми да развива и укрепва своята култура на безопасност.</w:t>
            </w:r>
          </w:p>
        </w:tc>
        <w:tc>
          <w:tcPr>
            <w:tcW w:w="1584" w:type="dxa"/>
          </w:tcPr>
          <w:p w14:paraId="014501BB" w14:textId="70C0ED21" w:rsidR="00D27590" w:rsidRDefault="00DE5355" w:rsidP="00D27590">
            <w:pPr>
              <w:jc w:val="center"/>
            </w:pPr>
            <w:r>
              <w:lastRenderedPageBreak/>
              <w:t>OR, EP</w:t>
            </w:r>
          </w:p>
        </w:tc>
        <w:tc>
          <w:tcPr>
            <w:tcW w:w="6284" w:type="dxa"/>
          </w:tcPr>
          <w:p w14:paraId="5DC6438D" w14:textId="6E4D89EE" w:rsidR="00D27590" w:rsidRDefault="00DE5355" w:rsidP="00D27590">
            <w:pPr>
              <w:rPr>
                <w:rFonts w:eastAsiaTheme="minorHAnsi" w:cstheme="minorBidi"/>
                <w:kern w:val="0"/>
              </w:rPr>
            </w:pPr>
            <w:r>
              <w:t>Това е отговорност на Собственика/Лицензианта и/или други външни страни.</w:t>
            </w:r>
          </w:p>
          <w:p w14:paraId="4F601908" w14:textId="7F80DF47" w:rsidR="00907088" w:rsidRPr="00BA1958" w:rsidRDefault="00907088" w:rsidP="00F16AC6">
            <w:r>
              <w:t xml:space="preserve">Компанията Уестингхаус насърчава културата на безопасност в цялата работна среда. В случая с AP1000, като пример, чрез изготвяне на документи като ДКП, който е пряко свързан с подобряването на безопасността. Цялата структура на компанията Уестингхаус се основава на лозунга “Безопасност преди всичко”. Уестингхаус насърчава културата на безопасност не само чрез политики и процедури, но и чрез разпространение на най-добрите практики в отрасъла, като например принципите на Института по </w:t>
            </w:r>
            <w:r w:rsidR="008F1E00">
              <w:t>ядрена енергетика</w:t>
            </w:r>
            <w:r>
              <w:t xml:space="preserve"> (</w:t>
            </w:r>
            <w:r w:rsidR="008F1E00">
              <w:rPr>
                <w:lang w:val="en-US"/>
              </w:rPr>
              <w:t>INPO</w:t>
            </w:r>
            <w:r>
              <w:t xml:space="preserve">) за силна култура на ядрена безопасност. </w:t>
            </w:r>
          </w:p>
        </w:tc>
      </w:tr>
      <w:tr w:rsidR="00D27590" w14:paraId="4249FEFD" w14:textId="77777777" w:rsidTr="00FA3D32">
        <w:tc>
          <w:tcPr>
            <w:tcW w:w="13675" w:type="dxa"/>
            <w:gridSpan w:val="4"/>
          </w:tcPr>
          <w:p w14:paraId="1B024CD3" w14:textId="461E706B" w:rsidR="00D27590" w:rsidRPr="00572C16" w:rsidRDefault="00D27590" w:rsidP="00D27590">
            <w:pPr>
              <w:jc w:val="center"/>
              <w:rPr>
                <w:b/>
                <w:bCs/>
              </w:rPr>
            </w:pPr>
            <w:r>
              <w:rPr>
                <w:b/>
              </w:rPr>
              <w:t>Човешки фактори</w:t>
            </w:r>
          </w:p>
        </w:tc>
      </w:tr>
      <w:tr w:rsidR="00D27590" w14:paraId="18EE855D" w14:textId="77777777" w:rsidTr="001410E3">
        <w:trPr>
          <w:trHeight w:val="410"/>
        </w:trPr>
        <w:tc>
          <w:tcPr>
            <w:tcW w:w="829" w:type="dxa"/>
          </w:tcPr>
          <w:p w14:paraId="71C92FF3" w14:textId="21074706" w:rsidR="00D27590" w:rsidRDefault="00D27590" w:rsidP="00D27590">
            <w:r>
              <w:t>2.52.</w:t>
            </w:r>
          </w:p>
        </w:tc>
        <w:tc>
          <w:tcPr>
            <w:tcW w:w="4978" w:type="dxa"/>
          </w:tcPr>
          <w:p w14:paraId="40CEB1EF" w14:textId="0E029D42" w:rsidR="00831B76" w:rsidRPr="00EB670A" w:rsidRDefault="00D27590" w:rsidP="00831B76">
            <w:pPr>
              <w:spacing w:after="0"/>
            </w:pPr>
            <w:r>
              <w:t xml:space="preserve">Главните страни и други страни, които имат определени отговорности във връзка със защитата и безопасността, според случая, вземат предвид човешките фактори и подкрепят доброто изпълнение и добрите практики за предотвратяване на човешки и организационни грешки, като гарантират, наред с другото: </w:t>
            </w:r>
            <w:r>
              <w:br/>
              <w:t xml:space="preserve">(а) използването на разумни ергономични принципи при проектирането на оборудването и разработването на работните процедури, така че да се улеснят безопасната експлоатация и </w:t>
            </w:r>
            <w:r>
              <w:lastRenderedPageBreak/>
              <w:t xml:space="preserve">използването на оборудването, да се сведе до минимум възможността операторски грешки да доведат до аварии и да се намали възможността признаци за нормални и </w:t>
            </w:r>
            <w:r w:rsidR="009B4E02">
              <w:t>нарушени</w:t>
            </w:r>
            <w:r>
              <w:t xml:space="preserve"> условия да бъдат изтълкувани погрешно;</w:t>
            </w:r>
            <w:r>
              <w:br/>
              <w:t xml:space="preserve"> </w:t>
            </w:r>
            <w:r>
              <w:br/>
              <w:t>(б) осигуряването на подходящо оборудване, системи за безопасност и процедурни изисквания, както и други необходими мерки за:</w:t>
            </w:r>
          </w:p>
          <w:p w14:paraId="06331976" w14:textId="5E5B4C51" w:rsidR="00C11ABA" w:rsidRPr="00EB670A" w:rsidRDefault="00D27590" w:rsidP="00784989">
            <w:pPr>
              <w:pStyle w:val="ListParagraph"/>
              <w:numPr>
                <w:ilvl w:val="0"/>
                <w:numId w:val="55"/>
              </w:numPr>
              <w:tabs>
                <w:tab w:val="clear" w:pos="1296"/>
              </w:tabs>
              <w:ind w:left="736" w:hanging="426"/>
            </w:pPr>
            <w:r>
              <w:t>намаляване, доколкото е възможно, на възможността човешки грешки или непреднамерени действия да доведат до аварии или други инциденти, водещи до облъчване на което и да е лице;</w:t>
            </w:r>
          </w:p>
          <w:p w14:paraId="425BA083" w14:textId="77777777" w:rsidR="00C11ABA" w:rsidRPr="00EB670A" w:rsidRDefault="00D27590" w:rsidP="00784989">
            <w:pPr>
              <w:pStyle w:val="ListParagraph"/>
              <w:numPr>
                <w:ilvl w:val="0"/>
                <w:numId w:val="55"/>
              </w:numPr>
              <w:ind w:left="736" w:hanging="426"/>
            </w:pPr>
            <w:r>
              <w:t xml:space="preserve">осигуряване на средства за откриване на човешки грешки и за тяхното коригиране или компенсиране; </w:t>
            </w:r>
          </w:p>
          <w:p w14:paraId="4E4176F6" w14:textId="268DC8E1" w:rsidR="00894DF1" w:rsidRPr="00EB670A" w:rsidRDefault="00D27590" w:rsidP="00784989">
            <w:pPr>
              <w:pStyle w:val="ListParagraph"/>
              <w:numPr>
                <w:ilvl w:val="0"/>
                <w:numId w:val="55"/>
              </w:numPr>
              <w:ind w:left="736" w:hanging="426"/>
            </w:pPr>
            <w:r>
              <w:t>улесняване на защитните действия и коригиращите действия в случай на откази на системи за безопасност или неизпълнение на мерки за защита и безопасност.</w:t>
            </w:r>
          </w:p>
        </w:tc>
        <w:tc>
          <w:tcPr>
            <w:tcW w:w="1584" w:type="dxa"/>
          </w:tcPr>
          <w:p w14:paraId="407D949B" w14:textId="3C4AD4A2" w:rsidR="00D27590" w:rsidRDefault="00DE5355" w:rsidP="00D27590">
            <w:pPr>
              <w:jc w:val="center"/>
            </w:pPr>
            <w:r>
              <w:lastRenderedPageBreak/>
              <w:t>OR</w:t>
            </w:r>
          </w:p>
        </w:tc>
        <w:tc>
          <w:tcPr>
            <w:tcW w:w="6284" w:type="dxa"/>
          </w:tcPr>
          <w:p w14:paraId="5942951D" w14:textId="4D58B71C" w:rsidR="00480A8F" w:rsidRDefault="00480A8F" w:rsidP="00D27590">
            <w:pPr>
              <w:rPr>
                <w:rFonts w:eastAsiaTheme="minorHAnsi" w:cstheme="minorBidi"/>
                <w:kern w:val="0"/>
              </w:rPr>
            </w:pPr>
            <w:r>
              <w:t>Това е отговорност на Собственика/Лицензианта и/или други външни страни.</w:t>
            </w:r>
          </w:p>
          <w:p w14:paraId="2CBAE4F6" w14:textId="442418C2" w:rsidR="00496A73" w:rsidRPr="00C10E43" w:rsidRDefault="00496A73" w:rsidP="00480A8F">
            <w:pPr>
              <w:rPr>
                <w:rFonts w:eastAsiaTheme="minorEastAsia" w:cstheme="minorBidi"/>
                <w:kern w:val="0"/>
              </w:rPr>
            </w:pPr>
            <w:r>
              <w:t>В Глава 18 на ДКП, изготвена за централата AP1000, са отчетени аспектите на човешките фактори в процеса на проектиране, за които компанията Уестингхаус носи отговорност.</w:t>
            </w:r>
          </w:p>
        </w:tc>
      </w:tr>
    </w:tbl>
    <w:p w14:paraId="2346EA6B" w14:textId="77777777" w:rsidR="0010545D" w:rsidRDefault="00121814" w:rsidP="005A14DB">
      <w:pPr>
        <w:pStyle w:val="Heading2"/>
        <w:spacing w:before="240" w:after="0"/>
      </w:pPr>
      <w:bookmarkStart w:id="33" w:name="_Toc155347782"/>
      <w:r>
        <w:t>Ситуации на планирано облъчване</w:t>
      </w:r>
      <w:bookmarkEnd w:id="33"/>
    </w:p>
    <w:p w14:paraId="5C9A0BDF" w14:textId="6798435A" w:rsidR="00747FF5" w:rsidRPr="00190D0E" w:rsidRDefault="00190D0E" w:rsidP="00190D0E">
      <w:pPr>
        <w:rPr>
          <w:b/>
          <w:bCs/>
          <w:sz w:val="24"/>
          <w:szCs w:val="24"/>
        </w:rPr>
      </w:pPr>
      <w:r>
        <w:rPr>
          <w:b/>
          <w:sz w:val="24"/>
        </w:rPr>
        <w:tab/>
        <w:t>Обхват</w:t>
      </w:r>
    </w:p>
    <w:tbl>
      <w:tblPr>
        <w:tblStyle w:val="TableGrid"/>
        <w:tblW w:w="13675" w:type="dxa"/>
        <w:tblLayout w:type="fixed"/>
        <w:tblLook w:val="04A0" w:firstRow="1" w:lastRow="0" w:firstColumn="1" w:lastColumn="0" w:noHBand="0" w:noVBand="1"/>
      </w:tblPr>
      <w:tblGrid>
        <w:gridCol w:w="801"/>
        <w:gridCol w:w="5006"/>
        <w:gridCol w:w="1568"/>
        <w:gridCol w:w="6300"/>
      </w:tblGrid>
      <w:tr w:rsidR="004D6431" w:rsidRPr="00F172DF" w14:paraId="0F12CC88" w14:textId="77777777" w:rsidTr="001410E3">
        <w:trPr>
          <w:tblHeader/>
        </w:trPr>
        <w:tc>
          <w:tcPr>
            <w:tcW w:w="801" w:type="dxa"/>
          </w:tcPr>
          <w:p w14:paraId="534BC917" w14:textId="77777777" w:rsidR="004D6431" w:rsidRPr="00F172DF" w:rsidRDefault="004D6431" w:rsidP="00B723E1">
            <w:pPr>
              <w:rPr>
                <w:b/>
                <w:bCs/>
              </w:rPr>
            </w:pPr>
          </w:p>
        </w:tc>
        <w:tc>
          <w:tcPr>
            <w:tcW w:w="5006" w:type="dxa"/>
          </w:tcPr>
          <w:p w14:paraId="1D6E553E" w14:textId="77777777" w:rsidR="004D6431" w:rsidRPr="00F172DF" w:rsidRDefault="004D6431" w:rsidP="00B723E1">
            <w:pPr>
              <w:rPr>
                <w:b/>
                <w:bCs/>
              </w:rPr>
            </w:pPr>
            <w:r>
              <w:rPr>
                <w:b/>
              </w:rPr>
              <w:t>Описание</w:t>
            </w:r>
          </w:p>
        </w:tc>
        <w:tc>
          <w:tcPr>
            <w:tcW w:w="1568" w:type="dxa"/>
          </w:tcPr>
          <w:p w14:paraId="2CC8F5DB" w14:textId="77777777" w:rsidR="004D6431" w:rsidRPr="00F172DF" w:rsidRDefault="004D6431" w:rsidP="00B723E1">
            <w:pPr>
              <w:rPr>
                <w:b/>
                <w:bCs/>
              </w:rPr>
            </w:pPr>
            <w:r>
              <w:rPr>
                <w:b/>
              </w:rPr>
              <w:t>Съответствие</w:t>
            </w:r>
          </w:p>
        </w:tc>
        <w:tc>
          <w:tcPr>
            <w:tcW w:w="6300" w:type="dxa"/>
          </w:tcPr>
          <w:p w14:paraId="348C8D3A" w14:textId="77777777" w:rsidR="004D6431" w:rsidRPr="00F172DF" w:rsidRDefault="004D6431" w:rsidP="00B723E1">
            <w:pPr>
              <w:rPr>
                <w:b/>
                <w:bCs/>
              </w:rPr>
            </w:pPr>
            <w:r>
              <w:rPr>
                <w:b/>
              </w:rPr>
              <w:t>Обосновка</w:t>
            </w:r>
          </w:p>
        </w:tc>
      </w:tr>
      <w:tr w:rsidR="004D6431" w14:paraId="5E79D4AD" w14:textId="77777777" w:rsidTr="001410E3">
        <w:tc>
          <w:tcPr>
            <w:tcW w:w="801" w:type="dxa"/>
          </w:tcPr>
          <w:p w14:paraId="2AEC1E78" w14:textId="7EC964B8" w:rsidR="004D6431" w:rsidRDefault="00121814" w:rsidP="00B723E1">
            <w:r>
              <w:t>3.1.</w:t>
            </w:r>
          </w:p>
        </w:tc>
        <w:tc>
          <w:tcPr>
            <w:tcW w:w="5006" w:type="dxa"/>
          </w:tcPr>
          <w:p w14:paraId="3F59BE5B" w14:textId="1557A733" w:rsidR="00EA0AB2" w:rsidRPr="00805CD8" w:rsidRDefault="00121814" w:rsidP="00121814">
            <w:r>
              <w:t xml:space="preserve">Изискванията за ситуации на планирано облъчване се прилагат за следните видове </w:t>
            </w:r>
            <w:r>
              <w:lastRenderedPageBreak/>
              <w:t>практическа дейност:</w:t>
            </w:r>
            <w:r>
              <w:br/>
              <w:t>(а) производство, доставка, осигуряване и транспортиране на радиоактивни материали и устройства, които съдържат радиоактивни материали, включително закрити и открити източници, както и потребителски продукти;</w:t>
            </w:r>
            <w:r>
              <w:br/>
              <w:t xml:space="preserve">(б) производство и доставка на устройства, които генерират </w:t>
            </w:r>
            <w:r w:rsidR="00EC7150">
              <w:t>йонизиращи лъчения</w:t>
            </w:r>
            <w:r>
              <w:t>, включително линейни ускорители, циклотрони, както и стационарно и мобилно радиографско оборудване;</w:t>
            </w:r>
            <w:r>
              <w:br/>
              <w:t>(в) производство на ядрена енергия, включително всички дейности в рамките на ядрения горивен цикъл, които включват или биха могли да включват излагане на радиация или облъчване, дължащо се на радиоактивен материал;</w:t>
            </w:r>
            <w:r>
              <w:br/>
              <w:t>(г) използване на радиация или радиоактивни материали за медицински, промишлени, ветеринарни, селскостопански, юридически цели или за целите на сигурността, включително използване на свързано оборудване, софтуер или устройства, когато това използване би могло да повлияе на радиационното облъчване;</w:t>
            </w:r>
            <w:r>
              <w:br/>
              <w:t>д) използване на радиация или радиоактивни материали за цели на образованието, обучението или за научноизследователски цели, включително всякакви дейности, свързани с това използване, които включват или биха могли да включват облъчване в резултат на въздействие на радиация или облъчване, дължащо се на радиоактивен материал;</w:t>
            </w:r>
            <w:r>
              <w:br/>
            </w:r>
            <w:r>
              <w:lastRenderedPageBreak/>
              <w:t>е) добив и преработка на суровини, свързани с облъчване, дължащо се на радиоактивен материал;</w:t>
            </w:r>
            <w:r>
              <w:br/>
              <w:t>ж) всяка друга практическа дейност, определена от регулаторния орган.</w:t>
            </w:r>
          </w:p>
        </w:tc>
        <w:tc>
          <w:tcPr>
            <w:tcW w:w="1568" w:type="dxa"/>
          </w:tcPr>
          <w:p w14:paraId="70E87DF3" w14:textId="3D76AD7F" w:rsidR="004D6431" w:rsidRDefault="002149C5" w:rsidP="00D27590">
            <w:pPr>
              <w:jc w:val="center"/>
            </w:pPr>
            <w:r>
              <w:lastRenderedPageBreak/>
              <w:t>NR</w:t>
            </w:r>
          </w:p>
        </w:tc>
        <w:tc>
          <w:tcPr>
            <w:tcW w:w="6300" w:type="dxa"/>
          </w:tcPr>
          <w:p w14:paraId="2234CBC4" w14:textId="7AC557AB" w:rsidR="004D6431" w:rsidRDefault="00973942" w:rsidP="00F77494">
            <w:r>
              <w:t>Това е пояснение, а не изискване.</w:t>
            </w:r>
          </w:p>
        </w:tc>
      </w:tr>
      <w:tr w:rsidR="00236F49" w14:paraId="27A57D61" w14:textId="77777777" w:rsidTr="001410E3">
        <w:trPr>
          <w:trHeight w:val="593"/>
        </w:trPr>
        <w:tc>
          <w:tcPr>
            <w:tcW w:w="801" w:type="dxa"/>
          </w:tcPr>
          <w:p w14:paraId="18949D66" w14:textId="6FE488F6" w:rsidR="00236F49" w:rsidRDefault="00121814" w:rsidP="00B723E1">
            <w:r>
              <w:lastRenderedPageBreak/>
              <w:t>3.2.</w:t>
            </w:r>
          </w:p>
        </w:tc>
        <w:tc>
          <w:tcPr>
            <w:tcW w:w="5006" w:type="dxa"/>
          </w:tcPr>
          <w:p w14:paraId="1867139F" w14:textId="0864661E" w:rsidR="00FD2C7B" w:rsidRPr="00805CD8" w:rsidRDefault="00121814" w:rsidP="00121814">
            <w:r>
              <w:t>Изискванията за ситуации на планирано облъчване се прилагат за облъчване, дължащо се на източници в рамките на практическа дейност</w:t>
            </w:r>
            <w:r>
              <w:rPr>
                <w:vertAlign w:val="superscript"/>
              </w:rPr>
              <w:t>16</w:t>
            </w:r>
            <w:r>
              <w:t>:</w:t>
            </w:r>
            <w:r>
              <w:br/>
              <w:t xml:space="preserve">(а) съоръжения, които съдържат радиоактивни материали, и съоръжения, които съдържат генератори на </w:t>
            </w:r>
            <w:r w:rsidR="00EC7150">
              <w:t>йонизиращи лъчения</w:t>
            </w:r>
            <w:r>
              <w:t>, включително ядрени инсталации, медицински радиационни инсталации, ветеринарни радиационни инсталации, съоръжения за управление на радиоактивни отпадъци, инсталации за преработка на радиоактивни материали, съоръжения за облъчване и съоръжения за добив и преработка на минерали, които включват или биха могли да включват облъчване в резултат на въздействие на излъчване или от радиоактивен материал;</w:t>
            </w:r>
            <w:r>
              <w:br/>
              <w:t xml:space="preserve">(б) индивидуални източници на </w:t>
            </w:r>
            <w:r w:rsidR="00B76224">
              <w:t>йонизиращи лъчения</w:t>
            </w:r>
            <w:r>
              <w:t>, включително източници в рамките на видовете съоръжения, посочени в т. 3.2 (а), в зависимост от обстоятелствата, в съответствие с изискванията на регулаторния орган.</w:t>
            </w:r>
          </w:p>
        </w:tc>
        <w:tc>
          <w:tcPr>
            <w:tcW w:w="1568" w:type="dxa"/>
          </w:tcPr>
          <w:p w14:paraId="45686BC4" w14:textId="6F7C4F06" w:rsidR="00236F49" w:rsidRDefault="000B49B9" w:rsidP="00D27590">
            <w:pPr>
              <w:jc w:val="center"/>
            </w:pPr>
            <w:r>
              <w:t>NR</w:t>
            </w:r>
          </w:p>
        </w:tc>
        <w:tc>
          <w:tcPr>
            <w:tcW w:w="6300" w:type="dxa"/>
          </w:tcPr>
          <w:p w14:paraId="51FB1019" w14:textId="4E73D4B7" w:rsidR="00BC142E" w:rsidRDefault="006F1D4C" w:rsidP="00B723E1">
            <w:r>
              <w:t>Това е пояснение, а не изискване.</w:t>
            </w:r>
          </w:p>
        </w:tc>
      </w:tr>
      <w:tr w:rsidR="00236F49" w14:paraId="0009B272" w14:textId="77777777" w:rsidTr="001410E3">
        <w:tc>
          <w:tcPr>
            <w:tcW w:w="801" w:type="dxa"/>
          </w:tcPr>
          <w:p w14:paraId="7693A287" w14:textId="2BACBDAF" w:rsidR="00236F49" w:rsidRDefault="00956502" w:rsidP="00B723E1">
            <w:r>
              <w:t>3.3.</w:t>
            </w:r>
          </w:p>
        </w:tc>
        <w:tc>
          <w:tcPr>
            <w:tcW w:w="5006" w:type="dxa"/>
          </w:tcPr>
          <w:p w14:paraId="18CF1B78" w14:textId="50CA4009" w:rsidR="00236F49" w:rsidRPr="00805CD8" w:rsidRDefault="00956502" w:rsidP="00956502">
            <w:r>
              <w:t xml:space="preserve">Изискванията за ситуации на планирано облъчване се прилагат за всяко професионално облъчване, медицинско облъчване или облъчване </w:t>
            </w:r>
            <w:r>
              <w:lastRenderedPageBreak/>
              <w:t>на населението, дължащо се на всякаква практическа дейност или източник в рамките на практическа дейност, както е посочено в т. 3.1 и 3.2.</w:t>
            </w:r>
          </w:p>
        </w:tc>
        <w:tc>
          <w:tcPr>
            <w:tcW w:w="1568" w:type="dxa"/>
          </w:tcPr>
          <w:p w14:paraId="5C5D78F9" w14:textId="36571E98" w:rsidR="00236F49" w:rsidRDefault="000B49B9" w:rsidP="00D27590">
            <w:pPr>
              <w:jc w:val="center"/>
            </w:pPr>
            <w:r>
              <w:lastRenderedPageBreak/>
              <w:t>NR</w:t>
            </w:r>
          </w:p>
        </w:tc>
        <w:tc>
          <w:tcPr>
            <w:tcW w:w="6300" w:type="dxa"/>
          </w:tcPr>
          <w:p w14:paraId="08F6D302" w14:textId="0BC9C4ED" w:rsidR="00137B75" w:rsidRDefault="006F1D4C" w:rsidP="00956502">
            <w:r>
              <w:t>Това е пояснение, а не изискване.</w:t>
            </w:r>
          </w:p>
        </w:tc>
      </w:tr>
      <w:tr w:rsidR="00236F49" w14:paraId="688DE3CD" w14:textId="77777777" w:rsidTr="001410E3">
        <w:tc>
          <w:tcPr>
            <w:tcW w:w="801" w:type="dxa"/>
          </w:tcPr>
          <w:p w14:paraId="43F94EB8" w14:textId="47352081" w:rsidR="00236F49" w:rsidRDefault="000976AC" w:rsidP="00B723E1">
            <w:r>
              <w:t>3.4.</w:t>
            </w:r>
          </w:p>
        </w:tc>
        <w:tc>
          <w:tcPr>
            <w:tcW w:w="5006" w:type="dxa"/>
          </w:tcPr>
          <w:p w14:paraId="4E4DB1F9" w14:textId="701C35F9" w:rsidR="00207042" w:rsidRPr="00805CD8" w:rsidRDefault="00956502" w:rsidP="001703BD">
            <w:r>
              <w:t xml:space="preserve">Облъчване, дължащо се на природни (естествени) източници, по принцип се смята за ситуация на съществуващо облъчване и е предмет на изискванията в Раздел 5. Съответните изисквания в Раздел 3 за ситуации на планирано облъчване, обаче, се прилагат за: </w:t>
            </w:r>
            <w:r>
              <w:br/>
              <w:t>(а) облъчване от материал</w:t>
            </w:r>
            <w:r>
              <w:rPr>
                <w:vertAlign w:val="superscript"/>
              </w:rPr>
              <w:t>17</w:t>
            </w:r>
            <w:r>
              <w:t xml:space="preserve"> при осъществяване на всякаква практическа дейност, определена в т. 3.1, ако в този материал концентрацията на активност на който и да е радионуклид от веригата на разпадане на урана или тория превишава 1 Bq/g или концентрацията на активност на </w:t>
            </w:r>
            <w:r>
              <w:rPr>
                <w:vertAlign w:val="superscript"/>
              </w:rPr>
              <w:t>40</w:t>
            </w:r>
            <w:r>
              <w:t>K превишава 10 Bq/g;</w:t>
            </w:r>
            <w:r>
              <w:br/>
              <w:t>б) облъчване на населението, обусловено от изхвърляния или възникнало в резултат на управление на радиоактивни отпадъци, образувани при осъществяване на практическа дейност с материал, както е посочено в буква а) по-горе;</w:t>
            </w:r>
            <w:r>
              <w:br/>
              <w:t xml:space="preserve">(в) облъчване, дължащо се на </w:t>
            </w:r>
            <w:r>
              <w:rPr>
                <w:vertAlign w:val="superscript"/>
              </w:rPr>
              <w:t>222</w:t>
            </w:r>
            <w:r>
              <w:t xml:space="preserve">Rn и негови </w:t>
            </w:r>
            <w:r w:rsidR="003D0813">
              <w:t>производни</w:t>
            </w:r>
            <w:r>
              <w:t xml:space="preserve"> продукти и на </w:t>
            </w:r>
            <w:r>
              <w:rPr>
                <w:vertAlign w:val="superscript"/>
              </w:rPr>
              <w:t>220</w:t>
            </w:r>
            <w:r>
              <w:t xml:space="preserve">Rn и негови </w:t>
            </w:r>
            <w:r w:rsidR="003D0813">
              <w:t>производни</w:t>
            </w:r>
            <w:r>
              <w:t xml:space="preserve"> продукти на работни места, където професионалното облъчване, дължащо се на други радионуклиди от веригата на разпадане на урана или на тория, се контролира като ситуация на планирано облъчване;</w:t>
            </w:r>
            <w:r>
              <w:br/>
            </w:r>
            <w:r>
              <w:lastRenderedPageBreak/>
              <w:t xml:space="preserve">г) облъчване, дължащо се на </w:t>
            </w:r>
            <w:r>
              <w:rPr>
                <w:vertAlign w:val="superscript"/>
              </w:rPr>
              <w:t>222</w:t>
            </w:r>
            <w:r>
              <w:t xml:space="preserve">Rn и </w:t>
            </w:r>
            <w:r w:rsidR="007643C5">
              <w:t>производни</w:t>
            </w:r>
            <w:r>
              <w:t xml:space="preserve"> продукти на </w:t>
            </w:r>
            <w:r>
              <w:rPr>
                <w:vertAlign w:val="superscript"/>
              </w:rPr>
              <w:t>222</w:t>
            </w:r>
            <w:r>
              <w:t xml:space="preserve">Rn, когато средногодишната концентрация на активност на </w:t>
            </w:r>
            <w:r>
              <w:rPr>
                <w:vertAlign w:val="superscript"/>
              </w:rPr>
              <w:t>222</w:t>
            </w:r>
            <w:r>
              <w:t>Rn във въздуха на работните места остава над референтното ниво, установено в съответствие с т. 5.27 след изпълнението на изискването в т. 5.28.</w:t>
            </w:r>
          </w:p>
        </w:tc>
        <w:tc>
          <w:tcPr>
            <w:tcW w:w="1568" w:type="dxa"/>
          </w:tcPr>
          <w:p w14:paraId="15B18217" w14:textId="2EE12EEF" w:rsidR="00236F49" w:rsidRDefault="000B49B9" w:rsidP="00D27590">
            <w:pPr>
              <w:jc w:val="center"/>
            </w:pPr>
            <w:r>
              <w:lastRenderedPageBreak/>
              <w:t>NR</w:t>
            </w:r>
          </w:p>
        </w:tc>
        <w:tc>
          <w:tcPr>
            <w:tcW w:w="6300" w:type="dxa"/>
          </w:tcPr>
          <w:p w14:paraId="55D85DA8" w14:textId="61131F3B" w:rsidR="004D4B04" w:rsidRDefault="006F1D4C" w:rsidP="00B723E1">
            <w:r>
              <w:t>Това е пояснение, а не изискване.</w:t>
            </w:r>
          </w:p>
        </w:tc>
      </w:tr>
      <w:tr w:rsidR="00A33829" w14:paraId="2C1261BE" w14:textId="77777777" w:rsidTr="00FA3D32">
        <w:tc>
          <w:tcPr>
            <w:tcW w:w="13675" w:type="dxa"/>
            <w:gridSpan w:val="4"/>
          </w:tcPr>
          <w:p w14:paraId="1A5AE510" w14:textId="7D8B4692" w:rsidR="00A33829" w:rsidRPr="006F1D4C" w:rsidRDefault="00A33829" w:rsidP="00A33829">
            <w:pPr>
              <w:jc w:val="center"/>
            </w:pPr>
            <w:r>
              <w:t>ОБЩИ ИЗИСКВАНИЯ</w:t>
            </w:r>
          </w:p>
        </w:tc>
      </w:tr>
      <w:tr w:rsidR="00236F49" w14:paraId="7020AF91" w14:textId="77777777" w:rsidTr="001410E3">
        <w:tc>
          <w:tcPr>
            <w:tcW w:w="801" w:type="dxa"/>
          </w:tcPr>
          <w:p w14:paraId="26690D49" w14:textId="587D2E83" w:rsidR="00236F49" w:rsidRDefault="001703BD" w:rsidP="00B723E1">
            <w:r>
              <w:t>3.5.</w:t>
            </w:r>
          </w:p>
        </w:tc>
        <w:tc>
          <w:tcPr>
            <w:tcW w:w="5006" w:type="dxa"/>
          </w:tcPr>
          <w:p w14:paraId="272F6CE2" w14:textId="13F568E8" w:rsidR="00937B4A" w:rsidRPr="00C9152E" w:rsidRDefault="001703BD" w:rsidP="001703BD">
            <w:r>
              <w:t>Никое лице или организация не може да приема, въвежда, провежда, преустановява или прекратява практическа дейност или, според случая, да добива, извлича, обработва, проектира, произвежда, конструира, сглобява, инсталира, придобива, внася, изнася, доставя, предоставя, разпространява, заема, наема, получава, разполага, локализира, въвежда в експлоатация, притежава, използва, експлоатира, поддържа, ремонтира, прехвърля, извежда от експлоатация, демонтира, транспортира, съхранява или изхвърля източник в рамките на практическа дейност, освен в съответствие с изискванията на настоящите стандарти.</w:t>
            </w:r>
          </w:p>
        </w:tc>
        <w:tc>
          <w:tcPr>
            <w:tcW w:w="1568" w:type="dxa"/>
          </w:tcPr>
          <w:p w14:paraId="6170D8E4" w14:textId="7F2992D2" w:rsidR="00236F49" w:rsidRDefault="00973942" w:rsidP="00D27590">
            <w:pPr>
              <w:jc w:val="center"/>
            </w:pPr>
            <w:r>
              <w:t>NR</w:t>
            </w:r>
          </w:p>
        </w:tc>
        <w:tc>
          <w:tcPr>
            <w:tcW w:w="6300" w:type="dxa"/>
          </w:tcPr>
          <w:p w14:paraId="413D84E9" w14:textId="66DF3EA6" w:rsidR="002E207C" w:rsidRPr="005623BA" w:rsidRDefault="00122AEE" w:rsidP="00B723E1">
            <w:pPr>
              <w:rPr>
                <w:rFonts w:eastAsiaTheme="minorHAnsi" w:cstheme="minorBidi"/>
                <w:kern w:val="0"/>
              </w:rPr>
            </w:pPr>
            <w:r>
              <w:t>Това е пояснение, а не изискване.</w:t>
            </w:r>
          </w:p>
        </w:tc>
      </w:tr>
    </w:tbl>
    <w:p w14:paraId="1BBC60CD" w14:textId="3168599F" w:rsidR="00C84AF4" w:rsidRPr="00A33829" w:rsidRDefault="00A33829" w:rsidP="00655A19">
      <w:pPr>
        <w:pStyle w:val="Heading3"/>
        <w:spacing w:before="240"/>
        <w:rPr>
          <w:caps/>
        </w:rPr>
      </w:pPr>
      <w:bookmarkStart w:id="34" w:name="_Toc155347783"/>
      <w:r>
        <w:t>Изискване 6: Диференциран подход</w:t>
      </w:r>
      <w:bookmarkEnd w:id="34"/>
    </w:p>
    <w:tbl>
      <w:tblPr>
        <w:tblStyle w:val="TableGrid"/>
        <w:tblW w:w="13495" w:type="dxa"/>
        <w:tblLayout w:type="fixed"/>
        <w:tblLook w:val="04A0" w:firstRow="1" w:lastRow="0" w:firstColumn="1" w:lastColumn="0" w:noHBand="0" w:noVBand="1"/>
      </w:tblPr>
      <w:tblGrid>
        <w:gridCol w:w="797"/>
        <w:gridCol w:w="5010"/>
        <w:gridCol w:w="1542"/>
        <w:gridCol w:w="6146"/>
      </w:tblGrid>
      <w:tr w:rsidR="007C7B15" w:rsidRPr="00F172DF" w14:paraId="7AE91D5E" w14:textId="77777777" w:rsidTr="001410E3">
        <w:trPr>
          <w:tblHeader/>
        </w:trPr>
        <w:tc>
          <w:tcPr>
            <w:tcW w:w="797" w:type="dxa"/>
          </w:tcPr>
          <w:p w14:paraId="3EE41E8B" w14:textId="77777777" w:rsidR="007C7B15" w:rsidRPr="00F172DF" w:rsidRDefault="007C7B15" w:rsidP="00B723E1">
            <w:pPr>
              <w:rPr>
                <w:b/>
                <w:bCs/>
              </w:rPr>
            </w:pPr>
            <w:bookmarkStart w:id="35" w:name="_Hlk98256594"/>
          </w:p>
        </w:tc>
        <w:tc>
          <w:tcPr>
            <w:tcW w:w="5010" w:type="dxa"/>
          </w:tcPr>
          <w:p w14:paraId="50748127" w14:textId="77777777" w:rsidR="007C7B15" w:rsidRPr="00F172DF" w:rsidRDefault="007C7B15" w:rsidP="00B723E1">
            <w:pPr>
              <w:rPr>
                <w:b/>
                <w:bCs/>
              </w:rPr>
            </w:pPr>
            <w:r>
              <w:rPr>
                <w:b/>
              </w:rPr>
              <w:t>Описание</w:t>
            </w:r>
          </w:p>
        </w:tc>
        <w:tc>
          <w:tcPr>
            <w:tcW w:w="1542" w:type="dxa"/>
          </w:tcPr>
          <w:p w14:paraId="208B9A06" w14:textId="77777777" w:rsidR="007C7B15" w:rsidRPr="00F172DF" w:rsidRDefault="007C7B15" w:rsidP="00B723E1">
            <w:pPr>
              <w:rPr>
                <w:b/>
                <w:bCs/>
              </w:rPr>
            </w:pPr>
            <w:r>
              <w:rPr>
                <w:b/>
              </w:rPr>
              <w:t>Съответствие</w:t>
            </w:r>
          </w:p>
        </w:tc>
        <w:tc>
          <w:tcPr>
            <w:tcW w:w="6146" w:type="dxa"/>
          </w:tcPr>
          <w:p w14:paraId="26A09E64" w14:textId="77777777" w:rsidR="007C7B15" w:rsidRPr="00F172DF" w:rsidRDefault="007C7B15" w:rsidP="00B723E1">
            <w:pPr>
              <w:rPr>
                <w:b/>
                <w:bCs/>
              </w:rPr>
            </w:pPr>
            <w:r>
              <w:rPr>
                <w:b/>
              </w:rPr>
              <w:t>Обосновка</w:t>
            </w:r>
          </w:p>
        </w:tc>
      </w:tr>
      <w:tr w:rsidR="00A60A9B" w14:paraId="275F0572" w14:textId="77777777" w:rsidTr="001410E3">
        <w:tc>
          <w:tcPr>
            <w:tcW w:w="797" w:type="dxa"/>
          </w:tcPr>
          <w:p w14:paraId="43AC1CF9" w14:textId="62850BEF" w:rsidR="00A60A9B" w:rsidRDefault="00A60A9B" w:rsidP="00A60A9B"/>
        </w:tc>
        <w:tc>
          <w:tcPr>
            <w:tcW w:w="5010" w:type="dxa"/>
          </w:tcPr>
          <w:p w14:paraId="3CE0600A" w14:textId="7B4ABEE7" w:rsidR="00A60A9B" w:rsidRPr="00AE75D1" w:rsidRDefault="00A60A9B" w:rsidP="00A60A9B">
            <w:pPr>
              <w:rPr>
                <w:b/>
                <w:bCs/>
              </w:rPr>
            </w:pPr>
            <w:r>
              <w:rPr>
                <w:b/>
              </w:rPr>
              <w:t xml:space="preserve">Прилагането на изискванията на настоящите стандарти в ситуации на планирано облъчване </w:t>
            </w:r>
            <w:r>
              <w:rPr>
                <w:b/>
              </w:rPr>
              <w:lastRenderedPageBreak/>
              <w:t>трябва да бъде съобразено с характеристиките на практическата дейност или източника в рамките на практическата дейност, както и с вероятността и големината на облъчването.</w:t>
            </w:r>
          </w:p>
        </w:tc>
        <w:tc>
          <w:tcPr>
            <w:tcW w:w="1542" w:type="dxa"/>
          </w:tcPr>
          <w:p w14:paraId="06D12279" w14:textId="3C659AA0" w:rsidR="00A60A9B" w:rsidRDefault="00B16EB5" w:rsidP="00A60A9B">
            <w:pPr>
              <w:jc w:val="center"/>
            </w:pPr>
            <w:r>
              <w:lastRenderedPageBreak/>
              <w:t>COM, OR, EP</w:t>
            </w:r>
          </w:p>
        </w:tc>
        <w:tc>
          <w:tcPr>
            <w:tcW w:w="6146" w:type="dxa"/>
          </w:tcPr>
          <w:p w14:paraId="54CFB748" w14:textId="1EA2B34C" w:rsidR="00A60A9B" w:rsidRDefault="00A60A9B" w:rsidP="00A60A9B">
            <w:pPr>
              <w:rPr>
                <w:rFonts w:eastAsiaTheme="minorEastAsia" w:cstheme="minorBidi"/>
                <w:kern w:val="0"/>
              </w:rPr>
            </w:pPr>
            <w:r>
              <w:t xml:space="preserve">При проектирането на AP1000 се спазва принципът за оптимизация на радиационната защита. Проектът е в </w:t>
            </w:r>
            <w:r>
              <w:lastRenderedPageBreak/>
              <w:t xml:space="preserve">съответствие с 10 CFR 20 и Регулаторните ръководства 1.8, 8.8 и 8.10. Тези ръководни принципи очертават практиките “толкова по-ниско, колкото е разумно постижимо” (ALARA) за </w:t>
            </w:r>
            <w:r w:rsidR="0031324D">
              <w:t>ядрените</w:t>
            </w:r>
            <w:r>
              <w:t xml:space="preserve"> електроцентрали. Политиката ALARA се прилага за свеждане до минимум на радиационните въздействия върху персонала и населението. Проектът се преглежда по съображенията за ALARA и се актуализира с прилагане на опита от работещи централи. Прегледите по ALARA включват проектирането на централата и интегрираната планировка, като се вземат предвид проектите за екранирането, ОВиК и </w:t>
            </w:r>
            <w:r w:rsidR="0031324D">
              <w:t>средствата за наблюдение</w:t>
            </w:r>
            <w:r>
              <w:t xml:space="preserve"> свързани с контрола на трафика, сигурността, контрола на достъпа и </w:t>
            </w:r>
            <w:r w:rsidR="0031324D">
              <w:t>радиационната защита</w:t>
            </w:r>
            <w:r>
              <w:t xml:space="preserve"> (дозиметрията). В Глава 12 на ДКП се обсъжда допълнително прилагането на принципите на ALARA при проектирането на централата AP1000 и се потвърждава, че радиационната защита и безопасност са оптимизирани чрез следване на политиката ALARA. Също така, Глава 11 на ДКП хвърля светлина върху радиационния контрол и отпадъчните </w:t>
            </w:r>
            <w:r w:rsidR="00922AC9">
              <w:t>радиоактивни води</w:t>
            </w:r>
            <w:r>
              <w:t xml:space="preserve">, а Глава 13 на ДКП предоставя информация за </w:t>
            </w:r>
            <w:r w:rsidR="0031324D">
              <w:t>процеса</w:t>
            </w:r>
            <w:r>
              <w:t xml:space="preserve"> на експлоатацията, в която се описва експлоатацията при нормални, </w:t>
            </w:r>
            <w:r w:rsidR="0031324D">
              <w:t>нарушени</w:t>
            </w:r>
            <w:r>
              <w:t xml:space="preserve"> и аварийни условия.</w:t>
            </w:r>
          </w:p>
          <w:p w14:paraId="702C5E4A" w14:textId="7D602B4D" w:rsidR="00A645F3" w:rsidRPr="00A645F3" w:rsidRDefault="00A60A9B" w:rsidP="00A60A9B">
            <w:pPr>
              <w:rPr>
                <w:rFonts w:ascii="Calibri" w:hAnsi="Calibri" w:cs="Calibri"/>
                <w:kern w:val="0"/>
              </w:rPr>
            </w:pPr>
            <w:r>
              <w:rPr>
                <w:rFonts w:ascii="Calibri" w:hAnsi="Calibri"/>
              </w:rPr>
              <w:t xml:space="preserve">Компанията Уестингхаус е провела разработването на проекта на AP1000 в рамките на своята призната система за управление на качеството (СУК) и е поела основната отговорност за безопасността по време на разработването на проекта. Основната цел на проекта AP1000 е да се постигне много нисък риск от увреждане на </w:t>
            </w:r>
            <w:r w:rsidR="0031324D">
              <w:rPr>
                <w:rFonts w:ascii="Calibri" w:hAnsi="Calibri"/>
              </w:rPr>
              <w:t>населението</w:t>
            </w:r>
            <w:r>
              <w:rPr>
                <w:rFonts w:ascii="Calibri" w:hAnsi="Calibri"/>
              </w:rPr>
              <w:t xml:space="preserve"> и околната среда. Проектът на AP1000 включва мерки за намаляване на риска за </w:t>
            </w:r>
            <w:r w:rsidR="0031324D">
              <w:rPr>
                <w:rFonts w:ascii="Calibri" w:hAnsi="Calibri"/>
              </w:rPr>
              <w:t>населението</w:t>
            </w:r>
            <w:r>
              <w:rPr>
                <w:rFonts w:ascii="Calibri" w:hAnsi="Calibri"/>
              </w:rPr>
              <w:t xml:space="preserve"> и околната среда по време на отделните етапи от жизнения цикъл на централата. Тези мерки са </w:t>
            </w:r>
            <w:r>
              <w:rPr>
                <w:rFonts w:ascii="Calibri" w:hAnsi="Calibri"/>
              </w:rPr>
              <w:lastRenderedPageBreak/>
              <w:t xml:space="preserve">обсъдени в ДКП. </w:t>
            </w:r>
            <w:r>
              <w:t xml:space="preserve">Централата AP1000 е проектирана в съответствие с политиката ALARA, което гарантира радиационна защита по време на </w:t>
            </w:r>
            <w:r w:rsidR="0031324D">
              <w:t>въвеждането</w:t>
            </w:r>
            <w:r>
              <w:t xml:space="preserve"> в експлоатация и по време на експлоатацията на централата. Организационните мерки за радиационна защита са отговорност на Собственика.</w:t>
            </w:r>
          </w:p>
          <w:p w14:paraId="20243056" w14:textId="3A54A876" w:rsidR="00F23CC2" w:rsidRPr="00A645F3" w:rsidRDefault="7297A788" w:rsidP="00A60A9B">
            <w:pPr>
              <w:rPr>
                <w:rFonts w:ascii="Calibri" w:hAnsi="Calibri" w:cs="Calibri"/>
                <w:kern w:val="0"/>
              </w:rPr>
            </w:pPr>
            <w:r>
              <w:t xml:space="preserve">Прилагането на тези стандарти в зависимост от конкретното изискване е отговорност на Собственика/Лицензианта и/или други външни страни. </w:t>
            </w:r>
            <w:r>
              <w:rPr>
                <w:rFonts w:ascii="Calibri" w:hAnsi="Calibri"/>
              </w:rPr>
              <w:t>След въвеждане в експлоатация на централата AP1000 отговорността за съоръжението се поема основно от Собственика/Лицензианта, включително за експлоатацията, радиационната защита по време на експлоатацията, надзора на служителите, спирането на централата и процеса на извеждане от експлоатация.</w:t>
            </w:r>
          </w:p>
        </w:tc>
      </w:tr>
      <w:tr w:rsidR="00A60A9B" w14:paraId="1558F974" w14:textId="77777777" w:rsidTr="001410E3">
        <w:tc>
          <w:tcPr>
            <w:tcW w:w="797" w:type="dxa"/>
          </w:tcPr>
          <w:p w14:paraId="2AC76D98" w14:textId="096C4033" w:rsidR="00A60A9B" w:rsidRDefault="00A60A9B" w:rsidP="00A60A9B">
            <w:r>
              <w:lastRenderedPageBreak/>
              <w:t>3.6.</w:t>
            </w:r>
          </w:p>
        </w:tc>
        <w:tc>
          <w:tcPr>
            <w:tcW w:w="5010" w:type="dxa"/>
          </w:tcPr>
          <w:p w14:paraId="3FC41DCF" w14:textId="26A76340" w:rsidR="00A60A9B" w:rsidRPr="008D58D7" w:rsidRDefault="00A60A9B" w:rsidP="00A60A9B">
            <w:r>
              <w:t>Прилагането на изискванията на настоящите стандарти трябва да бъде в съответствие с диференцирания подход и да отговаря на всички изисквания, определени от регулаторния орган. Не всички изисквания на тези стандарти са приложими за всяка практическа дейност или източник, или за всички действия, посочени в т. 3.5.</w:t>
            </w:r>
          </w:p>
        </w:tc>
        <w:tc>
          <w:tcPr>
            <w:tcW w:w="1542" w:type="dxa"/>
          </w:tcPr>
          <w:p w14:paraId="61B873E0" w14:textId="39CCCCE5" w:rsidR="00A60A9B" w:rsidRDefault="00E40025" w:rsidP="00A60A9B">
            <w:pPr>
              <w:jc w:val="center"/>
            </w:pPr>
            <w:r>
              <w:t>COM, OR, EP</w:t>
            </w:r>
          </w:p>
        </w:tc>
        <w:tc>
          <w:tcPr>
            <w:tcW w:w="6146" w:type="dxa"/>
          </w:tcPr>
          <w:p w14:paraId="4271D9C7" w14:textId="1C729868" w:rsidR="006A2719" w:rsidRDefault="006A2719" w:rsidP="00A60A9B">
            <w:pPr>
              <w:rPr>
                <w:rFonts w:ascii="Calibri" w:hAnsi="Calibri" w:cs="Calibri"/>
                <w:kern w:val="0"/>
              </w:rPr>
            </w:pPr>
            <w:r>
              <w:rPr>
                <w:rFonts w:ascii="Calibri" w:hAnsi="Calibri"/>
              </w:rPr>
              <w:t xml:space="preserve">Компанията Уестингхаус е провела разработването на проекта на AP1000 в рамките на своята призната система за управление на качеството (СУК) и е поела основната отговорност за безопасността по време на разработването на проекта. Основната цел на проекта AP1000 е да се постигне много нисък риск от увреждане на </w:t>
            </w:r>
            <w:r w:rsidR="0031324D">
              <w:rPr>
                <w:rFonts w:ascii="Calibri" w:hAnsi="Calibri"/>
              </w:rPr>
              <w:t>населението</w:t>
            </w:r>
            <w:r>
              <w:rPr>
                <w:rFonts w:ascii="Calibri" w:hAnsi="Calibri"/>
              </w:rPr>
              <w:t xml:space="preserve"> и околната среда. Проектът на AP1000 включва мерки за намаляване на риска за </w:t>
            </w:r>
            <w:r w:rsidR="0031324D">
              <w:rPr>
                <w:rFonts w:ascii="Calibri" w:hAnsi="Calibri"/>
              </w:rPr>
              <w:t>населението</w:t>
            </w:r>
            <w:r>
              <w:rPr>
                <w:rFonts w:ascii="Calibri" w:hAnsi="Calibri"/>
              </w:rPr>
              <w:t xml:space="preserve"> и околната среда по време на отделните етапи от жизнения цикъл на централата. Тези мерки са обсъдени в ДКП.</w:t>
            </w:r>
          </w:p>
          <w:p w14:paraId="4BB311FF" w14:textId="3260E582" w:rsidR="00411F25" w:rsidRDefault="00411F25" w:rsidP="00A60A9B">
            <w:pPr>
              <w:rPr>
                <w:rFonts w:ascii="Calibri" w:hAnsi="Calibri" w:cs="Calibri"/>
                <w:kern w:val="0"/>
              </w:rPr>
            </w:pPr>
            <w:r>
              <w:rPr>
                <w:rFonts w:ascii="Calibri" w:hAnsi="Calibri"/>
              </w:rPr>
              <w:t xml:space="preserve">Изискванията на регулаторните органи зависят от проекта, тъй като всеки регулаторен орган определя свои собствени изисквания, чието спазване се оценява в рамките на проекта AP1000. Компанията Уестингхаус е отговорна за това проектът </w:t>
            </w:r>
            <w:r>
              <w:rPr>
                <w:rFonts w:ascii="Calibri" w:hAnsi="Calibri"/>
              </w:rPr>
              <w:lastRenderedPageBreak/>
              <w:t>на централата AP1000 да бъде съвместим с установените стандарти/регулации/директиви.</w:t>
            </w:r>
          </w:p>
          <w:p w14:paraId="7C4244DE" w14:textId="2267FBFF" w:rsidR="00411F25" w:rsidRPr="00E40025" w:rsidRDefault="5FE395AB" w:rsidP="00A60A9B">
            <w:pPr>
              <w:rPr>
                <w:rFonts w:eastAsiaTheme="minorEastAsia" w:cstheme="minorBidi"/>
                <w:kern w:val="0"/>
              </w:rPr>
            </w:pPr>
            <w:r>
              <w:t>Собственикът/Лицензиантът и/или външни страни са отговорни за прилагането на тези стандарти в зависимост от конкретните изисквания, като се започне от момента на въвеждане в експлоатация на централата AP1000.</w:t>
            </w:r>
          </w:p>
        </w:tc>
      </w:tr>
    </w:tbl>
    <w:p w14:paraId="4E96F953" w14:textId="42057394" w:rsidR="00C84AF4" w:rsidRPr="00A40BF5" w:rsidRDefault="00A40BF5" w:rsidP="00190D0E">
      <w:pPr>
        <w:pStyle w:val="Heading3"/>
        <w:spacing w:before="240"/>
        <w:rPr>
          <w:caps/>
        </w:rPr>
      </w:pPr>
      <w:bookmarkStart w:id="36" w:name="_Toc155347784"/>
      <w:bookmarkEnd w:id="35"/>
      <w:r>
        <w:lastRenderedPageBreak/>
        <w:t>Изискване 7: Уведомление и официално разрешение</w:t>
      </w:r>
      <w:bookmarkEnd w:id="36"/>
    </w:p>
    <w:tbl>
      <w:tblPr>
        <w:tblStyle w:val="TableGrid"/>
        <w:tblW w:w="13495" w:type="dxa"/>
        <w:tblLayout w:type="fixed"/>
        <w:tblLook w:val="04A0" w:firstRow="1" w:lastRow="0" w:firstColumn="1" w:lastColumn="0" w:noHBand="0" w:noVBand="1"/>
      </w:tblPr>
      <w:tblGrid>
        <w:gridCol w:w="798"/>
        <w:gridCol w:w="5009"/>
        <w:gridCol w:w="1537"/>
        <w:gridCol w:w="6151"/>
      </w:tblGrid>
      <w:tr w:rsidR="000520B4" w:rsidRPr="00F172DF" w14:paraId="0F2E9579" w14:textId="77777777" w:rsidTr="009F30BC">
        <w:trPr>
          <w:tblHeader/>
        </w:trPr>
        <w:tc>
          <w:tcPr>
            <w:tcW w:w="798" w:type="dxa"/>
          </w:tcPr>
          <w:p w14:paraId="04D70E92" w14:textId="77777777" w:rsidR="007C7B15" w:rsidRPr="00F172DF" w:rsidRDefault="007C7B15" w:rsidP="00B723E1">
            <w:pPr>
              <w:rPr>
                <w:b/>
                <w:bCs/>
              </w:rPr>
            </w:pPr>
          </w:p>
        </w:tc>
        <w:tc>
          <w:tcPr>
            <w:tcW w:w="5009" w:type="dxa"/>
          </w:tcPr>
          <w:p w14:paraId="4956B262" w14:textId="77777777" w:rsidR="007C7B15" w:rsidRPr="00F172DF" w:rsidRDefault="007C7B15" w:rsidP="00B723E1">
            <w:pPr>
              <w:rPr>
                <w:b/>
                <w:bCs/>
              </w:rPr>
            </w:pPr>
            <w:r>
              <w:rPr>
                <w:b/>
              </w:rPr>
              <w:t>Описание</w:t>
            </w:r>
          </w:p>
        </w:tc>
        <w:tc>
          <w:tcPr>
            <w:tcW w:w="1537" w:type="dxa"/>
          </w:tcPr>
          <w:p w14:paraId="1E062E0C" w14:textId="77777777" w:rsidR="007C7B15" w:rsidRPr="00F172DF" w:rsidRDefault="007C7B15" w:rsidP="00B723E1">
            <w:pPr>
              <w:rPr>
                <w:b/>
                <w:bCs/>
              </w:rPr>
            </w:pPr>
            <w:r>
              <w:rPr>
                <w:b/>
              </w:rPr>
              <w:t>Съответствие</w:t>
            </w:r>
          </w:p>
        </w:tc>
        <w:tc>
          <w:tcPr>
            <w:tcW w:w="6151" w:type="dxa"/>
          </w:tcPr>
          <w:p w14:paraId="6E215108" w14:textId="77777777" w:rsidR="007C7B15" w:rsidRPr="00F172DF" w:rsidRDefault="007C7B15" w:rsidP="00B723E1">
            <w:pPr>
              <w:rPr>
                <w:b/>
                <w:bCs/>
              </w:rPr>
            </w:pPr>
            <w:r>
              <w:rPr>
                <w:b/>
              </w:rPr>
              <w:t>Обосновка</w:t>
            </w:r>
          </w:p>
        </w:tc>
      </w:tr>
      <w:tr w:rsidR="000520B4" w14:paraId="3B1B9CB5" w14:textId="77777777" w:rsidTr="009F30BC">
        <w:tc>
          <w:tcPr>
            <w:tcW w:w="798" w:type="dxa"/>
          </w:tcPr>
          <w:p w14:paraId="7032293E" w14:textId="54F2351C" w:rsidR="007C7B15" w:rsidRDefault="007C7B15" w:rsidP="00B723E1"/>
        </w:tc>
        <w:tc>
          <w:tcPr>
            <w:tcW w:w="5009" w:type="dxa"/>
          </w:tcPr>
          <w:p w14:paraId="06CE3F6F" w14:textId="77777777" w:rsidR="007C7B15" w:rsidRDefault="00A40BF5" w:rsidP="00A40BF5">
            <w:pPr>
              <w:rPr>
                <w:b/>
                <w:bCs/>
              </w:rPr>
            </w:pPr>
            <w:r>
              <w:rPr>
                <w:b/>
              </w:rPr>
              <w:t>Всяко лице или организация, което възнамерява да експлоатира съоръжение или да извършва дейност, подава до регулаторния орган уведомление и, ако е необходимо, заявление за получаване на официално разрешение.</w:t>
            </w:r>
          </w:p>
          <w:p w14:paraId="4F65235D" w14:textId="01773328" w:rsidR="009F5A8B" w:rsidRPr="00A40BF5" w:rsidRDefault="009F5A8B" w:rsidP="00A40BF5">
            <w:pPr>
              <w:rPr>
                <w:rFonts w:ascii="CIDFont+F1" w:hAnsi="CIDFont+F1" w:cs="CIDFont+F1"/>
                <w:b/>
                <w:bCs/>
              </w:rPr>
            </w:pPr>
          </w:p>
        </w:tc>
        <w:tc>
          <w:tcPr>
            <w:tcW w:w="1537" w:type="dxa"/>
          </w:tcPr>
          <w:p w14:paraId="760A79BA" w14:textId="39A3A4A2" w:rsidR="007C7B15" w:rsidRDefault="00DE5355" w:rsidP="00D27590">
            <w:pPr>
              <w:jc w:val="center"/>
            </w:pPr>
            <w:r>
              <w:t>OR</w:t>
            </w:r>
          </w:p>
        </w:tc>
        <w:tc>
          <w:tcPr>
            <w:tcW w:w="6151" w:type="dxa"/>
          </w:tcPr>
          <w:p w14:paraId="0AECD7B3" w14:textId="422FA24B" w:rsidR="003377DE" w:rsidRPr="002506E0" w:rsidRDefault="00DE5355" w:rsidP="00B723E1">
            <w:pPr>
              <w:rPr>
                <w:rFonts w:eastAsiaTheme="minorHAnsi" w:cstheme="minorBidi"/>
                <w:kern w:val="0"/>
              </w:rPr>
            </w:pPr>
            <w:r>
              <w:t>Това е отговорност на Собственика/Лицензианта.</w:t>
            </w:r>
          </w:p>
        </w:tc>
      </w:tr>
      <w:tr w:rsidR="00A40BF5" w14:paraId="40372C71" w14:textId="77777777" w:rsidTr="00FA3D32">
        <w:tc>
          <w:tcPr>
            <w:tcW w:w="13495" w:type="dxa"/>
            <w:gridSpan w:val="4"/>
          </w:tcPr>
          <w:p w14:paraId="04C97917" w14:textId="5FB71B58" w:rsidR="00A40BF5" w:rsidRPr="009D6E5C" w:rsidRDefault="00A40BF5" w:rsidP="00A40BF5">
            <w:pPr>
              <w:jc w:val="center"/>
              <w:rPr>
                <w:i/>
                <w:iCs/>
              </w:rPr>
            </w:pPr>
            <w:r>
              <w:rPr>
                <w:i/>
              </w:rPr>
              <w:t>Уведомление</w:t>
            </w:r>
          </w:p>
        </w:tc>
      </w:tr>
      <w:tr w:rsidR="005623BA" w14:paraId="4DA87B6B" w14:textId="77777777" w:rsidTr="009F30BC">
        <w:tc>
          <w:tcPr>
            <w:tcW w:w="798" w:type="dxa"/>
          </w:tcPr>
          <w:p w14:paraId="2D57ABD0" w14:textId="1BE61D76" w:rsidR="005623BA" w:rsidRDefault="005623BA" w:rsidP="005623BA">
            <w:r>
              <w:t>3.7.</w:t>
            </w:r>
          </w:p>
        </w:tc>
        <w:tc>
          <w:tcPr>
            <w:tcW w:w="5009" w:type="dxa"/>
          </w:tcPr>
          <w:p w14:paraId="17671F29" w14:textId="40C43B67" w:rsidR="005623BA" w:rsidRDefault="005623BA" w:rsidP="005623BA">
            <w:r>
              <w:t>Всяко лице или организация, което възнамерява да извърши някое от действията, посочени в т. 3.5, подава уведомление до регулаторния орган за такова намерение</w:t>
            </w:r>
            <w:r>
              <w:rPr>
                <w:vertAlign w:val="superscript"/>
              </w:rPr>
              <w:t>18</w:t>
            </w:r>
            <w:r>
              <w:t xml:space="preserve">. Самото уведомление е достатъчно, при условие че е малко вероятно облъчванията, които се очаква да бъдат свързани с практическата дейност или действието, да надхвърлят малка част от съответните </w:t>
            </w:r>
            <w:r w:rsidR="0031324D">
              <w:t>гранични</w:t>
            </w:r>
            <w:r>
              <w:t xml:space="preserve"> </w:t>
            </w:r>
            <w:r>
              <w:lastRenderedPageBreak/>
              <w:t>стойности, както е посочено от регулаторния орган, и че вероятността и големината на потенциалните облъчвания и всякакви други потенциални вредни последици са пренебрежимо малки. Уведомление се изисква за потребителски продукти само по отношение на производството, поддръжката, вноса, износа, предоставянето, разпространението и, в някои случаи, погребването.</w:t>
            </w:r>
          </w:p>
        </w:tc>
        <w:tc>
          <w:tcPr>
            <w:tcW w:w="1537" w:type="dxa"/>
          </w:tcPr>
          <w:p w14:paraId="6A231E24" w14:textId="7838A9E0" w:rsidR="005623BA" w:rsidRDefault="00DE5355" w:rsidP="005623BA">
            <w:pPr>
              <w:jc w:val="center"/>
            </w:pPr>
            <w:r>
              <w:lastRenderedPageBreak/>
              <w:t>OR</w:t>
            </w:r>
          </w:p>
        </w:tc>
        <w:tc>
          <w:tcPr>
            <w:tcW w:w="6151" w:type="dxa"/>
          </w:tcPr>
          <w:p w14:paraId="60483866" w14:textId="068E06EB" w:rsidR="005623BA" w:rsidRPr="002506E0" w:rsidRDefault="00DE5355" w:rsidP="005623BA">
            <w:pPr>
              <w:rPr>
                <w:rFonts w:eastAsiaTheme="minorHAnsi" w:cstheme="minorBidi"/>
                <w:kern w:val="0"/>
              </w:rPr>
            </w:pPr>
            <w:r>
              <w:t>Това е отговорност на Собственика/Лицензианта.</w:t>
            </w:r>
          </w:p>
        </w:tc>
      </w:tr>
      <w:tr w:rsidR="005623BA" w14:paraId="2407BB5B" w14:textId="77777777" w:rsidTr="00FA3D32">
        <w:tc>
          <w:tcPr>
            <w:tcW w:w="13495" w:type="dxa"/>
            <w:gridSpan w:val="4"/>
          </w:tcPr>
          <w:p w14:paraId="45D8AA3D" w14:textId="57183329" w:rsidR="005623BA" w:rsidRPr="00743AEE" w:rsidRDefault="005623BA" w:rsidP="005623BA">
            <w:pPr>
              <w:jc w:val="center"/>
              <w:rPr>
                <w:i/>
                <w:iCs/>
              </w:rPr>
            </w:pPr>
            <w:r>
              <w:rPr>
                <w:i/>
              </w:rPr>
              <w:t>Официално разрешение: Регистрация или лицензиране</w:t>
            </w:r>
          </w:p>
        </w:tc>
      </w:tr>
      <w:tr w:rsidR="0099592B" w14:paraId="60C480CE" w14:textId="77777777" w:rsidTr="009F30BC">
        <w:tc>
          <w:tcPr>
            <w:tcW w:w="798" w:type="dxa"/>
          </w:tcPr>
          <w:p w14:paraId="57AB59B0" w14:textId="294F6DA8" w:rsidR="0099592B" w:rsidRDefault="0099592B" w:rsidP="0099592B">
            <w:r>
              <w:t>3.8.</w:t>
            </w:r>
          </w:p>
        </w:tc>
        <w:tc>
          <w:tcPr>
            <w:tcW w:w="5009" w:type="dxa"/>
          </w:tcPr>
          <w:p w14:paraId="639CA7A7" w14:textId="307E48EF" w:rsidR="0099592B" w:rsidRDefault="0099592B" w:rsidP="0099592B">
            <w:r>
              <w:t>Всяко лице или организация, което възнамерява да извърши някое от действията, посочени в т. 3.5, освен ако самото уведомление не е достатъчно, трябва да подаде заявление до регулаторния орган за получаване на официално разрешение</w:t>
            </w:r>
            <w:r>
              <w:rPr>
                <w:vertAlign w:val="superscript"/>
              </w:rPr>
              <w:t>18</w:t>
            </w:r>
            <w:r>
              <w:t>, което е под формата на регистрация</w:t>
            </w:r>
            <w:r>
              <w:rPr>
                <w:vertAlign w:val="superscript"/>
              </w:rPr>
              <w:t>19</w:t>
            </w:r>
            <w:r>
              <w:rPr>
                <w:sz w:val="14"/>
              </w:rPr>
              <w:t xml:space="preserve"> </w:t>
            </w:r>
            <w:r>
              <w:t>или лицензиране.</w:t>
            </w:r>
          </w:p>
        </w:tc>
        <w:tc>
          <w:tcPr>
            <w:tcW w:w="1537" w:type="dxa"/>
          </w:tcPr>
          <w:p w14:paraId="0BD88F08" w14:textId="1071B522" w:rsidR="0099592B" w:rsidRDefault="00DE5355" w:rsidP="0099592B">
            <w:pPr>
              <w:jc w:val="center"/>
            </w:pPr>
            <w:r>
              <w:t>OR</w:t>
            </w:r>
          </w:p>
        </w:tc>
        <w:tc>
          <w:tcPr>
            <w:tcW w:w="6151" w:type="dxa"/>
          </w:tcPr>
          <w:p w14:paraId="048496AB" w14:textId="118736EA" w:rsidR="0099592B" w:rsidRDefault="00DE5355" w:rsidP="0099592B">
            <w:pPr>
              <w:rPr>
                <w:rFonts w:eastAsiaTheme="minorHAnsi" w:cstheme="minorBidi"/>
                <w:kern w:val="0"/>
              </w:rPr>
            </w:pPr>
            <w:r>
              <w:t>Това е отговорност на Собственика/Лицензианта.</w:t>
            </w:r>
          </w:p>
          <w:p w14:paraId="0DF3E5D3" w14:textId="6F936488" w:rsidR="0099592B" w:rsidRDefault="0099592B" w:rsidP="0099592B"/>
        </w:tc>
      </w:tr>
      <w:tr w:rsidR="0099592B" w14:paraId="238C5E08" w14:textId="77777777" w:rsidTr="009F30BC">
        <w:tc>
          <w:tcPr>
            <w:tcW w:w="798" w:type="dxa"/>
          </w:tcPr>
          <w:p w14:paraId="7604979E" w14:textId="3D2BBED0" w:rsidR="0099592B" w:rsidRDefault="0099592B" w:rsidP="0099592B">
            <w:r>
              <w:t>3.9.</w:t>
            </w:r>
          </w:p>
        </w:tc>
        <w:tc>
          <w:tcPr>
            <w:tcW w:w="5009" w:type="dxa"/>
          </w:tcPr>
          <w:p w14:paraId="29397BDD" w14:textId="652255AA" w:rsidR="00D26490" w:rsidRDefault="0099592B" w:rsidP="0099592B">
            <w:r>
              <w:t xml:space="preserve">Всяко лице или организация, които кандидатстват за официално разрешение: </w:t>
            </w:r>
            <w:r>
              <w:br/>
              <w:t>(а) предоставя на регулаторния орган съответната информация, необходима за подкрепа на заявлението;</w:t>
            </w:r>
            <w:r>
              <w:br/>
              <w:t>б) въздържа се от извършване на което и да е от действията, посочени в т. 3.5 до издаването на регистрация или лиценз;</w:t>
            </w:r>
            <w:r>
              <w:br/>
              <w:t xml:space="preserve">в) оценява естеството, вероятността и големината на очакваното облъчване, дължащо се на източника, и предприема всички необходими </w:t>
            </w:r>
            <w:r>
              <w:lastRenderedPageBreak/>
              <w:t>мерки за защита и безопасност;</w:t>
            </w:r>
            <w:r>
              <w:br/>
              <w:t>(г) ако има вероятност облъчването да е по-голямо от нивото, определено от регулаторния орган, изготвя оценка на безопасността и я представя на регулаторния орган като част от заявлението;</w:t>
            </w:r>
            <w:r>
              <w:br/>
              <w:t xml:space="preserve">д) според изискванията на регулаторния орган изготвя подходяща </w:t>
            </w:r>
            <w:r w:rsidR="0031324D">
              <w:t>прогнозна</w:t>
            </w:r>
            <w:r>
              <w:t xml:space="preserve"> оценка на радиологичните въздействия върху околната среда, съизмерима с радиационните рискове, свързани със съоръжението или дейността.</w:t>
            </w:r>
          </w:p>
        </w:tc>
        <w:tc>
          <w:tcPr>
            <w:tcW w:w="1537" w:type="dxa"/>
          </w:tcPr>
          <w:p w14:paraId="1D51A3AE" w14:textId="01F5EC43" w:rsidR="0099592B" w:rsidRDefault="00DE5355" w:rsidP="0099592B">
            <w:pPr>
              <w:jc w:val="center"/>
            </w:pPr>
            <w:r>
              <w:lastRenderedPageBreak/>
              <w:t>OR</w:t>
            </w:r>
          </w:p>
        </w:tc>
        <w:tc>
          <w:tcPr>
            <w:tcW w:w="6151" w:type="dxa"/>
          </w:tcPr>
          <w:p w14:paraId="60010E3F" w14:textId="726DE2A8" w:rsidR="0099592B" w:rsidRPr="00AE75D1" w:rsidRDefault="00DE5355" w:rsidP="0099592B">
            <w:pPr>
              <w:rPr>
                <w:rFonts w:eastAsiaTheme="minorHAnsi" w:cstheme="minorBidi"/>
                <w:kern w:val="0"/>
              </w:rPr>
            </w:pPr>
            <w:r>
              <w:t>Това е отговорност на Собственика/Лицензианта.</w:t>
            </w:r>
          </w:p>
        </w:tc>
      </w:tr>
    </w:tbl>
    <w:p w14:paraId="01A0106D" w14:textId="662FD63F" w:rsidR="00C84AF4" w:rsidRPr="00E6741B" w:rsidRDefault="00E6741B" w:rsidP="00190D0E">
      <w:pPr>
        <w:pStyle w:val="Heading3"/>
        <w:spacing w:before="240"/>
        <w:rPr>
          <w:caps/>
        </w:rPr>
      </w:pPr>
      <w:bookmarkStart w:id="37" w:name="_Toc155347785"/>
      <w:r>
        <w:t xml:space="preserve">Изискване 8: Освобождаване </w:t>
      </w:r>
      <w:r w:rsidR="00E15830">
        <w:t xml:space="preserve">от регулиране </w:t>
      </w:r>
      <w:r>
        <w:t>и освобождаване от контрол</w:t>
      </w:r>
      <w:bookmarkEnd w:id="37"/>
    </w:p>
    <w:tbl>
      <w:tblPr>
        <w:tblStyle w:val="TableGrid"/>
        <w:tblW w:w="13495" w:type="dxa"/>
        <w:tblLayout w:type="fixed"/>
        <w:tblLook w:val="04A0" w:firstRow="1" w:lastRow="0" w:firstColumn="1" w:lastColumn="0" w:noHBand="0" w:noVBand="1"/>
      </w:tblPr>
      <w:tblGrid>
        <w:gridCol w:w="796"/>
        <w:gridCol w:w="5011"/>
        <w:gridCol w:w="1540"/>
        <w:gridCol w:w="6148"/>
      </w:tblGrid>
      <w:tr w:rsidR="007C7B15" w:rsidRPr="00F172DF" w14:paraId="1AF18FE4" w14:textId="77777777" w:rsidTr="00C17EE0">
        <w:trPr>
          <w:tblHeader/>
        </w:trPr>
        <w:tc>
          <w:tcPr>
            <w:tcW w:w="796" w:type="dxa"/>
          </w:tcPr>
          <w:p w14:paraId="7A6ADD1B" w14:textId="77777777" w:rsidR="007C7B15" w:rsidRPr="00F172DF" w:rsidRDefault="007C7B15" w:rsidP="00B723E1">
            <w:pPr>
              <w:rPr>
                <w:b/>
                <w:bCs/>
              </w:rPr>
            </w:pPr>
          </w:p>
        </w:tc>
        <w:tc>
          <w:tcPr>
            <w:tcW w:w="5011" w:type="dxa"/>
          </w:tcPr>
          <w:p w14:paraId="70B14EF0" w14:textId="77777777" w:rsidR="007C7B15" w:rsidRPr="00F172DF" w:rsidRDefault="007C7B15" w:rsidP="00B723E1">
            <w:pPr>
              <w:rPr>
                <w:b/>
                <w:bCs/>
              </w:rPr>
            </w:pPr>
            <w:r>
              <w:rPr>
                <w:b/>
              </w:rPr>
              <w:t>Описание</w:t>
            </w:r>
          </w:p>
        </w:tc>
        <w:tc>
          <w:tcPr>
            <w:tcW w:w="1540" w:type="dxa"/>
          </w:tcPr>
          <w:p w14:paraId="5D2E5063" w14:textId="77777777" w:rsidR="007C7B15" w:rsidRPr="00F172DF" w:rsidRDefault="007C7B15" w:rsidP="00B723E1">
            <w:pPr>
              <w:rPr>
                <w:b/>
                <w:bCs/>
              </w:rPr>
            </w:pPr>
            <w:r>
              <w:rPr>
                <w:b/>
              </w:rPr>
              <w:t>Съответствие</w:t>
            </w:r>
          </w:p>
        </w:tc>
        <w:tc>
          <w:tcPr>
            <w:tcW w:w="6148" w:type="dxa"/>
          </w:tcPr>
          <w:p w14:paraId="54CEC1E7" w14:textId="77777777" w:rsidR="007C7B15" w:rsidRPr="00F172DF" w:rsidRDefault="007C7B15" w:rsidP="00B723E1">
            <w:pPr>
              <w:rPr>
                <w:b/>
                <w:bCs/>
              </w:rPr>
            </w:pPr>
            <w:r>
              <w:rPr>
                <w:b/>
              </w:rPr>
              <w:t>Обосновка</w:t>
            </w:r>
          </w:p>
        </w:tc>
      </w:tr>
      <w:tr w:rsidR="0099592B" w14:paraId="5EB989B5" w14:textId="77777777" w:rsidTr="00C17EE0">
        <w:tc>
          <w:tcPr>
            <w:tcW w:w="796" w:type="dxa"/>
          </w:tcPr>
          <w:p w14:paraId="44BF0196" w14:textId="77777777" w:rsidR="0099592B" w:rsidRDefault="0099592B" w:rsidP="0099592B"/>
        </w:tc>
        <w:tc>
          <w:tcPr>
            <w:tcW w:w="5011" w:type="dxa"/>
          </w:tcPr>
          <w:p w14:paraId="6EACB97F" w14:textId="6069C985" w:rsidR="0099592B" w:rsidRDefault="0099592B" w:rsidP="0099592B">
            <w:r>
              <w:rPr>
                <w:b/>
              </w:rPr>
              <w:t>Правителството или регулаторният орган определя кои практически дейности или източници в рамките на практическите дейности трябва да бъдат освободени от някои или всички изисквания на настоящите стандарти. Регулаторният орган одобрява кои източници, включително материали и предмети, в рамките на осъществяваните с уведомление практически дейности или разрешените практически дейности могат да бъдат освободени от регулаторен контрол.</w:t>
            </w:r>
          </w:p>
        </w:tc>
        <w:tc>
          <w:tcPr>
            <w:tcW w:w="1540" w:type="dxa"/>
          </w:tcPr>
          <w:p w14:paraId="735538EA" w14:textId="1BD7CB7F" w:rsidR="0099592B" w:rsidRDefault="00501B07" w:rsidP="0099592B">
            <w:pPr>
              <w:jc w:val="center"/>
            </w:pPr>
            <w:r>
              <w:t>EP</w:t>
            </w:r>
          </w:p>
        </w:tc>
        <w:tc>
          <w:tcPr>
            <w:tcW w:w="6148" w:type="dxa"/>
          </w:tcPr>
          <w:p w14:paraId="27756BE9" w14:textId="04EFDE83" w:rsidR="0099592B" w:rsidRDefault="00B64CE3" w:rsidP="0099592B">
            <w:pPr>
              <w:tabs>
                <w:tab w:val="clear" w:pos="720"/>
                <w:tab w:val="clear" w:pos="1296"/>
                <w:tab w:val="clear" w:pos="1872"/>
                <w:tab w:val="clear" w:pos="2448"/>
              </w:tabs>
              <w:autoSpaceDE w:val="0"/>
              <w:autoSpaceDN w:val="0"/>
              <w:adjustRightInd w:val="0"/>
              <w:spacing w:after="0" w:line="240" w:lineRule="auto"/>
            </w:pPr>
            <w:r>
              <w:t>Това е отговорност на Правителството / Регулаторния орган.</w:t>
            </w:r>
          </w:p>
        </w:tc>
      </w:tr>
      <w:tr w:rsidR="0099592B" w14:paraId="37CE04AF" w14:textId="77777777" w:rsidTr="00FA3D32">
        <w:tc>
          <w:tcPr>
            <w:tcW w:w="13495" w:type="dxa"/>
            <w:gridSpan w:val="4"/>
          </w:tcPr>
          <w:p w14:paraId="40026AF5" w14:textId="4D7C5741" w:rsidR="0099592B" w:rsidRPr="00495630" w:rsidRDefault="0099592B" w:rsidP="0099592B">
            <w:pPr>
              <w:jc w:val="center"/>
              <w:rPr>
                <w:i/>
                <w:iCs/>
              </w:rPr>
            </w:pPr>
            <w:r>
              <w:rPr>
                <w:i/>
              </w:rPr>
              <w:t>Освобождаване</w:t>
            </w:r>
            <w:r w:rsidR="00173232">
              <w:rPr>
                <w:i/>
              </w:rPr>
              <w:t xml:space="preserve"> от регулиране</w:t>
            </w:r>
          </w:p>
        </w:tc>
      </w:tr>
      <w:tr w:rsidR="0099592B" w14:paraId="5D3B2B19" w14:textId="77777777" w:rsidTr="00C17EE0">
        <w:tc>
          <w:tcPr>
            <w:tcW w:w="796" w:type="dxa"/>
          </w:tcPr>
          <w:p w14:paraId="76A25635" w14:textId="391A8C00" w:rsidR="0099592B" w:rsidRDefault="0099592B" w:rsidP="0099592B">
            <w:r>
              <w:lastRenderedPageBreak/>
              <w:t>3.10.</w:t>
            </w:r>
          </w:p>
        </w:tc>
        <w:tc>
          <w:tcPr>
            <w:tcW w:w="5011" w:type="dxa"/>
          </w:tcPr>
          <w:p w14:paraId="4CD22018" w14:textId="47D24721" w:rsidR="0099592B" w:rsidRDefault="0099592B" w:rsidP="0099592B">
            <w:r>
              <w:t>Правителството или регулаторният орган определя кои практически дейности или източници в рамките на практически дейности трябва да бъдат освободени от някои или всички изисквания на настоящите стандарти, включително изискванията за уведомление, регистрация или лицензиране, като за основа на това определяне се използват критериите за освобождаване, посочени в Приложение I, или всички нива на освобождаване, определени от регулаторния орган въз основа на тези критерии.</w:t>
            </w:r>
          </w:p>
        </w:tc>
        <w:tc>
          <w:tcPr>
            <w:tcW w:w="1540" w:type="dxa"/>
          </w:tcPr>
          <w:p w14:paraId="342627D7" w14:textId="408A63BD" w:rsidR="0099592B" w:rsidRDefault="00501B07" w:rsidP="0099592B">
            <w:pPr>
              <w:jc w:val="center"/>
            </w:pPr>
            <w:r>
              <w:t>EP</w:t>
            </w:r>
          </w:p>
        </w:tc>
        <w:tc>
          <w:tcPr>
            <w:tcW w:w="6148" w:type="dxa"/>
          </w:tcPr>
          <w:p w14:paraId="380E3A38" w14:textId="3F618E40" w:rsidR="00E564B5" w:rsidRDefault="00B64CE3" w:rsidP="00C439B1">
            <w:pPr>
              <w:rPr>
                <w:rFonts w:eastAsiaTheme="minorHAnsi" w:cstheme="minorBidi"/>
              </w:rPr>
            </w:pPr>
            <w:r>
              <w:t>Това е отговорност на Правителството / Регулаторния орган.</w:t>
            </w:r>
          </w:p>
          <w:p w14:paraId="36D324E5" w14:textId="29DB67FF" w:rsidR="0099592B" w:rsidRPr="007C59AF" w:rsidRDefault="00C439B1" w:rsidP="007C59AF">
            <w:pPr>
              <w:rPr>
                <w:rFonts w:eastAsiaTheme="minorHAnsi" w:cstheme="minorBidi"/>
                <w:kern w:val="0"/>
              </w:rPr>
            </w:pPr>
            <w:r>
              <w:t xml:space="preserve">Приложение I може да бъде намерено в документа, наречен “Радиационна защита и безопасност на източниците на </w:t>
            </w:r>
            <w:r w:rsidR="00173232">
              <w:t>йонизиращи лъчения</w:t>
            </w:r>
            <w:r>
              <w:t>: Международни основни стандарти за безопасност”, публикуван от МААЕ.</w:t>
            </w:r>
          </w:p>
        </w:tc>
      </w:tr>
      <w:tr w:rsidR="00495630" w14:paraId="54ADAA4C" w14:textId="77777777" w:rsidTr="00C17EE0">
        <w:tc>
          <w:tcPr>
            <w:tcW w:w="796" w:type="dxa"/>
          </w:tcPr>
          <w:p w14:paraId="41F149FB" w14:textId="3152A604" w:rsidR="00495630" w:rsidRDefault="00495630" w:rsidP="00495630">
            <w:r>
              <w:t>3.11.</w:t>
            </w:r>
          </w:p>
        </w:tc>
        <w:tc>
          <w:tcPr>
            <w:tcW w:w="5011" w:type="dxa"/>
          </w:tcPr>
          <w:p w14:paraId="60AFEB3D" w14:textId="60A21642" w:rsidR="00495630" w:rsidRDefault="00495630" w:rsidP="00495630">
            <w:r>
              <w:t>Освобождаване не се предоставя за практически дейности, които се смятат за необосновани.</w:t>
            </w:r>
          </w:p>
        </w:tc>
        <w:tc>
          <w:tcPr>
            <w:tcW w:w="1540" w:type="dxa"/>
          </w:tcPr>
          <w:p w14:paraId="57E060D2" w14:textId="672ED826" w:rsidR="00495630" w:rsidRDefault="00501B07" w:rsidP="00495630">
            <w:pPr>
              <w:jc w:val="center"/>
            </w:pPr>
            <w:r>
              <w:t>EP</w:t>
            </w:r>
          </w:p>
        </w:tc>
        <w:tc>
          <w:tcPr>
            <w:tcW w:w="6148" w:type="dxa"/>
          </w:tcPr>
          <w:p w14:paraId="55EF3413" w14:textId="45493A3D" w:rsidR="00495630" w:rsidRPr="00501B07" w:rsidRDefault="00BC41DE" w:rsidP="00495630">
            <w:pPr>
              <w:rPr>
                <w:rFonts w:eastAsiaTheme="minorHAnsi" w:cstheme="minorBidi"/>
              </w:rPr>
            </w:pPr>
            <w:r>
              <w:t>Това е отговорност на Правителството / Регулаторния орган.</w:t>
            </w:r>
          </w:p>
        </w:tc>
      </w:tr>
      <w:tr w:rsidR="00495630" w14:paraId="47493981" w14:textId="77777777" w:rsidTr="00FA3D32">
        <w:tc>
          <w:tcPr>
            <w:tcW w:w="13495" w:type="dxa"/>
            <w:gridSpan w:val="4"/>
          </w:tcPr>
          <w:p w14:paraId="2F2F5E81" w14:textId="21E615C2" w:rsidR="00495630" w:rsidRPr="00387F68" w:rsidRDefault="00495630" w:rsidP="00495630">
            <w:pPr>
              <w:jc w:val="center"/>
              <w:rPr>
                <w:i/>
                <w:iCs/>
              </w:rPr>
            </w:pPr>
            <w:r>
              <w:rPr>
                <w:i/>
              </w:rPr>
              <w:t>Освобождаване от контрол</w:t>
            </w:r>
          </w:p>
        </w:tc>
      </w:tr>
      <w:tr w:rsidR="00387F68" w14:paraId="402A417C" w14:textId="77777777" w:rsidTr="00C17EE0">
        <w:tc>
          <w:tcPr>
            <w:tcW w:w="796" w:type="dxa"/>
          </w:tcPr>
          <w:p w14:paraId="256B06F1" w14:textId="6BEB3A39" w:rsidR="00387F68" w:rsidRDefault="00387F68" w:rsidP="00387F68">
            <w:r>
              <w:t>3.12.</w:t>
            </w:r>
          </w:p>
        </w:tc>
        <w:tc>
          <w:tcPr>
            <w:tcW w:w="5011" w:type="dxa"/>
          </w:tcPr>
          <w:p w14:paraId="15F62385" w14:textId="6587F640" w:rsidR="007E5153" w:rsidRDefault="00387F68" w:rsidP="00387F68">
            <w:r>
              <w:t xml:space="preserve">Регулаторният орган одобрява кои източници, включително материали и предмети, в рамките на осъществяваните с уведомление или разрешените практически дейности, може да бъдат освободени от регулаторен контрол, като използва за основа на това одобрение критериите за освобождаване от контрол, посочени в Приложение I, или всякакви нива на освобождаване от контрол, определени от регулаторния орган въз основа на тези критерии. Чрез това одобрение регулаторният орган гарантира, че източниците, които са били освободени от регулаторен контрол, не подлежат отново на изискванията за </w:t>
            </w:r>
            <w:r>
              <w:lastRenderedPageBreak/>
              <w:t>уведомление, регистрация или лицензиране, освен ако той не посочи това.</w:t>
            </w:r>
          </w:p>
        </w:tc>
        <w:tc>
          <w:tcPr>
            <w:tcW w:w="1540" w:type="dxa"/>
          </w:tcPr>
          <w:p w14:paraId="1EBD623C" w14:textId="48628FBE" w:rsidR="00387F68" w:rsidRDefault="00501B07" w:rsidP="00387F68">
            <w:pPr>
              <w:jc w:val="center"/>
            </w:pPr>
            <w:r>
              <w:lastRenderedPageBreak/>
              <w:t>EP</w:t>
            </w:r>
          </w:p>
        </w:tc>
        <w:tc>
          <w:tcPr>
            <w:tcW w:w="6148" w:type="dxa"/>
          </w:tcPr>
          <w:p w14:paraId="530670CC" w14:textId="6399A46C" w:rsidR="00E564B5" w:rsidRDefault="00E70076" w:rsidP="00387F68">
            <w:pPr>
              <w:rPr>
                <w:rFonts w:eastAsiaTheme="minorHAnsi" w:cstheme="minorBidi"/>
              </w:rPr>
            </w:pPr>
            <w:r>
              <w:t>Това е отговорност на Регулаторния орган.</w:t>
            </w:r>
          </w:p>
          <w:p w14:paraId="626E651F" w14:textId="358006BA" w:rsidR="00C439B1" w:rsidRPr="00C439B1" w:rsidRDefault="00C439B1" w:rsidP="00387F68">
            <w:pPr>
              <w:rPr>
                <w:rFonts w:eastAsiaTheme="minorHAnsi" w:cstheme="minorBidi"/>
                <w:kern w:val="0"/>
              </w:rPr>
            </w:pPr>
            <w:r>
              <w:t>Приложение I може да бъде намерено в документа, наречен “Радиационна защита и безопасност на източниците на радиация: Международни основни стандарти за безопасност”, публикуван от МААЕ.</w:t>
            </w:r>
          </w:p>
        </w:tc>
      </w:tr>
    </w:tbl>
    <w:p w14:paraId="7E8E52DC" w14:textId="0B42FA36" w:rsidR="00C84AF4" w:rsidRPr="006A4D57" w:rsidRDefault="006A4D57" w:rsidP="00190D0E">
      <w:pPr>
        <w:pStyle w:val="Heading3"/>
        <w:spacing w:before="240"/>
        <w:rPr>
          <w:caps/>
        </w:rPr>
      </w:pPr>
      <w:bookmarkStart w:id="38" w:name="_Hlk97717042"/>
      <w:bookmarkStart w:id="39" w:name="_Toc155347786"/>
      <w:r>
        <w:t>Изискване 9: Отговорности на регистрирани лица и лицензианти в ситуации на планирано облъчване</w:t>
      </w:r>
      <w:bookmarkEnd w:id="39"/>
    </w:p>
    <w:bookmarkEnd w:id="38"/>
    <w:tbl>
      <w:tblPr>
        <w:tblStyle w:val="TableGrid"/>
        <w:tblW w:w="13495" w:type="dxa"/>
        <w:tblLook w:val="04A0" w:firstRow="1" w:lastRow="0" w:firstColumn="1" w:lastColumn="0" w:noHBand="0" w:noVBand="1"/>
      </w:tblPr>
      <w:tblGrid>
        <w:gridCol w:w="792"/>
        <w:gridCol w:w="5168"/>
        <w:gridCol w:w="1548"/>
        <w:gridCol w:w="5987"/>
      </w:tblGrid>
      <w:tr w:rsidR="007C7B15" w:rsidRPr="00F172DF" w14:paraId="1E566278" w14:textId="77777777" w:rsidTr="00C17EE0">
        <w:trPr>
          <w:tblHeader/>
        </w:trPr>
        <w:tc>
          <w:tcPr>
            <w:tcW w:w="792" w:type="dxa"/>
          </w:tcPr>
          <w:p w14:paraId="30F009CE" w14:textId="77777777" w:rsidR="007C7B15" w:rsidRPr="00F172DF" w:rsidRDefault="007C7B15" w:rsidP="00B723E1">
            <w:pPr>
              <w:rPr>
                <w:b/>
                <w:bCs/>
              </w:rPr>
            </w:pPr>
          </w:p>
        </w:tc>
        <w:tc>
          <w:tcPr>
            <w:tcW w:w="5168" w:type="dxa"/>
          </w:tcPr>
          <w:p w14:paraId="03B4EFD1" w14:textId="77777777" w:rsidR="007C7B15" w:rsidRPr="00F172DF" w:rsidRDefault="007C7B15" w:rsidP="00B723E1">
            <w:pPr>
              <w:rPr>
                <w:b/>
                <w:bCs/>
              </w:rPr>
            </w:pPr>
            <w:r>
              <w:rPr>
                <w:b/>
              </w:rPr>
              <w:t>Описание</w:t>
            </w:r>
          </w:p>
        </w:tc>
        <w:tc>
          <w:tcPr>
            <w:tcW w:w="1548" w:type="dxa"/>
          </w:tcPr>
          <w:p w14:paraId="4F60DF72" w14:textId="77777777" w:rsidR="007C7B15" w:rsidRPr="00F172DF" w:rsidRDefault="007C7B15" w:rsidP="00B723E1">
            <w:pPr>
              <w:rPr>
                <w:b/>
                <w:bCs/>
              </w:rPr>
            </w:pPr>
            <w:r>
              <w:rPr>
                <w:b/>
              </w:rPr>
              <w:t>Съответствие</w:t>
            </w:r>
          </w:p>
        </w:tc>
        <w:tc>
          <w:tcPr>
            <w:tcW w:w="5987" w:type="dxa"/>
          </w:tcPr>
          <w:p w14:paraId="5268ECEF" w14:textId="77777777" w:rsidR="007C7B15" w:rsidRPr="00F172DF" w:rsidRDefault="007C7B15" w:rsidP="00B723E1">
            <w:pPr>
              <w:rPr>
                <w:b/>
                <w:bCs/>
              </w:rPr>
            </w:pPr>
            <w:r>
              <w:rPr>
                <w:b/>
              </w:rPr>
              <w:t>Обосновка</w:t>
            </w:r>
          </w:p>
        </w:tc>
      </w:tr>
      <w:tr w:rsidR="007C7B15" w14:paraId="3CE58079" w14:textId="77777777" w:rsidTr="00B723E1">
        <w:tc>
          <w:tcPr>
            <w:tcW w:w="13495" w:type="dxa"/>
            <w:gridSpan w:val="4"/>
          </w:tcPr>
          <w:p w14:paraId="730C60AB" w14:textId="37E7F056" w:rsidR="007C7B15" w:rsidRPr="006A4D57" w:rsidRDefault="006A4D57" w:rsidP="006A4D57">
            <w:pPr>
              <w:rPr>
                <w:b/>
                <w:bCs/>
              </w:rPr>
            </w:pPr>
            <w:r>
              <w:rPr>
                <w:b/>
              </w:rPr>
              <w:t>Регистрираните лица и лицензиантите носят отговорност за защитата и безопасността в ситуации на планирано облъчване.</w:t>
            </w:r>
          </w:p>
        </w:tc>
      </w:tr>
      <w:tr w:rsidR="00387F68" w14:paraId="2AE8132E" w14:textId="77777777" w:rsidTr="00C17EE0">
        <w:tc>
          <w:tcPr>
            <w:tcW w:w="792" w:type="dxa"/>
          </w:tcPr>
          <w:p w14:paraId="4B7E81A4" w14:textId="5DD5F48A" w:rsidR="00387F68" w:rsidRDefault="00387F68" w:rsidP="00387F68">
            <w:r>
              <w:t>3.13.</w:t>
            </w:r>
          </w:p>
        </w:tc>
        <w:tc>
          <w:tcPr>
            <w:tcW w:w="5168" w:type="dxa"/>
          </w:tcPr>
          <w:p w14:paraId="4F4048B1" w14:textId="5DACF082" w:rsidR="00387F68" w:rsidRDefault="00387F68" w:rsidP="00387F68">
            <w:r>
              <w:t>Регистрираните лица и лицензиантите носят отговорност за създаването и реализирането на техническите и организационните мерки, които са необходими за защита и безопасност на практическите дейности и източниците, за които са получили официално разрешение. Регистрираните лица и лицензиантите могат да определят подходящо квалифицирани лица, които да изпълняват задачи, свързани с тези отговорности, но те запазват основната отговорност за защитата и безопасността. Регистрираните лица и лицензиантите документират имената и отговорностите на лицата, определени да гарантират спазването на изискванията на настоящите стандарти.</w:t>
            </w:r>
          </w:p>
        </w:tc>
        <w:tc>
          <w:tcPr>
            <w:tcW w:w="1548" w:type="dxa"/>
          </w:tcPr>
          <w:p w14:paraId="70319F84" w14:textId="0383065E" w:rsidR="00387F68" w:rsidRDefault="00DE5355" w:rsidP="00387F68">
            <w:pPr>
              <w:jc w:val="center"/>
            </w:pPr>
            <w:r>
              <w:t>OR</w:t>
            </w:r>
          </w:p>
        </w:tc>
        <w:tc>
          <w:tcPr>
            <w:tcW w:w="5987" w:type="dxa"/>
          </w:tcPr>
          <w:p w14:paraId="3AC17667" w14:textId="36755522" w:rsidR="00387F68" w:rsidRDefault="00DE5355" w:rsidP="00387F68">
            <w:r>
              <w:t>Това е отговорност на Собственика/Лицензианта.</w:t>
            </w:r>
          </w:p>
        </w:tc>
      </w:tr>
      <w:tr w:rsidR="00387F68" w14:paraId="38EABA2E" w14:textId="77777777" w:rsidTr="00C17EE0">
        <w:tc>
          <w:tcPr>
            <w:tcW w:w="792" w:type="dxa"/>
          </w:tcPr>
          <w:p w14:paraId="2434834F" w14:textId="4FC72679" w:rsidR="00387F68" w:rsidRDefault="00387F68" w:rsidP="00387F68">
            <w:r>
              <w:t>3.14.</w:t>
            </w:r>
          </w:p>
        </w:tc>
        <w:tc>
          <w:tcPr>
            <w:tcW w:w="5168" w:type="dxa"/>
          </w:tcPr>
          <w:p w14:paraId="0D9E3F00" w14:textId="5B73E78F" w:rsidR="00387F68" w:rsidRDefault="00387F68" w:rsidP="00387F68">
            <w:r>
              <w:t xml:space="preserve">Регистрираните лица и лицензиантите уведомяват регулаторния орган за всяко намерение да въведат промени в която и да е практическа дейност или който и да е източник, за които имат официално разрешение, винаги когато промените могат да </w:t>
            </w:r>
            <w:r>
              <w:lastRenderedPageBreak/>
              <w:t>имат значителни последици за защитата и безопасността, и не извършват никакви такива промени без получаване на официално разрешение от регулаторния орган.</w:t>
            </w:r>
          </w:p>
        </w:tc>
        <w:tc>
          <w:tcPr>
            <w:tcW w:w="1548" w:type="dxa"/>
          </w:tcPr>
          <w:p w14:paraId="0AE3998D" w14:textId="6BE873BB" w:rsidR="00387F68" w:rsidRDefault="00DE5355" w:rsidP="00387F68">
            <w:pPr>
              <w:jc w:val="center"/>
            </w:pPr>
            <w:r>
              <w:lastRenderedPageBreak/>
              <w:t>OR</w:t>
            </w:r>
          </w:p>
        </w:tc>
        <w:tc>
          <w:tcPr>
            <w:tcW w:w="5987" w:type="dxa"/>
          </w:tcPr>
          <w:p w14:paraId="588672B0" w14:textId="63CDF9DB" w:rsidR="00387F68" w:rsidRDefault="00DE5355" w:rsidP="00387F68">
            <w:r>
              <w:t>Това е отговорност на Собственика/Лицензианта.</w:t>
            </w:r>
          </w:p>
        </w:tc>
      </w:tr>
      <w:tr w:rsidR="006E7C33" w14:paraId="468DDD69" w14:textId="77777777" w:rsidTr="00C17EE0">
        <w:tc>
          <w:tcPr>
            <w:tcW w:w="792" w:type="dxa"/>
          </w:tcPr>
          <w:p w14:paraId="1FF5544C" w14:textId="7B64F4F7" w:rsidR="006E7C33" w:rsidRDefault="006E7C33" w:rsidP="006E7C33">
            <w:r>
              <w:t>3.15.</w:t>
            </w:r>
          </w:p>
        </w:tc>
        <w:tc>
          <w:tcPr>
            <w:tcW w:w="5168" w:type="dxa"/>
          </w:tcPr>
          <w:p w14:paraId="21AFBC6E" w14:textId="14306950" w:rsidR="006E7C33" w:rsidRDefault="006E7C33" w:rsidP="006E7C33">
            <w:r>
              <w:t>Регистрираните лица и лицензиантите:</w:t>
            </w:r>
            <w:r>
              <w:br/>
              <w:t>(а) установяват ясни линии на отговорност и отчетност за защита и безопасност за източниците, за които имат официално разрешение, и установяват организационни мерки за защита и безопасност;</w:t>
            </w:r>
            <w:r>
              <w:br/>
              <w:t>(б) осигуряват документално оформление на всяко делегиране на отговорности от главната страна;</w:t>
            </w:r>
            <w:r>
              <w:br/>
              <w:t xml:space="preserve">в) за източниците, за които имат официално разрешение и за които в т. 3.9 (г) се изисква оценка на безопасността, извършват такава оценка на безопасността и я актуализират в съответствие с т. 3.35; </w:t>
            </w:r>
            <w:r>
              <w:br/>
              <w:t>г) трябва, за източниците, за които имат официално разрешение и за които регулаторният орган изисква да бъде направена перспективна оценка на радиологичните въздействия върху околната среда (вж. буква д) на т. 3.9), да извършат такава оценка и да я актуализират;</w:t>
            </w:r>
            <w:r>
              <w:br/>
              <w:t>д) извършват оценка на вероятността и големината на потенциалните облъчвания, техните вероятни последици и броя на лицата, които може да бъдат засегнати от тях;</w:t>
            </w:r>
            <w:r>
              <w:br/>
              <w:t xml:space="preserve">е) осигуряват наличие на оперативни процедури и мерки за защита и безопасност, които подлежат на периодичен преглед и актуализация в рамките на </w:t>
            </w:r>
            <w:r>
              <w:lastRenderedPageBreak/>
              <w:t>система за управление;</w:t>
            </w:r>
            <w:r>
              <w:br/>
              <w:t>ж) установяват процедури за представяне на отчети и за аварии и други инциденти и извличане на уроци от тях;</w:t>
            </w:r>
            <w:r>
              <w:br/>
              <w:t>(з) установяват мерки за периодичен преглед на цялостната ефективност на мерките за защита и безопасност;</w:t>
            </w:r>
            <w:r>
              <w:br/>
              <w:t>и) осигуряват, при необходимост, извършване на адекватна поддръжка, изпитване и обслужване, така че източниците да останат в състояние да изпълняват проектните изисквания за защита и безопасност през целия си жизнен цикъл;</w:t>
            </w:r>
            <w:r>
              <w:br/>
              <w:t>й) осигуряват безопасно управление и контрол на всички генерирани радиоактивни отпадъци и погребване на такива отпадъци в съответствие с нормативните изисквания.</w:t>
            </w:r>
          </w:p>
        </w:tc>
        <w:tc>
          <w:tcPr>
            <w:tcW w:w="1548" w:type="dxa"/>
          </w:tcPr>
          <w:p w14:paraId="6DDC931D" w14:textId="4125159E" w:rsidR="006E7C33" w:rsidRDefault="00DE5355" w:rsidP="006E7C33">
            <w:pPr>
              <w:jc w:val="center"/>
            </w:pPr>
            <w:r>
              <w:lastRenderedPageBreak/>
              <w:t>OR</w:t>
            </w:r>
          </w:p>
        </w:tc>
        <w:tc>
          <w:tcPr>
            <w:tcW w:w="5987" w:type="dxa"/>
          </w:tcPr>
          <w:p w14:paraId="4204A07E" w14:textId="78B962AB" w:rsidR="006E7C33" w:rsidRDefault="00DE5355" w:rsidP="006E7C33">
            <w:r>
              <w:t>Това е отговорност на Собственика/Лицензианта.</w:t>
            </w:r>
          </w:p>
        </w:tc>
      </w:tr>
    </w:tbl>
    <w:p w14:paraId="21395EB5" w14:textId="6A3DCDCA" w:rsidR="00C84AF4" w:rsidRPr="001C3B6E" w:rsidRDefault="001C3B6E" w:rsidP="00190D0E">
      <w:pPr>
        <w:pStyle w:val="Heading3"/>
        <w:spacing w:before="240"/>
        <w:rPr>
          <w:caps/>
        </w:rPr>
      </w:pPr>
      <w:bookmarkStart w:id="40" w:name="_Toc155347787"/>
      <w:r>
        <w:t>Изискване 10: Обосновка на практическите дейности</w:t>
      </w:r>
      <w:bookmarkEnd w:id="40"/>
    </w:p>
    <w:tbl>
      <w:tblPr>
        <w:tblStyle w:val="TableGrid"/>
        <w:tblW w:w="13495" w:type="dxa"/>
        <w:tblLayout w:type="fixed"/>
        <w:tblLook w:val="04A0" w:firstRow="1" w:lastRow="0" w:firstColumn="1" w:lastColumn="0" w:noHBand="0" w:noVBand="1"/>
      </w:tblPr>
      <w:tblGrid>
        <w:gridCol w:w="796"/>
        <w:gridCol w:w="5153"/>
        <w:gridCol w:w="1559"/>
        <w:gridCol w:w="5987"/>
      </w:tblGrid>
      <w:tr w:rsidR="008055FD" w:rsidRPr="00F172DF" w14:paraId="6AF89491" w14:textId="77777777" w:rsidTr="00C17EE0">
        <w:trPr>
          <w:tblHeader/>
        </w:trPr>
        <w:tc>
          <w:tcPr>
            <w:tcW w:w="796" w:type="dxa"/>
          </w:tcPr>
          <w:p w14:paraId="23D8E550" w14:textId="77777777" w:rsidR="007C7B15" w:rsidRPr="00F172DF" w:rsidRDefault="007C7B15" w:rsidP="00B723E1">
            <w:pPr>
              <w:rPr>
                <w:b/>
                <w:bCs/>
              </w:rPr>
            </w:pPr>
          </w:p>
        </w:tc>
        <w:tc>
          <w:tcPr>
            <w:tcW w:w="5153" w:type="dxa"/>
          </w:tcPr>
          <w:p w14:paraId="52E1F3BF" w14:textId="77777777" w:rsidR="007C7B15" w:rsidRPr="00F172DF" w:rsidRDefault="007C7B15" w:rsidP="00B723E1">
            <w:pPr>
              <w:rPr>
                <w:b/>
                <w:bCs/>
              </w:rPr>
            </w:pPr>
            <w:r>
              <w:rPr>
                <w:b/>
              </w:rPr>
              <w:t>Описание</w:t>
            </w:r>
          </w:p>
        </w:tc>
        <w:tc>
          <w:tcPr>
            <w:tcW w:w="1559" w:type="dxa"/>
          </w:tcPr>
          <w:p w14:paraId="4150BD61" w14:textId="77777777" w:rsidR="007C7B15" w:rsidRPr="00F172DF" w:rsidRDefault="007C7B15" w:rsidP="00B723E1">
            <w:pPr>
              <w:rPr>
                <w:b/>
                <w:bCs/>
              </w:rPr>
            </w:pPr>
            <w:r>
              <w:rPr>
                <w:b/>
              </w:rPr>
              <w:t>Съответствие</w:t>
            </w:r>
          </w:p>
        </w:tc>
        <w:tc>
          <w:tcPr>
            <w:tcW w:w="5987" w:type="dxa"/>
          </w:tcPr>
          <w:p w14:paraId="517E07A8" w14:textId="77777777" w:rsidR="007C7B15" w:rsidRPr="00F172DF" w:rsidRDefault="007C7B15" w:rsidP="00B723E1">
            <w:pPr>
              <w:rPr>
                <w:b/>
                <w:bCs/>
              </w:rPr>
            </w:pPr>
            <w:r>
              <w:rPr>
                <w:b/>
              </w:rPr>
              <w:t>Обосновка</w:t>
            </w:r>
          </w:p>
        </w:tc>
      </w:tr>
      <w:tr w:rsidR="008055FD" w14:paraId="787D354B" w14:textId="77777777" w:rsidTr="00C17EE0">
        <w:tc>
          <w:tcPr>
            <w:tcW w:w="796" w:type="dxa"/>
          </w:tcPr>
          <w:p w14:paraId="7BED9717" w14:textId="77777777" w:rsidR="008E54E5" w:rsidRDefault="008E54E5" w:rsidP="008E54E5"/>
        </w:tc>
        <w:tc>
          <w:tcPr>
            <w:tcW w:w="5153" w:type="dxa"/>
          </w:tcPr>
          <w:p w14:paraId="64CA4B62" w14:textId="3DD17D3E" w:rsidR="008E54E5" w:rsidRPr="001C3B6E" w:rsidRDefault="008E54E5" w:rsidP="008E54E5">
            <w:pPr>
              <w:rPr>
                <w:b/>
                <w:bCs/>
              </w:rPr>
            </w:pPr>
            <w:r>
              <w:rPr>
                <w:b/>
              </w:rPr>
              <w:t>Правителството или регулаторният орган гарантират, че се дават официални разрешени</w:t>
            </w:r>
            <w:r w:rsidR="002505F6">
              <w:rPr>
                <w:b/>
              </w:rPr>
              <w:t>я</w:t>
            </w:r>
            <w:r>
              <w:rPr>
                <w:b/>
              </w:rPr>
              <w:t xml:space="preserve"> само за обосновани практически дейности.</w:t>
            </w:r>
          </w:p>
        </w:tc>
        <w:tc>
          <w:tcPr>
            <w:tcW w:w="1559" w:type="dxa"/>
          </w:tcPr>
          <w:p w14:paraId="3FBADC86" w14:textId="19FA6057" w:rsidR="008E54E5" w:rsidRDefault="00062665" w:rsidP="008E54E5">
            <w:pPr>
              <w:jc w:val="center"/>
            </w:pPr>
            <w:r>
              <w:t>EP</w:t>
            </w:r>
          </w:p>
        </w:tc>
        <w:tc>
          <w:tcPr>
            <w:tcW w:w="5987" w:type="dxa"/>
          </w:tcPr>
          <w:p w14:paraId="7EAAC60F" w14:textId="4F25AD02" w:rsidR="008E54E5" w:rsidRPr="00FF720E" w:rsidRDefault="00B64CE3" w:rsidP="008E54E5">
            <w:r>
              <w:t>Това е отговорност на Правителството / Регулаторния орган.</w:t>
            </w:r>
          </w:p>
        </w:tc>
      </w:tr>
      <w:tr w:rsidR="008055FD" w14:paraId="1AD8CCBF" w14:textId="77777777" w:rsidTr="00C17EE0">
        <w:tc>
          <w:tcPr>
            <w:tcW w:w="796" w:type="dxa"/>
          </w:tcPr>
          <w:p w14:paraId="448C53FF" w14:textId="06CDAFF8" w:rsidR="00FB0198" w:rsidRDefault="00FB0198" w:rsidP="00FB0198">
            <w:r>
              <w:t>3.16.</w:t>
            </w:r>
          </w:p>
        </w:tc>
        <w:tc>
          <w:tcPr>
            <w:tcW w:w="5153" w:type="dxa"/>
          </w:tcPr>
          <w:p w14:paraId="567F3BD2" w14:textId="2DBB6311" w:rsidR="00FB0198" w:rsidRDefault="00FB0198" w:rsidP="00FB0198">
            <w:r>
              <w:t>Правителството или регулаторният орган, в зависимост от обстоятелствата, осигурява вземане на мерки</w:t>
            </w:r>
            <w:r>
              <w:rPr>
                <w:vertAlign w:val="superscript"/>
              </w:rPr>
              <w:t>20</w:t>
            </w:r>
            <w:r>
              <w:rPr>
                <w:sz w:val="14"/>
              </w:rPr>
              <w:t xml:space="preserve"> </w:t>
            </w:r>
            <w:r>
              <w:t>за обосновка на всякакъв вид практическа дейност</w:t>
            </w:r>
            <w:r>
              <w:rPr>
                <w:vertAlign w:val="superscript"/>
              </w:rPr>
              <w:t>21</w:t>
            </w:r>
            <w:r>
              <w:rPr>
                <w:sz w:val="14"/>
              </w:rPr>
              <w:t xml:space="preserve"> </w:t>
            </w:r>
            <w:r>
              <w:t xml:space="preserve">и преглед на обосновката, ако е необходимо, и осигурява официални </w:t>
            </w:r>
            <w:r>
              <w:lastRenderedPageBreak/>
              <w:t>разрешени</w:t>
            </w:r>
            <w:r w:rsidR="002505F6">
              <w:t>я</w:t>
            </w:r>
            <w:r>
              <w:t xml:space="preserve"> само за обосновани практически дейности.</w:t>
            </w:r>
          </w:p>
        </w:tc>
        <w:tc>
          <w:tcPr>
            <w:tcW w:w="1559" w:type="dxa"/>
          </w:tcPr>
          <w:p w14:paraId="6A26CD7D" w14:textId="6D5BBB19" w:rsidR="00FB0198" w:rsidRDefault="00062665" w:rsidP="00FB0198">
            <w:pPr>
              <w:jc w:val="center"/>
            </w:pPr>
            <w:r>
              <w:lastRenderedPageBreak/>
              <w:t>EP</w:t>
            </w:r>
          </w:p>
        </w:tc>
        <w:tc>
          <w:tcPr>
            <w:tcW w:w="5987" w:type="dxa"/>
          </w:tcPr>
          <w:p w14:paraId="6DA62B52" w14:textId="2623E39D" w:rsidR="00FB0198" w:rsidRDefault="00B64CE3" w:rsidP="00FB0198">
            <w:r>
              <w:t>Това е отговорност на Правителството / Регулаторния орган.</w:t>
            </w:r>
          </w:p>
        </w:tc>
      </w:tr>
      <w:tr w:rsidR="008055FD" w14:paraId="4C963708" w14:textId="77777777" w:rsidTr="00C17EE0">
        <w:tc>
          <w:tcPr>
            <w:tcW w:w="796" w:type="dxa"/>
          </w:tcPr>
          <w:p w14:paraId="0A337ADB" w14:textId="7EA83385" w:rsidR="009A7697" w:rsidRDefault="009A7697" w:rsidP="009A7697">
            <w:r>
              <w:t>3.17.</w:t>
            </w:r>
          </w:p>
        </w:tc>
        <w:tc>
          <w:tcPr>
            <w:tcW w:w="5153" w:type="dxa"/>
          </w:tcPr>
          <w:p w14:paraId="73FCD143" w14:textId="0F27B5D5" w:rsidR="009A7697" w:rsidRDefault="009A7697" w:rsidP="009A7697">
            <w:r>
              <w:t xml:space="preserve">Следните видове практическа дейност се смятат за необосновани: </w:t>
            </w:r>
            <w:r>
              <w:br/>
              <w:t>(а) практически дейности, с изключение на обосновани практически дейности, свързани с медицинско облъчване</w:t>
            </w:r>
            <w:r>
              <w:rPr>
                <w:vertAlign w:val="superscript"/>
              </w:rPr>
              <w:t>22</w:t>
            </w:r>
            <w:r>
              <w:t>, които водят до повишаване на активността чрез умишлено добавяне на радио</w:t>
            </w:r>
            <w:r w:rsidR="000A1A35">
              <w:t>активни вещества</w:t>
            </w:r>
            <w:r>
              <w:t xml:space="preserve"> или чрез активация</w:t>
            </w:r>
            <w:r>
              <w:rPr>
                <w:vertAlign w:val="superscript"/>
              </w:rPr>
              <w:t>23</w:t>
            </w:r>
            <w:r>
              <w:t xml:space="preserve"> в хранителни продукти, фуражи, напитки, козметика или всякакви други стоки или продукти, предназначени за поглъщане, вдишване или приемане през кожата в организма на хората, или предназначени за прилагане върху хора;</w:t>
            </w:r>
            <w:r>
              <w:br/>
              <w:t xml:space="preserve">(б) практически дейности, включващи непредпазливо използване на </w:t>
            </w:r>
            <w:r w:rsidR="000A1A35">
              <w:t>йонизиращи лъчения</w:t>
            </w:r>
            <w:r>
              <w:t xml:space="preserve"> или радиоактивни вещества в стоки или потребителски продукти, като играчки и бижута или украшения, които водят до повишаване на активността чрез умишлено добавяне на радиоактивни вещества или чрез активация</w:t>
            </w:r>
            <w:r>
              <w:rPr>
                <w:vertAlign w:val="superscript"/>
              </w:rPr>
              <w:t>23</w:t>
            </w:r>
            <w:r>
              <w:t>;</w:t>
            </w:r>
            <w:r>
              <w:br/>
              <w:t xml:space="preserve">в) образни изследвания с помощта на </w:t>
            </w:r>
            <w:r w:rsidR="000A1A35">
              <w:t>йонизиращи лъчения</w:t>
            </w:r>
            <w:r>
              <w:t>, които се извършват като форма на изкуство или с рекламни цели.</w:t>
            </w:r>
          </w:p>
        </w:tc>
        <w:tc>
          <w:tcPr>
            <w:tcW w:w="1559" w:type="dxa"/>
          </w:tcPr>
          <w:p w14:paraId="44F4EFE6" w14:textId="27F6F30F" w:rsidR="009A7697" w:rsidRDefault="000B49B9" w:rsidP="009A7697">
            <w:pPr>
              <w:jc w:val="center"/>
            </w:pPr>
            <w:r>
              <w:t>NR</w:t>
            </w:r>
          </w:p>
        </w:tc>
        <w:tc>
          <w:tcPr>
            <w:tcW w:w="5987" w:type="dxa"/>
          </w:tcPr>
          <w:p w14:paraId="03A42E70" w14:textId="54804CA3" w:rsidR="009A7697" w:rsidRDefault="00D10F52" w:rsidP="009A7697">
            <w:r>
              <w:t>Това е пояснение, а не изискване.</w:t>
            </w:r>
          </w:p>
        </w:tc>
      </w:tr>
      <w:tr w:rsidR="008055FD" w14:paraId="091BBF5B" w14:textId="77777777" w:rsidTr="00C17EE0">
        <w:tc>
          <w:tcPr>
            <w:tcW w:w="796" w:type="dxa"/>
          </w:tcPr>
          <w:p w14:paraId="7756D862" w14:textId="438CAE13" w:rsidR="009A7697" w:rsidRDefault="009A7697" w:rsidP="009A7697">
            <w:r>
              <w:t>3.18.</w:t>
            </w:r>
          </w:p>
        </w:tc>
        <w:tc>
          <w:tcPr>
            <w:tcW w:w="5153" w:type="dxa"/>
          </w:tcPr>
          <w:p w14:paraId="59B828DA" w14:textId="01775F2F" w:rsidR="009A7697" w:rsidRDefault="009A7697" w:rsidP="009A7697">
            <w:r>
              <w:t xml:space="preserve">Образни изследвания с използване на </w:t>
            </w:r>
            <w:r w:rsidR="000A1A35">
              <w:t>йонизиращи лъчения</w:t>
            </w:r>
            <w:r>
              <w:t>, които се извършват за професионални, юридически или здравноосигурителни цели</w:t>
            </w:r>
            <w:r>
              <w:rPr>
                <w:vertAlign w:val="superscript"/>
              </w:rPr>
              <w:t>24</w:t>
            </w:r>
            <w:r>
              <w:t xml:space="preserve"> и се предприемат без позоваване на клинични показания, обикновено се смятат за необосновани. </w:t>
            </w:r>
            <w:r>
              <w:lastRenderedPageBreak/>
              <w:t>Ако при изключителни обстоятелства правителството или регулаторният орган реши, че трябва да се разгледа обосновката на такива образни изследвания за конкретна практическа дейност, тогава се прилагат изискванията, изложени в т. 3.61-3.64 и 3.66.</w:t>
            </w:r>
          </w:p>
        </w:tc>
        <w:tc>
          <w:tcPr>
            <w:tcW w:w="1559" w:type="dxa"/>
          </w:tcPr>
          <w:p w14:paraId="090419C7" w14:textId="460B062F" w:rsidR="009A7697" w:rsidRDefault="008055FD" w:rsidP="009A7697">
            <w:pPr>
              <w:jc w:val="center"/>
            </w:pPr>
            <w:r>
              <w:lastRenderedPageBreak/>
              <w:t>NAP</w:t>
            </w:r>
          </w:p>
        </w:tc>
        <w:tc>
          <w:tcPr>
            <w:tcW w:w="5987" w:type="dxa"/>
          </w:tcPr>
          <w:p w14:paraId="7D5D8DF4" w14:textId="1DE6F243" w:rsidR="009A7697" w:rsidRDefault="008055FD" w:rsidP="009A7697">
            <w:r>
              <w:t>Това изискване не е приложимо към технологията.</w:t>
            </w:r>
          </w:p>
        </w:tc>
      </w:tr>
      <w:tr w:rsidR="008055FD" w14:paraId="75F4CEB0" w14:textId="77777777" w:rsidTr="00C17EE0">
        <w:tc>
          <w:tcPr>
            <w:tcW w:w="796" w:type="dxa"/>
          </w:tcPr>
          <w:p w14:paraId="37064EFB" w14:textId="4736EEED" w:rsidR="000607EF" w:rsidRDefault="000607EF" w:rsidP="000607EF">
            <w:r>
              <w:t>3.19.</w:t>
            </w:r>
          </w:p>
        </w:tc>
        <w:tc>
          <w:tcPr>
            <w:tcW w:w="5153" w:type="dxa"/>
          </w:tcPr>
          <w:p w14:paraId="0810BC05" w14:textId="5B8B4765" w:rsidR="000607EF" w:rsidRPr="00915E00" w:rsidRDefault="000607EF" w:rsidP="000607EF">
            <w:r>
              <w:t xml:space="preserve">Образно изследване с използване на </w:t>
            </w:r>
            <w:r w:rsidR="00E8262B">
              <w:t>йонизиращи лъчения</w:t>
            </w:r>
            <w:r>
              <w:t xml:space="preserve"> за целите на откриване на кражби се смята за необосновано.</w:t>
            </w:r>
          </w:p>
        </w:tc>
        <w:tc>
          <w:tcPr>
            <w:tcW w:w="1559" w:type="dxa"/>
          </w:tcPr>
          <w:p w14:paraId="0509AE36" w14:textId="0FA18C60" w:rsidR="000607EF" w:rsidRPr="00915E00" w:rsidRDefault="008055FD" w:rsidP="000607EF">
            <w:pPr>
              <w:jc w:val="center"/>
            </w:pPr>
            <w:r>
              <w:t>NAP</w:t>
            </w:r>
          </w:p>
        </w:tc>
        <w:tc>
          <w:tcPr>
            <w:tcW w:w="5987" w:type="dxa"/>
          </w:tcPr>
          <w:p w14:paraId="5F6D0F67" w14:textId="2FE32A34" w:rsidR="000607EF" w:rsidRDefault="008055FD" w:rsidP="000607EF">
            <w:r>
              <w:t>Това изискване не е приложимо към технологията.</w:t>
            </w:r>
          </w:p>
        </w:tc>
      </w:tr>
      <w:tr w:rsidR="008055FD" w14:paraId="144F0118" w14:textId="77777777" w:rsidTr="00C17EE0">
        <w:tc>
          <w:tcPr>
            <w:tcW w:w="796" w:type="dxa"/>
          </w:tcPr>
          <w:p w14:paraId="4BAA21D5" w14:textId="4FC80697" w:rsidR="00640BF0" w:rsidRDefault="00640BF0" w:rsidP="00640BF0">
            <w:r>
              <w:t>3.20.</w:t>
            </w:r>
          </w:p>
        </w:tc>
        <w:tc>
          <w:tcPr>
            <w:tcW w:w="5153" w:type="dxa"/>
          </w:tcPr>
          <w:p w14:paraId="58E0D7CC" w14:textId="093EC5D0" w:rsidR="00640BF0" w:rsidRDefault="00640BF0" w:rsidP="00640BF0">
            <w:r>
              <w:t xml:space="preserve">Образно изследване с помощта на </w:t>
            </w:r>
            <w:r w:rsidR="007A6239">
              <w:t>йонизиращи лъчения</w:t>
            </w:r>
            <w:r>
              <w:t xml:space="preserve"> за откриване на скрити предмети за целите на борбата с контрабандата обикновено се смята за необосновано. Ако при извънредни обстоятелства правителството или регулаторният орган реши, че трябва да се разгледа обосновката на такова образно изследване, тогава се прилагат изискванията, изложени в т. 3.61-3.67.</w:t>
            </w:r>
          </w:p>
        </w:tc>
        <w:tc>
          <w:tcPr>
            <w:tcW w:w="1559" w:type="dxa"/>
          </w:tcPr>
          <w:p w14:paraId="44C38AC5" w14:textId="1F82A498" w:rsidR="00640BF0" w:rsidRDefault="008055FD" w:rsidP="00640BF0">
            <w:pPr>
              <w:jc w:val="center"/>
            </w:pPr>
            <w:r>
              <w:t>NAP</w:t>
            </w:r>
          </w:p>
        </w:tc>
        <w:tc>
          <w:tcPr>
            <w:tcW w:w="5987" w:type="dxa"/>
          </w:tcPr>
          <w:p w14:paraId="1CAF835B" w14:textId="4D8F18FA" w:rsidR="00640BF0" w:rsidRDefault="008055FD" w:rsidP="00640BF0">
            <w:r>
              <w:t>Това изискване не е приложимо към технологията.</w:t>
            </w:r>
          </w:p>
        </w:tc>
      </w:tr>
      <w:tr w:rsidR="008055FD" w14:paraId="2D3EAF6B" w14:textId="77777777" w:rsidTr="00C17EE0">
        <w:tc>
          <w:tcPr>
            <w:tcW w:w="796" w:type="dxa"/>
          </w:tcPr>
          <w:p w14:paraId="35E9B0B0" w14:textId="02538F2D" w:rsidR="00640BF0" w:rsidRDefault="00640BF0" w:rsidP="00640BF0">
            <w:r>
              <w:t>3.21.</w:t>
            </w:r>
          </w:p>
        </w:tc>
        <w:tc>
          <w:tcPr>
            <w:tcW w:w="5153" w:type="dxa"/>
          </w:tcPr>
          <w:p w14:paraId="612C27E7" w14:textId="48376C84" w:rsidR="00937B4A" w:rsidRDefault="00640BF0" w:rsidP="00640BF0">
            <w:r>
              <w:t xml:space="preserve">Образно изследване с помощта на </w:t>
            </w:r>
            <w:r w:rsidR="007A6239">
              <w:t>йонизиращи лъчения</w:t>
            </w:r>
            <w:r>
              <w:t xml:space="preserve"> за откриване на скрити предмети, които могат да бъдат използвани за престъпни действия, представляващи заплаха за националната сигурност, се обосновава само от правителството. Ако правителството реши, че трябва да се разгледа обосновката на такова образно изследване, тогава се прилагат изискванията, изложени в т. 3.61-3.67.</w:t>
            </w:r>
          </w:p>
        </w:tc>
        <w:tc>
          <w:tcPr>
            <w:tcW w:w="1559" w:type="dxa"/>
          </w:tcPr>
          <w:p w14:paraId="7603AC32" w14:textId="63B49DA8" w:rsidR="00640BF0" w:rsidRDefault="008055FD" w:rsidP="00640BF0">
            <w:pPr>
              <w:jc w:val="center"/>
            </w:pPr>
            <w:r>
              <w:t>NAP</w:t>
            </w:r>
          </w:p>
        </w:tc>
        <w:tc>
          <w:tcPr>
            <w:tcW w:w="5987" w:type="dxa"/>
          </w:tcPr>
          <w:p w14:paraId="05F1EDDB" w14:textId="41787507" w:rsidR="00640BF0" w:rsidRDefault="008055FD" w:rsidP="00640BF0">
            <w:r>
              <w:t>Това изискване не е приложимо към технологията.</w:t>
            </w:r>
          </w:p>
        </w:tc>
      </w:tr>
    </w:tbl>
    <w:p w14:paraId="2E015B1E" w14:textId="22B791F1" w:rsidR="000B7961" w:rsidRPr="00486BCF" w:rsidRDefault="00793560" w:rsidP="00190D0E">
      <w:pPr>
        <w:pStyle w:val="Heading3"/>
        <w:spacing w:before="240"/>
        <w:rPr>
          <w:caps/>
        </w:rPr>
      </w:pPr>
      <w:bookmarkStart w:id="41" w:name="_Toc155347788"/>
      <w:r>
        <w:lastRenderedPageBreak/>
        <w:t>Изискване 11: Оптимизация на защитата и безопасността</w:t>
      </w:r>
      <w:bookmarkEnd w:id="41"/>
    </w:p>
    <w:tbl>
      <w:tblPr>
        <w:tblStyle w:val="TableGrid"/>
        <w:tblW w:w="13495" w:type="dxa"/>
        <w:tblLayout w:type="fixed"/>
        <w:tblLook w:val="04A0" w:firstRow="1" w:lastRow="0" w:firstColumn="1" w:lastColumn="0" w:noHBand="0" w:noVBand="1"/>
      </w:tblPr>
      <w:tblGrid>
        <w:gridCol w:w="799"/>
        <w:gridCol w:w="5150"/>
        <w:gridCol w:w="1559"/>
        <w:gridCol w:w="5987"/>
      </w:tblGrid>
      <w:tr w:rsidR="007C7B15" w:rsidRPr="00F172DF" w14:paraId="5D748F7A" w14:textId="77777777" w:rsidTr="00C17EE0">
        <w:trPr>
          <w:tblHeader/>
        </w:trPr>
        <w:tc>
          <w:tcPr>
            <w:tcW w:w="799" w:type="dxa"/>
          </w:tcPr>
          <w:p w14:paraId="56FB7A52" w14:textId="77777777" w:rsidR="007C7B15" w:rsidRPr="00F172DF" w:rsidRDefault="007C7B15" w:rsidP="00B723E1">
            <w:pPr>
              <w:rPr>
                <w:b/>
                <w:bCs/>
              </w:rPr>
            </w:pPr>
          </w:p>
        </w:tc>
        <w:tc>
          <w:tcPr>
            <w:tcW w:w="5150" w:type="dxa"/>
          </w:tcPr>
          <w:p w14:paraId="08908897" w14:textId="77777777" w:rsidR="007C7B15" w:rsidRPr="00F172DF" w:rsidRDefault="007C7B15" w:rsidP="00B723E1">
            <w:pPr>
              <w:rPr>
                <w:b/>
                <w:bCs/>
              </w:rPr>
            </w:pPr>
            <w:r>
              <w:rPr>
                <w:b/>
              </w:rPr>
              <w:t>Описание</w:t>
            </w:r>
          </w:p>
        </w:tc>
        <w:tc>
          <w:tcPr>
            <w:tcW w:w="1559" w:type="dxa"/>
          </w:tcPr>
          <w:p w14:paraId="2BD4C972" w14:textId="77777777" w:rsidR="007C7B15" w:rsidRPr="00F172DF" w:rsidRDefault="007C7B15" w:rsidP="00B723E1">
            <w:pPr>
              <w:rPr>
                <w:b/>
                <w:bCs/>
              </w:rPr>
            </w:pPr>
            <w:r>
              <w:rPr>
                <w:b/>
              </w:rPr>
              <w:t>Съответствие</w:t>
            </w:r>
          </w:p>
        </w:tc>
        <w:tc>
          <w:tcPr>
            <w:tcW w:w="5987" w:type="dxa"/>
          </w:tcPr>
          <w:p w14:paraId="1D40E3EC" w14:textId="77777777" w:rsidR="007C7B15" w:rsidRPr="00F172DF" w:rsidRDefault="007C7B15" w:rsidP="00B723E1">
            <w:pPr>
              <w:rPr>
                <w:b/>
                <w:bCs/>
              </w:rPr>
            </w:pPr>
            <w:r>
              <w:rPr>
                <w:b/>
              </w:rPr>
              <w:t>Обосновка</w:t>
            </w:r>
          </w:p>
        </w:tc>
      </w:tr>
      <w:tr w:rsidR="00640BF0" w14:paraId="5A7CC22D" w14:textId="77777777" w:rsidTr="00C17EE0">
        <w:tc>
          <w:tcPr>
            <w:tcW w:w="799" w:type="dxa"/>
          </w:tcPr>
          <w:p w14:paraId="259D885C" w14:textId="77777777" w:rsidR="00640BF0" w:rsidRDefault="00640BF0" w:rsidP="00640BF0"/>
        </w:tc>
        <w:tc>
          <w:tcPr>
            <w:tcW w:w="5150" w:type="dxa"/>
          </w:tcPr>
          <w:p w14:paraId="278507AB" w14:textId="4C2716B5" w:rsidR="00640BF0" w:rsidRPr="00793560" w:rsidRDefault="00640BF0" w:rsidP="00640BF0">
            <w:pPr>
              <w:rPr>
                <w:b/>
                <w:bCs/>
              </w:rPr>
            </w:pPr>
            <w:r>
              <w:rPr>
                <w:b/>
              </w:rPr>
              <w:t>Правителството или регулаторният орган установяват и прилагат изисквания за оптимизация на защитата и безопасността, а регистрираните лица и лицензиантите осигуряват оптимизация на защитата и безопасността.</w:t>
            </w:r>
          </w:p>
        </w:tc>
        <w:tc>
          <w:tcPr>
            <w:tcW w:w="1559" w:type="dxa"/>
          </w:tcPr>
          <w:p w14:paraId="3583E138" w14:textId="114B36E7" w:rsidR="00640BF0" w:rsidRDefault="003B291D" w:rsidP="00640BF0">
            <w:pPr>
              <w:jc w:val="center"/>
            </w:pPr>
            <w:r>
              <w:t>OR, EP</w:t>
            </w:r>
          </w:p>
        </w:tc>
        <w:tc>
          <w:tcPr>
            <w:tcW w:w="5987" w:type="dxa"/>
          </w:tcPr>
          <w:p w14:paraId="771924D4" w14:textId="457587BD" w:rsidR="00E564B5" w:rsidRDefault="00E564B5" w:rsidP="00640BF0">
            <w:pPr>
              <w:rPr>
                <w:rFonts w:eastAsiaTheme="minorHAnsi" w:cstheme="minorBidi"/>
              </w:rPr>
            </w:pPr>
            <w:r>
              <w:t>Отговорност на Правителството/Регулаторния орган и Собственика.</w:t>
            </w:r>
          </w:p>
          <w:p w14:paraId="5E4FD5C3" w14:textId="07C9EB3B" w:rsidR="00D10F52" w:rsidRDefault="00140A19" w:rsidP="00640BF0">
            <w:r>
              <w:t xml:space="preserve">Компанията Уестингхаус е провела разработването на проекта на AP1000 в рамките на своята призната система за управление на качеството (СУК) и е поела основната отговорност за безопасността по време на разработването на проекта. В съответствие с политиката ALARA (толкова ниско, колкото е разумно постижимо), която е описана в Глава 12 на ДКП, изготвен за централата AP1000, компанията Уестингхаус гарантира, че радиационната защита и безопасност са оптимизирани. </w:t>
            </w:r>
          </w:p>
          <w:p w14:paraId="1F6400BB" w14:textId="64EBABEB" w:rsidR="008C6A24" w:rsidRPr="00E8263F" w:rsidRDefault="00140A19" w:rsidP="00640BF0">
            <w:pPr>
              <w:rPr>
                <w:rFonts w:eastAsiaTheme="minorHAnsi" w:cstheme="minorBidi"/>
                <w:kern w:val="0"/>
              </w:rPr>
            </w:pPr>
            <w:r>
              <w:t>Цитатът “оптимизирани” означава, че е приложена оптимизация на защитата и безопасността и резултатът от този процес е внедрен.</w:t>
            </w:r>
          </w:p>
        </w:tc>
      </w:tr>
      <w:tr w:rsidR="00640BF0" w14:paraId="2C788961" w14:textId="77777777" w:rsidTr="00C17EE0">
        <w:tc>
          <w:tcPr>
            <w:tcW w:w="799" w:type="dxa"/>
          </w:tcPr>
          <w:p w14:paraId="404A7853" w14:textId="3F2CB7CD" w:rsidR="00640BF0" w:rsidRDefault="00640BF0" w:rsidP="00640BF0">
            <w:r>
              <w:t>3.22.</w:t>
            </w:r>
          </w:p>
        </w:tc>
        <w:tc>
          <w:tcPr>
            <w:tcW w:w="5150" w:type="dxa"/>
          </w:tcPr>
          <w:p w14:paraId="03F6D795" w14:textId="545EDC69" w:rsidR="00640BF0" w:rsidRPr="00793560" w:rsidRDefault="00640BF0" w:rsidP="00640BF0">
            <w:pPr>
              <w:rPr>
                <w:b/>
                <w:bCs/>
              </w:rPr>
            </w:pPr>
            <w:r>
              <w:t xml:space="preserve">Правителството или регулаторният орган: </w:t>
            </w:r>
            <w:r>
              <w:br/>
              <w:t>(а) установява и прилага изисквания за оптимизация на защитата и безопасността;</w:t>
            </w:r>
            <w:r>
              <w:br/>
              <w:t>(б) изисква представяне на документация, отнасяща се за оптимизацията на защитата и безопасността;</w:t>
            </w:r>
            <w:r>
              <w:br/>
              <w:t>(в) установява или одобрява ограничения</w:t>
            </w:r>
            <w:r>
              <w:rPr>
                <w:vertAlign w:val="superscript"/>
              </w:rPr>
              <w:t>25</w:t>
            </w:r>
            <w:r>
              <w:rPr>
                <w:sz w:val="14"/>
              </w:rPr>
              <w:t xml:space="preserve"> </w:t>
            </w:r>
            <w:r>
              <w:t>върху дозата и риска, според случая, или установява или одобрява процес за установяване на такива ограничения, които да се използват при оптимизацията на защитата и безопасността.</w:t>
            </w:r>
          </w:p>
        </w:tc>
        <w:tc>
          <w:tcPr>
            <w:tcW w:w="1559" w:type="dxa"/>
          </w:tcPr>
          <w:p w14:paraId="2FB910EC" w14:textId="5007C77D" w:rsidR="00640BF0" w:rsidRDefault="00062665" w:rsidP="00640BF0">
            <w:pPr>
              <w:jc w:val="center"/>
            </w:pPr>
            <w:r>
              <w:t>EP</w:t>
            </w:r>
          </w:p>
        </w:tc>
        <w:tc>
          <w:tcPr>
            <w:tcW w:w="5987" w:type="dxa"/>
          </w:tcPr>
          <w:p w14:paraId="69CB0480" w14:textId="2A34CF8D" w:rsidR="00640BF0" w:rsidRPr="00062665" w:rsidRDefault="00B64CE3" w:rsidP="00640BF0">
            <w:pPr>
              <w:rPr>
                <w:rFonts w:eastAsiaTheme="minorHAnsi" w:cstheme="minorBidi"/>
              </w:rPr>
            </w:pPr>
            <w:r>
              <w:t>Това е отговорност на Правителството / Регулаторния орган.</w:t>
            </w:r>
          </w:p>
        </w:tc>
      </w:tr>
      <w:tr w:rsidR="00640BF0" w14:paraId="7E30325E" w14:textId="77777777" w:rsidTr="00C17EE0">
        <w:tc>
          <w:tcPr>
            <w:tcW w:w="799" w:type="dxa"/>
          </w:tcPr>
          <w:p w14:paraId="7DEB779D" w14:textId="42EC9B7F" w:rsidR="00640BF0" w:rsidRDefault="00640BF0" w:rsidP="00640BF0">
            <w:r>
              <w:lastRenderedPageBreak/>
              <w:t>3.23.</w:t>
            </w:r>
          </w:p>
        </w:tc>
        <w:tc>
          <w:tcPr>
            <w:tcW w:w="5150" w:type="dxa"/>
          </w:tcPr>
          <w:p w14:paraId="4D58C229" w14:textId="67E16533" w:rsidR="00640BF0" w:rsidRDefault="00640BF0" w:rsidP="00640BF0">
            <w:r>
              <w:t>Регистрираните лица и лицензиантите трябва да осигурят оптимизация на защитата и безопасността.</w:t>
            </w:r>
          </w:p>
        </w:tc>
        <w:tc>
          <w:tcPr>
            <w:tcW w:w="1559" w:type="dxa"/>
          </w:tcPr>
          <w:p w14:paraId="611D901C" w14:textId="41E1EE2E" w:rsidR="00640BF0" w:rsidRDefault="00DE5355" w:rsidP="00640BF0">
            <w:pPr>
              <w:jc w:val="center"/>
            </w:pPr>
            <w:r>
              <w:t>OR</w:t>
            </w:r>
          </w:p>
        </w:tc>
        <w:tc>
          <w:tcPr>
            <w:tcW w:w="5987" w:type="dxa"/>
          </w:tcPr>
          <w:p w14:paraId="462E6D9E" w14:textId="74D9C1DE" w:rsidR="00640BF0" w:rsidRPr="00D10F52" w:rsidRDefault="00DE5355" w:rsidP="00640BF0">
            <w:pPr>
              <w:rPr>
                <w:rFonts w:eastAsiaTheme="minorHAnsi" w:cstheme="minorBidi"/>
                <w:kern w:val="0"/>
              </w:rPr>
            </w:pPr>
            <w:r>
              <w:t>Това е отговорност на Собственика/Лицензианта.</w:t>
            </w:r>
          </w:p>
        </w:tc>
      </w:tr>
      <w:tr w:rsidR="00A63F7E" w14:paraId="5EBD98A7" w14:textId="77777777" w:rsidTr="00C17EE0">
        <w:tc>
          <w:tcPr>
            <w:tcW w:w="799" w:type="dxa"/>
          </w:tcPr>
          <w:p w14:paraId="1A09368A" w14:textId="06F69089" w:rsidR="00A63F7E" w:rsidRDefault="00A63F7E" w:rsidP="00A63F7E">
            <w:r>
              <w:t>3.24.</w:t>
            </w:r>
          </w:p>
        </w:tc>
        <w:tc>
          <w:tcPr>
            <w:tcW w:w="5150" w:type="dxa"/>
          </w:tcPr>
          <w:p w14:paraId="6E7DFF4E" w14:textId="2863ECE9" w:rsidR="00A63F7E" w:rsidRPr="00793560" w:rsidRDefault="00A63F7E" w:rsidP="007A5275">
            <w:pPr>
              <w:rPr>
                <w:b/>
                <w:bCs/>
              </w:rPr>
            </w:pPr>
            <w:r>
              <w:t>По отношение на професионалното облъчване и облъчването на населението</w:t>
            </w:r>
            <w:r>
              <w:rPr>
                <w:vertAlign w:val="superscript"/>
              </w:rPr>
              <w:t>26</w:t>
            </w:r>
            <w:r>
              <w:t xml:space="preserve"> регистрираните лица и лицензиантите гарантират, че всички съответни фактори са взети предвид по съгласуван начин при оптимизацията на защитата и безопасността, за да се подпомогне постигането на следните цели: </w:t>
            </w:r>
            <w:r>
              <w:br/>
              <w:t xml:space="preserve">(а) определяне на мерки за защита и безопасност, които са оптимизирани за преобладаващите обстоятелства, като се вземат предвид наличните варианти за защита и безопасност, както и естеството, вероятността и големината на облъчванията; </w:t>
            </w:r>
            <w:r>
              <w:br/>
              <w:t>б) установяване въз основа на резултатите от оптимизацията на критерии за ограничаване на вероятността и големината на облъчванията чрез мерки за предотвратяване на аварии и смекчаване на последиците от тях в случай на възникване.</w:t>
            </w:r>
          </w:p>
        </w:tc>
        <w:tc>
          <w:tcPr>
            <w:tcW w:w="1559" w:type="dxa"/>
          </w:tcPr>
          <w:p w14:paraId="72B855DC" w14:textId="4A02E97D" w:rsidR="00A63F7E" w:rsidRDefault="00DE5355" w:rsidP="00A63F7E">
            <w:pPr>
              <w:jc w:val="center"/>
            </w:pPr>
            <w:r>
              <w:t>OR</w:t>
            </w:r>
          </w:p>
        </w:tc>
        <w:tc>
          <w:tcPr>
            <w:tcW w:w="5987" w:type="dxa"/>
          </w:tcPr>
          <w:p w14:paraId="02C809D9" w14:textId="77777777" w:rsidR="00A63F7E" w:rsidRPr="001F067A" w:rsidRDefault="00DE5355" w:rsidP="00A63F7E">
            <w:pPr>
              <w:rPr>
                <w:rFonts w:eastAsiaTheme="minorHAnsi"/>
                <w:kern w:val="0"/>
              </w:rPr>
            </w:pPr>
            <w:r>
              <w:t>Това е отговорност на Собственика/Лицензианта.</w:t>
            </w:r>
          </w:p>
          <w:p w14:paraId="24C2C2F3" w14:textId="4878693D" w:rsidR="00BC41DE" w:rsidRPr="00A63F7E" w:rsidRDefault="00BC41DE" w:rsidP="00BC41DE">
            <w:pPr>
              <w:rPr>
                <w:rFonts w:eastAsiaTheme="minorEastAsia" w:cstheme="minorBidi"/>
                <w:kern w:val="0"/>
              </w:rPr>
            </w:pPr>
            <w:r>
              <w:t xml:space="preserve">При проектирането на AP1000 се спазва принципът за оптимизация на радиационната защита. Проектът е в съответствие с 10 CFR 20 и Регулаторните ръководства 1.8, 8.8 и 8.10. Тези ръководни принципи очертават практиките “толкова по-ниско, колкото е разумно постижимо” (ALARA) за </w:t>
            </w:r>
            <w:r w:rsidR="00DF30AE">
              <w:t>ядрените</w:t>
            </w:r>
            <w:r>
              <w:t xml:space="preserve"> електроцентрали. Политиката ALARA се прилага за свеждане до минимум на радиационните въздействия върху персонала и населението. </w:t>
            </w:r>
            <w:r>
              <w:rPr>
                <w:rStyle w:val="cf01"/>
                <w:rFonts w:asciiTheme="minorHAnsi" w:hAnsiTheme="minorHAnsi"/>
                <w:sz w:val="22"/>
              </w:rPr>
              <w:t>Проектът се преглежда според съображенията за ALARA и се актуализира въз основа на опита от съществуващи работещи централи</w:t>
            </w:r>
            <w:r>
              <w:t xml:space="preserve">. Прегледите по ALARA включват проектирането на централата и интегрираната </w:t>
            </w:r>
            <w:r w:rsidR="0048122C">
              <w:t>площадка</w:t>
            </w:r>
            <w:r>
              <w:t xml:space="preserve">, като се вземат предвид проектите за екранирането, ОВиК и </w:t>
            </w:r>
            <w:r w:rsidR="0048122C">
              <w:t>средствата за наблюдение</w:t>
            </w:r>
            <w:r>
              <w:t xml:space="preserve"> свързани с контрола на трафика, сигурността, контрола на достъпа и </w:t>
            </w:r>
            <w:r w:rsidR="0048122C">
              <w:t>радиационната защита</w:t>
            </w:r>
            <w:r>
              <w:t xml:space="preserve"> (дозиметрията). В Глава 12 на ДКП се обсъжда допълнително прилагането на принципите на ALARA при проектирането на централата AP1000 и се потвърждава, че радиационната защита и безопасност са оптимизирани чрез следване на политиката ALARA. Също така, Глава 11 на ДКП хвърля светлина върху радиационния контрол и отпадъчните </w:t>
            </w:r>
            <w:r w:rsidR="0048122C">
              <w:t>радиоактивни води</w:t>
            </w:r>
            <w:r>
              <w:t xml:space="preserve">, а Глава 13 на ДКП предоставя информация за </w:t>
            </w:r>
            <w:r w:rsidR="0048122C">
              <w:t>процеса</w:t>
            </w:r>
            <w:r>
              <w:t xml:space="preserve"> на експлоатацията, в която се описва експлоатацията при нормални, </w:t>
            </w:r>
            <w:r w:rsidR="0048122C">
              <w:t xml:space="preserve">нарушени </w:t>
            </w:r>
            <w:r>
              <w:t>и аварийни условия.</w:t>
            </w:r>
          </w:p>
        </w:tc>
      </w:tr>
      <w:tr w:rsidR="00A63F7E" w14:paraId="62D1F8E8" w14:textId="77777777" w:rsidTr="00C17EE0">
        <w:tc>
          <w:tcPr>
            <w:tcW w:w="799" w:type="dxa"/>
          </w:tcPr>
          <w:p w14:paraId="00226947" w14:textId="13541604" w:rsidR="00A63F7E" w:rsidRDefault="00A63F7E" w:rsidP="00A63F7E">
            <w:r>
              <w:lastRenderedPageBreak/>
              <w:t>3.25.</w:t>
            </w:r>
          </w:p>
        </w:tc>
        <w:tc>
          <w:tcPr>
            <w:tcW w:w="5150" w:type="dxa"/>
          </w:tcPr>
          <w:p w14:paraId="61C0F94B" w14:textId="77777777" w:rsidR="00A63F7E" w:rsidRDefault="00A63F7E" w:rsidP="00A63F7E">
            <w:pPr>
              <w:rPr>
                <w:vertAlign w:val="superscript"/>
              </w:rPr>
            </w:pPr>
            <w:r>
              <w:t>По отношение на професионалното облъчване и облъчването на населението регистрираните лица и лицензиантите гарантират, според случая, че при оптимизацията на защитата и безопасността за всеки конкретен източник в рамките на дадена практическа дейност се използват съответни ограничения.</w:t>
            </w:r>
            <w:r>
              <w:rPr>
                <w:vertAlign w:val="superscript"/>
              </w:rPr>
              <w:t>25</w:t>
            </w:r>
          </w:p>
          <w:p w14:paraId="432D76A6" w14:textId="1E06C4C3" w:rsidR="00937B4A" w:rsidRDefault="00937B4A" w:rsidP="00A63F7E"/>
        </w:tc>
        <w:tc>
          <w:tcPr>
            <w:tcW w:w="1559" w:type="dxa"/>
          </w:tcPr>
          <w:p w14:paraId="422D9E70" w14:textId="2A041560" w:rsidR="00A63F7E" w:rsidRDefault="00DE5355" w:rsidP="00A63F7E">
            <w:pPr>
              <w:jc w:val="center"/>
            </w:pPr>
            <w:r>
              <w:t>OR</w:t>
            </w:r>
          </w:p>
        </w:tc>
        <w:tc>
          <w:tcPr>
            <w:tcW w:w="5987" w:type="dxa"/>
          </w:tcPr>
          <w:p w14:paraId="5A494EDA" w14:textId="77777777" w:rsidR="00A63F7E" w:rsidRDefault="00DE5355" w:rsidP="00A63F7E">
            <w:pPr>
              <w:rPr>
                <w:rFonts w:eastAsiaTheme="minorHAnsi" w:cstheme="minorBidi"/>
                <w:kern w:val="0"/>
              </w:rPr>
            </w:pPr>
            <w:r>
              <w:t>Това е отговорност на Собственика/Лицензианта.</w:t>
            </w:r>
          </w:p>
          <w:p w14:paraId="6B2418A2" w14:textId="4E6A26AC" w:rsidR="00BC41DE" w:rsidRDefault="00BC41DE" w:rsidP="00A63F7E">
            <w:r>
              <w:t xml:space="preserve">При проектирането на AP1000 се спазва принципът за оптимизация на радиационната защита. Проектът е в съответствие с 10 CFR 20 и Регулаторните ръководства 1.8, 8.8 и 8.10. Тези ръководства очертават практиките ALARA за </w:t>
            </w:r>
            <w:r w:rsidR="00AF3FD6">
              <w:t>ядрените</w:t>
            </w:r>
            <w:r>
              <w:t xml:space="preserve"> електроцентрали. Политиката ALARA се прилага за свеждане до минимум на радиационните въздействия върху персонала и населението.</w:t>
            </w:r>
          </w:p>
        </w:tc>
      </w:tr>
    </w:tbl>
    <w:p w14:paraId="6C693802" w14:textId="7B7B4C83" w:rsidR="0059430C" w:rsidRPr="00793560" w:rsidRDefault="00793560" w:rsidP="00190D0E">
      <w:pPr>
        <w:pStyle w:val="Heading3"/>
        <w:spacing w:before="240"/>
        <w:rPr>
          <w:caps/>
        </w:rPr>
      </w:pPr>
      <w:bookmarkStart w:id="42" w:name="_Toc155347789"/>
      <w:r>
        <w:t xml:space="preserve">Изискване 12: </w:t>
      </w:r>
      <w:r w:rsidR="00034AD2">
        <w:t>Дозови ограничения</w:t>
      </w:r>
      <w:bookmarkEnd w:id="42"/>
    </w:p>
    <w:tbl>
      <w:tblPr>
        <w:tblStyle w:val="TableGrid"/>
        <w:tblW w:w="13495" w:type="dxa"/>
        <w:tblLayout w:type="fixed"/>
        <w:tblLook w:val="04A0" w:firstRow="1" w:lastRow="0" w:firstColumn="1" w:lastColumn="0" w:noHBand="0" w:noVBand="1"/>
      </w:tblPr>
      <w:tblGrid>
        <w:gridCol w:w="798"/>
        <w:gridCol w:w="5151"/>
        <w:gridCol w:w="1559"/>
        <w:gridCol w:w="5987"/>
      </w:tblGrid>
      <w:tr w:rsidR="007C7B15" w:rsidRPr="00F172DF" w14:paraId="6F8E55C7" w14:textId="77777777" w:rsidTr="00C17EE0">
        <w:trPr>
          <w:tblHeader/>
        </w:trPr>
        <w:tc>
          <w:tcPr>
            <w:tcW w:w="798" w:type="dxa"/>
          </w:tcPr>
          <w:p w14:paraId="1616BCCE" w14:textId="77777777" w:rsidR="007C7B15" w:rsidRPr="00F172DF" w:rsidRDefault="007C7B15" w:rsidP="00B723E1">
            <w:pPr>
              <w:rPr>
                <w:b/>
                <w:bCs/>
              </w:rPr>
            </w:pPr>
          </w:p>
        </w:tc>
        <w:tc>
          <w:tcPr>
            <w:tcW w:w="5151" w:type="dxa"/>
          </w:tcPr>
          <w:p w14:paraId="0155F2B2" w14:textId="77777777" w:rsidR="007C7B15" w:rsidRPr="00F172DF" w:rsidRDefault="007C7B15" w:rsidP="00B723E1">
            <w:pPr>
              <w:rPr>
                <w:b/>
                <w:bCs/>
              </w:rPr>
            </w:pPr>
            <w:r>
              <w:rPr>
                <w:b/>
              </w:rPr>
              <w:t>Описание</w:t>
            </w:r>
          </w:p>
        </w:tc>
        <w:tc>
          <w:tcPr>
            <w:tcW w:w="1559" w:type="dxa"/>
          </w:tcPr>
          <w:p w14:paraId="594C518E" w14:textId="77777777" w:rsidR="007C7B15" w:rsidRPr="00F172DF" w:rsidRDefault="007C7B15" w:rsidP="00B723E1">
            <w:pPr>
              <w:rPr>
                <w:b/>
                <w:bCs/>
              </w:rPr>
            </w:pPr>
            <w:r>
              <w:rPr>
                <w:b/>
              </w:rPr>
              <w:t>Съответствие</w:t>
            </w:r>
          </w:p>
        </w:tc>
        <w:tc>
          <w:tcPr>
            <w:tcW w:w="5987" w:type="dxa"/>
          </w:tcPr>
          <w:p w14:paraId="5FE1ABF2" w14:textId="77777777" w:rsidR="007C7B15" w:rsidRPr="00F172DF" w:rsidRDefault="007C7B15" w:rsidP="00B723E1">
            <w:pPr>
              <w:rPr>
                <w:b/>
                <w:bCs/>
              </w:rPr>
            </w:pPr>
            <w:r>
              <w:rPr>
                <w:b/>
              </w:rPr>
              <w:t>Обосновка</w:t>
            </w:r>
          </w:p>
        </w:tc>
      </w:tr>
      <w:tr w:rsidR="00A63F7E" w14:paraId="1D4E548F" w14:textId="77777777" w:rsidTr="00C17EE0">
        <w:tc>
          <w:tcPr>
            <w:tcW w:w="798" w:type="dxa"/>
          </w:tcPr>
          <w:p w14:paraId="100ED719" w14:textId="28124EC8" w:rsidR="00A63F7E" w:rsidRDefault="00A63F7E" w:rsidP="00A63F7E"/>
        </w:tc>
        <w:tc>
          <w:tcPr>
            <w:tcW w:w="5151" w:type="dxa"/>
          </w:tcPr>
          <w:p w14:paraId="245E8C83" w14:textId="7AB35FD1" w:rsidR="00A63F7E" w:rsidRPr="00793560" w:rsidRDefault="00A63F7E" w:rsidP="00A63F7E">
            <w:pPr>
              <w:rPr>
                <w:b/>
                <w:bCs/>
              </w:rPr>
            </w:pPr>
            <w:r>
              <w:rPr>
                <w:b/>
              </w:rPr>
              <w:t xml:space="preserve">Правителството или регулаторният орган определя </w:t>
            </w:r>
            <w:r w:rsidR="00034AD2" w:rsidRPr="00C469CC">
              <w:rPr>
                <w:b/>
              </w:rPr>
              <w:t>дозови ограничения</w:t>
            </w:r>
            <w:r>
              <w:rPr>
                <w:b/>
              </w:rPr>
              <w:t xml:space="preserve">за професионално облъчване и облъчване на населението, а регистрираните лица и лицензиантите прилагат тези </w:t>
            </w:r>
            <w:r w:rsidR="00034AD2" w:rsidRPr="00C469CC">
              <w:rPr>
                <w:b/>
              </w:rPr>
              <w:t>дозови ограничения</w:t>
            </w:r>
            <w:r>
              <w:rPr>
                <w:b/>
              </w:rPr>
              <w:t>.</w:t>
            </w:r>
          </w:p>
        </w:tc>
        <w:tc>
          <w:tcPr>
            <w:tcW w:w="1559" w:type="dxa"/>
          </w:tcPr>
          <w:p w14:paraId="5A413A6E" w14:textId="5BAEDCD8" w:rsidR="00A63F7E" w:rsidRDefault="00E767BE" w:rsidP="00A63F7E">
            <w:pPr>
              <w:jc w:val="center"/>
            </w:pPr>
            <w:r>
              <w:t>OR, EP</w:t>
            </w:r>
          </w:p>
        </w:tc>
        <w:tc>
          <w:tcPr>
            <w:tcW w:w="5987" w:type="dxa"/>
          </w:tcPr>
          <w:p w14:paraId="136B7AAF" w14:textId="4322AA50" w:rsidR="006E4F10" w:rsidRPr="00A63F7E" w:rsidRDefault="00F4580F" w:rsidP="00A63F7E">
            <w:pPr>
              <w:rPr>
                <w:rFonts w:eastAsiaTheme="minorHAnsi" w:cstheme="minorBidi"/>
                <w:kern w:val="0"/>
              </w:rPr>
            </w:pPr>
            <w:r>
              <w:t>Това е отговорност на Правителството/Регулаторния орган и Собственика/Лицензианта.</w:t>
            </w:r>
          </w:p>
        </w:tc>
      </w:tr>
      <w:tr w:rsidR="00DA13AD" w14:paraId="4794E230" w14:textId="77777777" w:rsidTr="00C17EE0">
        <w:tc>
          <w:tcPr>
            <w:tcW w:w="798" w:type="dxa"/>
          </w:tcPr>
          <w:p w14:paraId="610EA247" w14:textId="7A4756BC" w:rsidR="00DA13AD" w:rsidRDefault="00DA13AD" w:rsidP="00DA13AD">
            <w:r>
              <w:t>3.26.</w:t>
            </w:r>
          </w:p>
        </w:tc>
        <w:tc>
          <w:tcPr>
            <w:tcW w:w="5151" w:type="dxa"/>
          </w:tcPr>
          <w:p w14:paraId="09745DB4" w14:textId="32C06B34" w:rsidR="00DA13AD" w:rsidRDefault="00DA13AD" w:rsidP="00DA13AD">
            <w:r>
              <w:t xml:space="preserve">Правителството или регулаторният орган установява и регулаторният орган налага спазването на </w:t>
            </w:r>
            <w:r w:rsidR="00034AD2">
              <w:t>дозови ограничения</w:t>
            </w:r>
            <w:r>
              <w:t>, посочени в Приложение III за професионалното облъчване и облъчването на населението при ситуации на планирано облъчване.</w:t>
            </w:r>
          </w:p>
        </w:tc>
        <w:tc>
          <w:tcPr>
            <w:tcW w:w="1559" w:type="dxa"/>
          </w:tcPr>
          <w:p w14:paraId="503B890C" w14:textId="257EFE8B" w:rsidR="00DA13AD" w:rsidRDefault="00062665" w:rsidP="00DA13AD">
            <w:pPr>
              <w:jc w:val="center"/>
            </w:pPr>
            <w:r>
              <w:t>EP</w:t>
            </w:r>
          </w:p>
        </w:tc>
        <w:tc>
          <w:tcPr>
            <w:tcW w:w="5987" w:type="dxa"/>
          </w:tcPr>
          <w:p w14:paraId="54F3FD40" w14:textId="38E36472" w:rsidR="00062665" w:rsidRDefault="00F4580F" w:rsidP="00062665">
            <w:pPr>
              <w:rPr>
                <w:rFonts w:eastAsiaTheme="minorHAnsi" w:cstheme="minorBidi"/>
              </w:rPr>
            </w:pPr>
            <w:r>
              <w:t>Това е отговорност на Правителството / Регулаторния орган.</w:t>
            </w:r>
          </w:p>
          <w:p w14:paraId="17057637" w14:textId="1ADD7220" w:rsidR="00C439B1" w:rsidRPr="00C439B1" w:rsidRDefault="00C439B1" w:rsidP="00DA13AD">
            <w:pPr>
              <w:rPr>
                <w:rFonts w:eastAsiaTheme="minorHAnsi" w:cstheme="minorBidi"/>
                <w:kern w:val="0"/>
              </w:rPr>
            </w:pPr>
            <w:r>
              <w:t xml:space="preserve">Приложение III може да бъде намерено в документа, наречен “Радиационна защита и безопасност на източниците на </w:t>
            </w:r>
            <w:r w:rsidR="00B3391E">
              <w:t>йонизиращи лъчения</w:t>
            </w:r>
            <w:r>
              <w:t>: Международни основни стандарти за безопасност”, публикуван от МААЕ.</w:t>
            </w:r>
          </w:p>
        </w:tc>
      </w:tr>
      <w:tr w:rsidR="00DA13AD" w14:paraId="12355C5D" w14:textId="77777777" w:rsidTr="00C17EE0">
        <w:tc>
          <w:tcPr>
            <w:tcW w:w="798" w:type="dxa"/>
          </w:tcPr>
          <w:p w14:paraId="47F70149" w14:textId="3591A3B4" w:rsidR="00DA13AD" w:rsidRDefault="00DA13AD" w:rsidP="00DA13AD">
            <w:r>
              <w:t>3.27.</w:t>
            </w:r>
          </w:p>
        </w:tc>
        <w:tc>
          <w:tcPr>
            <w:tcW w:w="5151" w:type="dxa"/>
          </w:tcPr>
          <w:p w14:paraId="69F92BC7" w14:textId="3C6FECFF" w:rsidR="00DA13AD" w:rsidRDefault="00DA13AD" w:rsidP="00DA13AD">
            <w:r>
              <w:t xml:space="preserve">Правителството или регулаторният орган определя какви допълнителни ограничения, ако има такива, се изисква да бъдат спазвани от регистрираните </w:t>
            </w:r>
            <w:r>
              <w:lastRenderedPageBreak/>
              <w:t xml:space="preserve">лица и лицензиантите, за да се гарантира, че </w:t>
            </w:r>
            <w:r w:rsidR="00B3391E">
              <w:t>граничните</w:t>
            </w:r>
            <w:r>
              <w:t xml:space="preserve"> дози, посочени в Приложение III, не се превишават поради възможни комбинации от дози на облъчване, дължащи се на различни разрешени практически дейности.</w:t>
            </w:r>
          </w:p>
        </w:tc>
        <w:tc>
          <w:tcPr>
            <w:tcW w:w="1559" w:type="dxa"/>
          </w:tcPr>
          <w:p w14:paraId="17115E77" w14:textId="71A21A00" w:rsidR="00DA13AD" w:rsidRDefault="00062665" w:rsidP="00DA13AD">
            <w:pPr>
              <w:jc w:val="center"/>
            </w:pPr>
            <w:r>
              <w:lastRenderedPageBreak/>
              <w:t>EP</w:t>
            </w:r>
          </w:p>
        </w:tc>
        <w:tc>
          <w:tcPr>
            <w:tcW w:w="5987" w:type="dxa"/>
          </w:tcPr>
          <w:p w14:paraId="72CC574D" w14:textId="637E2940" w:rsidR="00062665" w:rsidRDefault="00F4580F" w:rsidP="00062665">
            <w:pPr>
              <w:rPr>
                <w:rFonts w:eastAsiaTheme="minorHAnsi" w:cstheme="minorBidi"/>
              </w:rPr>
            </w:pPr>
            <w:r>
              <w:t>Това е отговорност на Правителството / Регулаторния орган.</w:t>
            </w:r>
          </w:p>
          <w:p w14:paraId="1061C7A9" w14:textId="2CE3D565" w:rsidR="00C439B1" w:rsidRPr="00C439B1" w:rsidRDefault="00C439B1" w:rsidP="00DA13AD">
            <w:pPr>
              <w:rPr>
                <w:rFonts w:eastAsiaTheme="minorHAnsi" w:cstheme="minorBidi"/>
                <w:kern w:val="0"/>
              </w:rPr>
            </w:pPr>
            <w:r>
              <w:lastRenderedPageBreak/>
              <w:t xml:space="preserve">Приложение III може да бъде намерено в документа, наречен “Радиационна защита и безопасност на източниците на </w:t>
            </w:r>
            <w:r w:rsidR="00B3391E">
              <w:t>йонизиращи лъчения</w:t>
            </w:r>
            <w:r>
              <w:t>: Международни основни стандарти за безопасност”, публикуван от МААЕ.</w:t>
            </w:r>
          </w:p>
        </w:tc>
      </w:tr>
      <w:tr w:rsidR="00DA13AD" w14:paraId="78013E30" w14:textId="77777777" w:rsidTr="00C17EE0">
        <w:tc>
          <w:tcPr>
            <w:tcW w:w="798" w:type="dxa"/>
          </w:tcPr>
          <w:p w14:paraId="45192C70" w14:textId="68F7268F" w:rsidR="00DA13AD" w:rsidRDefault="00DA13AD" w:rsidP="00DA13AD">
            <w:r>
              <w:lastRenderedPageBreak/>
              <w:t>3.28.</w:t>
            </w:r>
          </w:p>
        </w:tc>
        <w:tc>
          <w:tcPr>
            <w:tcW w:w="5151" w:type="dxa"/>
          </w:tcPr>
          <w:p w14:paraId="71CA996E" w14:textId="3B7E469A" w:rsidR="00DA13AD" w:rsidRDefault="00DA13AD" w:rsidP="00DA13AD">
            <w:r>
              <w:t xml:space="preserve">Регистрираните лица и лицензиантите трябва да гарантират, че облъчването на лица, дължащо се на практическите дейности, за които регистрираните лица и лицензиантите имат официално разрешение, е ограничено, така че нито ефективната доза, нито еквивалентната доза в тъкани или органи да не превишават която и да е съответна </w:t>
            </w:r>
            <w:r w:rsidR="00B3391E">
              <w:t>гранична</w:t>
            </w:r>
            <w:r>
              <w:t xml:space="preserve"> доза, посочена в Приложение III</w:t>
            </w:r>
            <w:r>
              <w:rPr>
                <w:vertAlign w:val="superscript"/>
              </w:rPr>
              <w:t>27</w:t>
            </w:r>
            <w:r>
              <w:t>.</w:t>
            </w:r>
          </w:p>
        </w:tc>
        <w:tc>
          <w:tcPr>
            <w:tcW w:w="1559" w:type="dxa"/>
          </w:tcPr>
          <w:p w14:paraId="046CFB83" w14:textId="5202F32B" w:rsidR="00DA13AD" w:rsidRDefault="004D0142" w:rsidP="00DA13AD">
            <w:pPr>
              <w:jc w:val="center"/>
            </w:pPr>
            <w:r>
              <w:t>CWO, OR</w:t>
            </w:r>
          </w:p>
        </w:tc>
        <w:tc>
          <w:tcPr>
            <w:tcW w:w="5987" w:type="dxa"/>
          </w:tcPr>
          <w:p w14:paraId="62BD2E8B" w14:textId="23412A97" w:rsidR="00DA13AD" w:rsidRPr="00BD4A27" w:rsidRDefault="00DE5355" w:rsidP="00DA13AD">
            <w:pPr>
              <w:rPr>
                <w:rFonts w:eastAsiaTheme="minorHAnsi"/>
                <w:kern w:val="0"/>
              </w:rPr>
            </w:pPr>
            <w:r>
              <w:t>Това е отговорност на Собственика/Лицензианта.</w:t>
            </w:r>
          </w:p>
          <w:p w14:paraId="1E60521B" w14:textId="7766D21C" w:rsidR="004D0142" w:rsidRDefault="004D0142" w:rsidP="00DA13AD">
            <w:r>
              <w:t xml:space="preserve">Както е обяснено в Раздел 1.4 на тази оценка, настоящият проект на AP1000 е в състояние да изпълни това изискване при наличието на подходящи радиационни програми, въпреки че тези </w:t>
            </w:r>
            <w:r w:rsidR="00B3391E">
              <w:t>граници</w:t>
            </w:r>
            <w:r>
              <w:t xml:space="preserve"> се различават от използваните в 10 CFR 20. По такъв начин, консервативно това се смята за CWO, тъй като в определен момент потенциално може да възникне необходимост </w:t>
            </w:r>
            <w:r w:rsidR="00B3391E">
              <w:t>от</w:t>
            </w:r>
            <w:r>
              <w:t xml:space="preserve"> извършване на допълнителни анализи.</w:t>
            </w:r>
          </w:p>
          <w:p w14:paraId="475A7E5B" w14:textId="3E977149" w:rsidR="009F098A" w:rsidRPr="00BD4A27" w:rsidRDefault="009F098A" w:rsidP="009F098A">
            <w:pPr>
              <w:pStyle w:val="pf0"/>
              <w:rPr>
                <w:rFonts w:asciiTheme="minorHAnsi" w:hAnsiTheme="minorHAnsi" w:cstheme="minorHAnsi"/>
                <w:sz w:val="22"/>
                <w:szCs w:val="22"/>
              </w:rPr>
            </w:pPr>
            <w:r>
              <w:rPr>
                <w:rStyle w:val="cf01"/>
                <w:rFonts w:asciiTheme="minorHAnsi" w:hAnsiTheme="minorHAnsi"/>
                <w:sz w:val="22"/>
              </w:rPr>
              <w:t xml:space="preserve">Това са според 10 CFR 20.1201 </w:t>
            </w:r>
            <w:r w:rsidR="00B3391E">
              <w:rPr>
                <w:rStyle w:val="cf01"/>
                <w:rFonts w:asciiTheme="minorHAnsi" w:hAnsiTheme="minorHAnsi"/>
                <w:sz w:val="22"/>
              </w:rPr>
              <w:t>граничните</w:t>
            </w:r>
            <w:r>
              <w:rPr>
                <w:rStyle w:val="cf01"/>
                <w:rFonts w:asciiTheme="minorHAnsi" w:hAnsiTheme="minorHAnsi"/>
                <w:sz w:val="22"/>
              </w:rPr>
              <w:t xml:space="preserve"> дози на професионално облъчване за възрастни.</w:t>
            </w:r>
          </w:p>
          <w:p w14:paraId="1CF4926F" w14:textId="3C85BC4D" w:rsidR="009F098A" w:rsidRPr="00BD4A27" w:rsidRDefault="009F098A" w:rsidP="004A2ACA">
            <w:pPr>
              <w:pStyle w:val="pf0"/>
              <w:spacing w:after="0" w:afterAutospacing="0"/>
              <w:rPr>
                <w:rFonts w:asciiTheme="minorHAnsi" w:hAnsiTheme="minorHAnsi" w:cstheme="minorHAnsi"/>
                <w:sz w:val="22"/>
                <w:szCs w:val="22"/>
              </w:rPr>
            </w:pPr>
            <w:r>
              <w:rPr>
                <w:rStyle w:val="cf01"/>
                <w:rFonts w:asciiTheme="minorHAnsi" w:hAnsiTheme="minorHAnsi"/>
                <w:sz w:val="22"/>
              </w:rPr>
              <w:t xml:space="preserve">(а) Лицензиантът ще контролира професионалната доза за отделни възрастни, с изключение на планираните специални облъчвания съгласно § 20.1206, в съответствие със следните </w:t>
            </w:r>
            <w:r w:rsidR="00034AD2">
              <w:rPr>
                <w:rStyle w:val="cf01"/>
                <w:rFonts w:asciiTheme="minorHAnsi" w:hAnsiTheme="minorHAnsi"/>
                <w:sz w:val="22"/>
              </w:rPr>
              <w:t>дозови ограничения</w:t>
            </w:r>
            <w:r>
              <w:rPr>
                <w:rStyle w:val="cf01"/>
                <w:rFonts w:asciiTheme="minorHAnsi" w:hAnsiTheme="minorHAnsi"/>
                <w:sz w:val="22"/>
              </w:rPr>
              <w:t>.</w:t>
            </w:r>
          </w:p>
          <w:p w14:paraId="6DA264D1" w14:textId="61C3C8D0" w:rsidR="009F098A" w:rsidRPr="00BD4A27" w:rsidRDefault="009F098A" w:rsidP="004A2ACA">
            <w:pPr>
              <w:pStyle w:val="pf0"/>
              <w:spacing w:before="0" w:beforeAutospacing="0" w:after="0" w:afterAutospacing="0"/>
              <w:rPr>
                <w:rFonts w:asciiTheme="minorHAnsi" w:hAnsiTheme="minorHAnsi" w:cstheme="minorHAnsi"/>
                <w:sz w:val="22"/>
                <w:szCs w:val="22"/>
              </w:rPr>
            </w:pPr>
            <w:r>
              <w:rPr>
                <w:rStyle w:val="cf01"/>
                <w:rFonts w:asciiTheme="minorHAnsi" w:hAnsiTheme="minorHAnsi"/>
                <w:sz w:val="22"/>
              </w:rPr>
              <w:t>(1) Годиш</w:t>
            </w:r>
            <w:r w:rsidR="00B3391E">
              <w:rPr>
                <w:rStyle w:val="cf01"/>
                <w:rFonts w:asciiTheme="minorHAnsi" w:hAnsiTheme="minorHAnsi"/>
                <w:sz w:val="22"/>
              </w:rPr>
              <w:t>на</w:t>
            </w:r>
            <w:r>
              <w:rPr>
                <w:rStyle w:val="cf01"/>
                <w:rFonts w:asciiTheme="minorHAnsi" w:hAnsiTheme="minorHAnsi"/>
                <w:sz w:val="22"/>
              </w:rPr>
              <w:t xml:space="preserve"> </w:t>
            </w:r>
            <w:r w:rsidR="00B3391E">
              <w:rPr>
                <w:rStyle w:val="cf01"/>
                <w:rFonts w:asciiTheme="minorHAnsi" w:hAnsiTheme="minorHAnsi"/>
                <w:sz w:val="22"/>
              </w:rPr>
              <w:t>граница</w:t>
            </w:r>
            <w:r>
              <w:rPr>
                <w:rStyle w:val="cf01"/>
                <w:rFonts w:asciiTheme="minorHAnsi" w:hAnsiTheme="minorHAnsi"/>
                <w:sz w:val="22"/>
              </w:rPr>
              <w:t>, който е по-</w:t>
            </w:r>
            <w:r w:rsidR="001A5D42">
              <w:rPr>
                <w:rStyle w:val="cf01"/>
                <w:rFonts w:asciiTheme="minorHAnsi" w:hAnsiTheme="minorHAnsi"/>
                <w:sz w:val="22"/>
              </w:rPr>
              <w:t>ограничаваща</w:t>
            </w:r>
            <w:r>
              <w:rPr>
                <w:rStyle w:val="cf01"/>
                <w:rFonts w:asciiTheme="minorHAnsi" w:hAnsiTheme="minorHAnsi"/>
                <w:sz w:val="22"/>
              </w:rPr>
              <w:t xml:space="preserve"> от:</w:t>
            </w:r>
          </w:p>
          <w:p w14:paraId="605CE9F2" w14:textId="1C11C86C" w:rsidR="00BD4A27" w:rsidRPr="00BD4A27" w:rsidRDefault="009F098A" w:rsidP="00692307">
            <w:pPr>
              <w:pStyle w:val="pf0"/>
              <w:spacing w:before="0" w:beforeAutospacing="0" w:after="0" w:afterAutospacing="0"/>
              <w:ind w:left="618"/>
              <w:rPr>
                <w:rFonts w:asciiTheme="minorHAnsi" w:hAnsiTheme="minorHAnsi" w:cstheme="minorHAnsi"/>
                <w:sz w:val="22"/>
                <w:szCs w:val="22"/>
              </w:rPr>
            </w:pPr>
            <w:r>
              <w:rPr>
                <w:rStyle w:val="cf01"/>
                <w:rFonts w:asciiTheme="minorHAnsi" w:hAnsiTheme="minorHAnsi"/>
                <w:sz w:val="22"/>
              </w:rPr>
              <w:t>(i) общ</w:t>
            </w:r>
            <w:r w:rsidR="00B3391E">
              <w:rPr>
                <w:rStyle w:val="cf01"/>
                <w:rFonts w:asciiTheme="minorHAnsi" w:hAnsiTheme="minorHAnsi"/>
                <w:sz w:val="22"/>
              </w:rPr>
              <w:t>ия</w:t>
            </w:r>
            <w:r>
              <w:rPr>
                <w:rStyle w:val="cf01"/>
                <w:rFonts w:asciiTheme="minorHAnsi" w:hAnsiTheme="minorHAnsi"/>
                <w:sz w:val="22"/>
              </w:rPr>
              <w:t xml:space="preserve"> </w:t>
            </w:r>
            <w:r w:rsidR="001A5D42">
              <w:rPr>
                <w:rStyle w:val="cf01"/>
                <w:rFonts w:asciiTheme="minorHAnsi" w:hAnsiTheme="minorHAnsi"/>
                <w:sz w:val="22"/>
              </w:rPr>
              <w:t>ефективен дозов</w:t>
            </w:r>
            <w:r>
              <w:rPr>
                <w:rStyle w:val="cf01"/>
                <w:rFonts w:asciiTheme="minorHAnsi" w:hAnsiTheme="minorHAnsi"/>
                <w:sz w:val="22"/>
              </w:rPr>
              <w:t xml:space="preserve"> еквивалент, рав</w:t>
            </w:r>
            <w:r w:rsidR="001A5D42">
              <w:rPr>
                <w:rStyle w:val="cf01"/>
                <w:rFonts w:asciiTheme="minorHAnsi" w:hAnsiTheme="minorHAnsi"/>
                <w:sz w:val="22"/>
              </w:rPr>
              <w:t>ен</w:t>
            </w:r>
            <w:r>
              <w:rPr>
                <w:rStyle w:val="cf01"/>
                <w:rFonts w:asciiTheme="minorHAnsi" w:hAnsiTheme="minorHAnsi"/>
                <w:sz w:val="22"/>
              </w:rPr>
              <w:t xml:space="preserve"> на 5 rem (0,05 Sv); или</w:t>
            </w:r>
          </w:p>
          <w:p w14:paraId="38EEC7AD" w14:textId="5D910103" w:rsidR="009F098A" w:rsidRPr="00BD4A27" w:rsidRDefault="009F098A" w:rsidP="00692307">
            <w:pPr>
              <w:pStyle w:val="pf0"/>
              <w:spacing w:before="0" w:beforeAutospacing="0" w:after="0" w:afterAutospacing="0"/>
              <w:ind w:left="618"/>
              <w:rPr>
                <w:rFonts w:asciiTheme="minorHAnsi" w:hAnsiTheme="minorHAnsi" w:cstheme="minorHAnsi"/>
                <w:sz w:val="22"/>
                <w:szCs w:val="22"/>
              </w:rPr>
            </w:pPr>
            <w:r>
              <w:rPr>
                <w:rStyle w:val="cf01"/>
                <w:rFonts w:asciiTheme="minorHAnsi" w:hAnsiTheme="minorHAnsi"/>
                <w:sz w:val="22"/>
              </w:rPr>
              <w:t xml:space="preserve">(ii) сумата от </w:t>
            </w:r>
            <w:r w:rsidR="001A5D42">
              <w:rPr>
                <w:rStyle w:val="cf01"/>
                <w:rFonts w:asciiTheme="minorHAnsi" w:hAnsiTheme="minorHAnsi"/>
                <w:sz w:val="22"/>
              </w:rPr>
              <w:t>дозовите</w:t>
            </w:r>
            <w:r>
              <w:rPr>
                <w:rStyle w:val="cf01"/>
                <w:rFonts w:asciiTheme="minorHAnsi" w:hAnsiTheme="minorHAnsi"/>
                <w:sz w:val="22"/>
              </w:rPr>
              <w:t xml:space="preserve"> еквивалент</w:t>
            </w:r>
            <w:r w:rsidR="001A5D42">
              <w:rPr>
                <w:rStyle w:val="cf01"/>
                <w:rFonts w:asciiTheme="minorHAnsi" w:hAnsiTheme="minorHAnsi"/>
                <w:sz w:val="22"/>
              </w:rPr>
              <w:t>и</w:t>
            </w:r>
            <w:r>
              <w:rPr>
                <w:rStyle w:val="cf01"/>
                <w:rFonts w:asciiTheme="minorHAnsi" w:hAnsiTheme="minorHAnsi"/>
                <w:sz w:val="22"/>
              </w:rPr>
              <w:t xml:space="preserve"> </w:t>
            </w:r>
            <w:r w:rsidR="001A5D42">
              <w:rPr>
                <w:rStyle w:val="cf01"/>
                <w:rFonts w:asciiTheme="minorHAnsi" w:hAnsiTheme="minorHAnsi"/>
                <w:sz w:val="22"/>
              </w:rPr>
              <w:t>при външно и вътрешно облъчване</w:t>
            </w:r>
            <w:r>
              <w:rPr>
                <w:rStyle w:val="cf01"/>
                <w:rFonts w:asciiTheme="minorHAnsi" w:hAnsiTheme="minorHAnsi"/>
                <w:sz w:val="22"/>
              </w:rPr>
              <w:t xml:space="preserve"> за всеки отделен орган или тъкан, различен от очната леща, равна на 50 rem (0,50 Sv).</w:t>
            </w:r>
          </w:p>
          <w:p w14:paraId="2D1514FC" w14:textId="1EE0B34C" w:rsidR="009F098A" w:rsidRPr="00BD4A27" w:rsidRDefault="009F098A" w:rsidP="004A2ACA">
            <w:pPr>
              <w:pStyle w:val="pf0"/>
              <w:spacing w:before="0" w:beforeAutospacing="0" w:after="0" w:afterAutospacing="0"/>
              <w:rPr>
                <w:rFonts w:asciiTheme="minorHAnsi" w:hAnsiTheme="minorHAnsi" w:cstheme="minorHAnsi"/>
                <w:sz w:val="22"/>
                <w:szCs w:val="22"/>
              </w:rPr>
            </w:pPr>
            <w:r>
              <w:rPr>
                <w:rStyle w:val="cf01"/>
                <w:rFonts w:asciiTheme="minorHAnsi" w:hAnsiTheme="minorHAnsi"/>
                <w:sz w:val="22"/>
              </w:rPr>
              <w:lastRenderedPageBreak/>
              <w:t xml:space="preserve">(2) Годишните </w:t>
            </w:r>
            <w:r w:rsidR="001A5D42">
              <w:rPr>
                <w:rStyle w:val="cf01"/>
                <w:rFonts w:asciiTheme="minorHAnsi" w:hAnsiTheme="minorHAnsi"/>
                <w:sz w:val="22"/>
              </w:rPr>
              <w:t>граници</w:t>
            </w:r>
            <w:r>
              <w:rPr>
                <w:rStyle w:val="cf01"/>
                <w:rFonts w:asciiTheme="minorHAnsi" w:hAnsiTheme="minorHAnsi"/>
                <w:sz w:val="22"/>
              </w:rPr>
              <w:t xml:space="preserve"> за очната леща, кожата на цялото тяло и кожата на крайниците, които са:</w:t>
            </w:r>
          </w:p>
          <w:p w14:paraId="5DEF7E07" w14:textId="38A26313" w:rsidR="009F098A" w:rsidRPr="00BD4A27" w:rsidRDefault="009F098A" w:rsidP="00BA3858">
            <w:pPr>
              <w:pStyle w:val="pf0"/>
              <w:spacing w:before="0" w:beforeAutospacing="0" w:after="0" w:afterAutospacing="0"/>
              <w:ind w:left="618"/>
              <w:rPr>
                <w:rStyle w:val="cf01"/>
                <w:rFonts w:asciiTheme="minorHAnsi" w:hAnsiTheme="minorHAnsi" w:cstheme="minorHAnsi"/>
                <w:sz w:val="22"/>
                <w:szCs w:val="22"/>
              </w:rPr>
            </w:pPr>
            <w:r>
              <w:rPr>
                <w:rStyle w:val="cf01"/>
                <w:rFonts w:asciiTheme="minorHAnsi" w:hAnsiTheme="minorHAnsi"/>
                <w:sz w:val="22"/>
              </w:rPr>
              <w:t xml:space="preserve">(i) </w:t>
            </w:r>
            <w:r w:rsidR="00612437">
              <w:rPr>
                <w:rStyle w:val="cf01"/>
                <w:rFonts w:asciiTheme="minorHAnsi" w:hAnsiTheme="minorHAnsi"/>
                <w:sz w:val="22"/>
              </w:rPr>
              <w:t>дозов</w:t>
            </w:r>
            <w:r>
              <w:rPr>
                <w:rStyle w:val="cf01"/>
                <w:rFonts w:asciiTheme="minorHAnsi" w:hAnsiTheme="minorHAnsi"/>
                <w:sz w:val="22"/>
              </w:rPr>
              <w:t xml:space="preserve"> еквивалент на лещата от 15 rem (0,15 Sv); и</w:t>
            </w:r>
          </w:p>
          <w:p w14:paraId="543FC6E9" w14:textId="7B66F520" w:rsidR="009F098A" w:rsidRPr="00BD4A27" w:rsidRDefault="009F098A" w:rsidP="00BA3858">
            <w:pPr>
              <w:pStyle w:val="pf0"/>
              <w:spacing w:before="0" w:beforeAutospacing="0"/>
              <w:ind w:left="618"/>
              <w:rPr>
                <w:rFonts w:asciiTheme="minorHAnsi" w:hAnsiTheme="minorHAnsi" w:cstheme="minorHAnsi"/>
                <w:sz w:val="22"/>
                <w:szCs w:val="22"/>
              </w:rPr>
            </w:pPr>
            <w:r>
              <w:rPr>
                <w:rStyle w:val="cf01"/>
                <w:rFonts w:asciiTheme="minorHAnsi" w:hAnsiTheme="minorHAnsi"/>
                <w:sz w:val="22"/>
              </w:rPr>
              <w:t xml:space="preserve">(ii) </w:t>
            </w:r>
            <w:r w:rsidR="00612437">
              <w:rPr>
                <w:rStyle w:val="cf01"/>
                <w:rFonts w:asciiTheme="minorHAnsi" w:hAnsiTheme="minorHAnsi"/>
                <w:sz w:val="22"/>
              </w:rPr>
              <w:t>дозов</w:t>
            </w:r>
            <w:r>
              <w:rPr>
                <w:rStyle w:val="cf01"/>
                <w:rFonts w:asciiTheme="minorHAnsi" w:hAnsiTheme="minorHAnsi"/>
                <w:sz w:val="22"/>
              </w:rPr>
              <w:t xml:space="preserve"> еквивалент </w:t>
            </w:r>
            <w:r w:rsidR="00612437">
              <w:rPr>
                <w:rStyle w:val="cf01"/>
                <w:rFonts w:asciiTheme="minorHAnsi" w:hAnsiTheme="minorHAnsi"/>
                <w:sz w:val="22"/>
              </w:rPr>
              <w:t>при външно облъчване</w:t>
            </w:r>
            <w:r>
              <w:rPr>
                <w:rStyle w:val="cf01"/>
                <w:rFonts w:asciiTheme="minorHAnsi" w:hAnsiTheme="minorHAnsi"/>
                <w:sz w:val="22"/>
              </w:rPr>
              <w:t xml:space="preserve"> от 50 rem (0,50 Sv) върху кожата на цялото тяло или върху кожата на кой да е крайник.</w:t>
            </w:r>
          </w:p>
          <w:p w14:paraId="63F98F74" w14:textId="37D6B9A6" w:rsidR="004D0142" w:rsidRPr="00BD4A27" w:rsidRDefault="00C439B1" w:rsidP="00DA13AD">
            <w:pPr>
              <w:rPr>
                <w:rFonts w:eastAsiaTheme="minorHAnsi"/>
                <w:kern w:val="0"/>
              </w:rPr>
            </w:pPr>
            <w:r>
              <w:t xml:space="preserve">Приложение III може да бъде намерено в документа, наречен “Радиационна защита и безопасност на източниците на </w:t>
            </w:r>
            <w:r w:rsidR="00612437">
              <w:t>йонизиращи лъчения</w:t>
            </w:r>
            <w:r>
              <w:t>: Международни основни стандарти за безопасност”, публикуван от МААЕ.</w:t>
            </w:r>
          </w:p>
        </w:tc>
      </w:tr>
    </w:tbl>
    <w:p w14:paraId="68DD6807" w14:textId="0D148D15" w:rsidR="001F01A9" w:rsidRPr="00BC2411" w:rsidRDefault="006762A0" w:rsidP="00190D0E">
      <w:pPr>
        <w:pStyle w:val="Heading3"/>
        <w:spacing w:before="240"/>
        <w:rPr>
          <w:caps/>
        </w:rPr>
      </w:pPr>
      <w:bookmarkStart w:id="43" w:name="_Toc155347790"/>
      <w:r>
        <w:lastRenderedPageBreak/>
        <w:t>Изискване 13: Оценка на безопасността</w:t>
      </w:r>
      <w:bookmarkEnd w:id="43"/>
    </w:p>
    <w:tbl>
      <w:tblPr>
        <w:tblStyle w:val="TableGrid"/>
        <w:tblW w:w="13495" w:type="dxa"/>
        <w:tblLayout w:type="fixed"/>
        <w:tblLook w:val="04A0" w:firstRow="1" w:lastRow="0" w:firstColumn="1" w:lastColumn="0" w:noHBand="0" w:noVBand="1"/>
      </w:tblPr>
      <w:tblGrid>
        <w:gridCol w:w="797"/>
        <w:gridCol w:w="5152"/>
        <w:gridCol w:w="1559"/>
        <w:gridCol w:w="5987"/>
      </w:tblGrid>
      <w:tr w:rsidR="007C7B15" w:rsidRPr="00F172DF" w14:paraId="1125216D" w14:textId="77777777" w:rsidTr="00C17EE0">
        <w:trPr>
          <w:tblHeader/>
        </w:trPr>
        <w:tc>
          <w:tcPr>
            <w:tcW w:w="797" w:type="dxa"/>
          </w:tcPr>
          <w:p w14:paraId="1415E6EA" w14:textId="77777777" w:rsidR="007C7B15" w:rsidRPr="00F172DF" w:rsidRDefault="007C7B15" w:rsidP="00B723E1">
            <w:pPr>
              <w:rPr>
                <w:b/>
                <w:bCs/>
              </w:rPr>
            </w:pPr>
          </w:p>
        </w:tc>
        <w:tc>
          <w:tcPr>
            <w:tcW w:w="5152" w:type="dxa"/>
          </w:tcPr>
          <w:p w14:paraId="27486D9C" w14:textId="77777777" w:rsidR="007C7B15" w:rsidRPr="00F172DF" w:rsidRDefault="007C7B15" w:rsidP="00B723E1">
            <w:pPr>
              <w:rPr>
                <w:b/>
                <w:bCs/>
              </w:rPr>
            </w:pPr>
            <w:r>
              <w:rPr>
                <w:b/>
              </w:rPr>
              <w:t>Описание</w:t>
            </w:r>
          </w:p>
        </w:tc>
        <w:tc>
          <w:tcPr>
            <w:tcW w:w="1559" w:type="dxa"/>
          </w:tcPr>
          <w:p w14:paraId="20A1C1E8" w14:textId="77777777" w:rsidR="007C7B15" w:rsidRPr="00F172DF" w:rsidRDefault="007C7B15" w:rsidP="00B723E1">
            <w:pPr>
              <w:rPr>
                <w:b/>
                <w:bCs/>
              </w:rPr>
            </w:pPr>
            <w:r>
              <w:rPr>
                <w:b/>
              </w:rPr>
              <w:t>Съответствие</w:t>
            </w:r>
          </w:p>
        </w:tc>
        <w:tc>
          <w:tcPr>
            <w:tcW w:w="5987" w:type="dxa"/>
          </w:tcPr>
          <w:p w14:paraId="789898A6" w14:textId="77777777" w:rsidR="007C7B15" w:rsidRPr="00F172DF" w:rsidRDefault="007C7B15" w:rsidP="00B723E1">
            <w:pPr>
              <w:rPr>
                <w:b/>
                <w:bCs/>
              </w:rPr>
            </w:pPr>
            <w:r>
              <w:rPr>
                <w:b/>
              </w:rPr>
              <w:t>Обосновка</w:t>
            </w:r>
          </w:p>
        </w:tc>
      </w:tr>
      <w:tr w:rsidR="00DB305B" w14:paraId="21FE303B" w14:textId="77777777" w:rsidTr="00C17EE0">
        <w:tc>
          <w:tcPr>
            <w:tcW w:w="797" w:type="dxa"/>
          </w:tcPr>
          <w:p w14:paraId="5738620C" w14:textId="39C4D605" w:rsidR="00DB305B" w:rsidRDefault="00DB305B" w:rsidP="00DB305B"/>
        </w:tc>
        <w:tc>
          <w:tcPr>
            <w:tcW w:w="5152" w:type="dxa"/>
          </w:tcPr>
          <w:p w14:paraId="29165C26" w14:textId="08052AA7" w:rsidR="00DB305B" w:rsidRDefault="00DB305B" w:rsidP="009D20C4">
            <w:pPr>
              <w:spacing w:after="240"/>
            </w:pPr>
            <w:r>
              <w:rPr>
                <w:b/>
              </w:rPr>
              <w:t>Регулаторният орган установява и прилага изисквания за оценка на безопасността, а лицето или организацията, отговорни за съоръжение или дейност, които пораждат радиационни рискове, извършват подходяща оценка на безопасността на това съоръжение или дейност.</w:t>
            </w:r>
          </w:p>
        </w:tc>
        <w:tc>
          <w:tcPr>
            <w:tcW w:w="1559" w:type="dxa"/>
          </w:tcPr>
          <w:p w14:paraId="59D9E5F6" w14:textId="12D1C35F" w:rsidR="00DB305B" w:rsidRDefault="00E767BE" w:rsidP="00DB305B">
            <w:pPr>
              <w:jc w:val="center"/>
            </w:pPr>
            <w:r>
              <w:t>OR, EP</w:t>
            </w:r>
          </w:p>
        </w:tc>
        <w:tc>
          <w:tcPr>
            <w:tcW w:w="5987" w:type="dxa"/>
          </w:tcPr>
          <w:p w14:paraId="1757E523" w14:textId="5FFAD4EF" w:rsidR="00DB305B" w:rsidRPr="00E564B5" w:rsidRDefault="00E70076" w:rsidP="00DB305B">
            <w:pPr>
              <w:rPr>
                <w:rFonts w:eastAsiaTheme="minorHAnsi" w:cstheme="minorBidi"/>
              </w:rPr>
            </w:pPr>
            <w:r>
              <w:t>Това е отговорност на Регулаторния орган и Собственика/Лицензианта.</w:t>
            </w:r>
          </w:p>
        </w:tc>
      </w:tr>
      <w:tr w:rsidR="00DB305B" w14:paraId="0949FF18" w14:textId="77777777" w:rsidTr="00C17EE0">
        <w:tc>
          <w:tcPr>
            <w:tcW w:w="797" w:type="dxa"/>
          </w:tcPr>
          <w:p w14:paraId="2F8D09F9" w14:textId="4EDE4001" w:rsidR="00DB305B" w:rsidRDefault="00DB305B" w:rsidP="00DB305B">
            <w:r>
              <w:t>3.29.</w:t>
            </w:r>
          </w:p>
        </w:tc>
        <w:tc>
          <w:tcPr>
            <w:tcW w:w="5152" w:type="dxa"/>
          </w:tcPr>
          <w:p w14:paraId="50C45452" w14:textId="51C55ECB" w:rsidR="00DB305B" w:rsidRDefault="00DB305B" w:rsidP="00DB305B">
            <w:r>
              <w:t>Регулаторният орган установява изисквания за лицата или организациите, отговорни за съоръжения и дейности, които пораждат радиационни рискове, да извършват подходяща оценка на безопасността</w:t>
            </w:r>
            <w:r>
              <w:rPr>
                <w:vertAlign w:val="superscript"/>
              </w:rPr>
              <w:t>28</w:t>
            </w:r>
            <w:r>
              <w:t xml:space="preserve">. Преди издаването на официално разрешение, от отговорното лице или организация се изисква да представи оценка на </w:t>
            </w:r>
            <w:r>
              <w:lastRenderedPageBreak/>
              <w:t>безопасността, която се разглежда и оценява от регулаторния орган.</w:t>
            </w:r>
          </w:p>
        </w:tc>
        <w:tc>
          <w:tcPr>
            <w:tcW w:w="1559" w:type="dxa"/>
          </w:tcPr>
          <w:p w14:paraId="16E3B6D7" w14:textId="1345C667" w:rsidR="00DB305B" w:rsidRDefault="00E767BE" w:rsidP="00DB305B">
            <w:pPr>
              <w:jc w:val="center"/>
            </w:pPr>
            <w:r>
              <w:lastRenderedPageBreak/>
              <w:t>OR, EP</w:t>
            </w:r>
          </w:p>
        </w:tc>
        <w:tc>
          <w:tcPr>
            <w:tcW w:w="5987" w:type="dxa"/>
          </w:tcPr>
          <w:p w14:paraId="38EA22E8" w14:textId="5D7E7AAE" w:rsidR="00DB305B" w:rsidRDefault="00E70076" w:rsidP="00DB305B">
            <w:r>
              <w:t>Това е отговорност на Регулаторния орган и Собственика/Лицензианта.</w:t>
            </w:r>
          </w:p>
        </w:tc>
      </w:tr>
      <w:tr w:rsidR="00767C2F" w14:paraId="76D28FEE" w14:textId="77777777" w:rsidTr="00C17EE0">
        <w:tc>
          <w:tcPr>
            <w:tcW w:w="797" w:type="dxa"/>
          </w:tcPr>
          <w:p w14:paraId="76CBE2E7" w14:textId="62B8FD50" w:rsidR="00767C2F" w:rsidRDefault="00767C2F" w:rsidP="00767C2F">
            <w:r>
              <w:t>3.30.</w:t>
            </w:r>
          </w:p>
        </w:tc>
        <w:tc>
          <w:tcPr>
            <w:tcW w:w="5152" w:type="dxa"/>
          </w:tcPr>
          <w:p w14:paraId="06CCB80D" w14:textId="26A382ED" w:rsidR="00767C2F" w:rsidRDefault="00767C2F" w:rsidP="00767C2F">
            <w:r>
              <w:t>Лицето или организацията, както се изисква съгласно буква г) на т. 3.9, или регистрираните лица и лицензиантите, в зависимост от случая, извършват оценка на безопасността, която е обща или специфична за практическата дейност или източника, за които отговарят</w:t>
            </w:r>
            <w:r>
              <w:rPr>
                <w:vertAlign w:val="superscript"/>
              </w:rPr>
              <w:t>29</w:t>
            </w:r>
            <w:r>
              <w:t>.</w:t>
            </w:r>
          </w:p>
        </w:tc>
        <w:tc>
          <w:tcPr>
            <w:tcW w:w="1559" w:type="dxa"/>
          </w:tcPr>
          <w:p w14:paraId="76BD6F36" w14:textId="7674AD2E" w:rsidR="00767C2F" w:rsidRDefault="00DE5355" w:rsidP="00767C2F">
            <w:pPr>
              <w:jc w:val="center"/>
            </w:pPr>
            <w:r>
              <w:t>OR, EP</w:t>
            </w:r>
          </w:p>
        </w:tc>
        <w:tc>
          <w:tcPr>
            <w:tcW w:w="5987" w:type="dxa"/>
          </w:tcPr>
          <w:p w14:paraId="5C605610" w14:textId="08AF13B7" w:rsidR="00767C2F" w:rsidRDefault="00DE5355" w:rsidP="00767C2F">
            <w:r>
              <w:t>Това е отговорност на Собственика/Лицензианта или друга външна страна.</w:t>
            </w:r>
          </w:p>
        </w:tc>
      </w:tr>
      <w:tr w:rsidR="00767C2F" w14:paraId="49135230" w14:textId="77777777" w:rsidTr="00C17EE0">
        <w:tc>
          <w:tcPr>
            <w:tcW w:w="797" w:type="dxa"/>
          </w:tcPr>
          <w:p w14:paraId="06E8A1CA" w14:textId="6093C22D" w:rsidR="00767C2F" w:rsidRDefault="00767C2F" w:rsidP="00767C2F">
            <w:r>
              <w:t>3.31.</w:t>
            </w:r>
          </w:p>
        </w:tc>
        <w:tc>
          <w:tcPr>
            <w:tcW w:w="5152" w:type="dxa"/>
          </w:tcPr>
          <w:p w14:paraId="25936D78" w14:textId="439CD3DF" w:rsidR="00767C2F" w:rsidRPr="008A1994" w:rsidRDefault="00767C2F" w:rsidP="00767C2F">
            <w:r>
              <w:t xml:space="preserve">Оценките на безопасността се извършват на различни етапи, включително на етапите на избор на площадка, проектиране, производство, строителство, монтаж, въвеждане в експлоатация, експлоатация, поддръжка и извеждане от експлоатация (или </w:t>
            </w:r>
            <w:r w:rsidR="004C536B">
              <w:t>затваряне)</w:t>
            </w:r>
            <w:r>
              <w:t xml:space="preserve"> на съоръженията или на части от тях, според случая, така че: </w:t>
            </w:r>
            <w:r>
              <w:br/>
              <w:t xml:space="preserve">(а) да се определят начините, по които може да се получи облъчване, като се вземат предвид въздействията на външни събития, както и на събития, които пряко засягат източниците и свързаното с тях оборудване; </w:t>
            </w:r>
            <w:r>
              <w:br/>
              <w:t xml:space="preserve">б) да се определят очакваната вероятност и големината на облъчванията при нормална експлоатация и, доколкото е разумно и практически постижимо, да се направи оценка на потенциалните облъчвания; </w:t>
            </w:r>
            <w:r>
              <w:br/>
              <w:t>в) да се оцени адекватността на мерките за защита и безопасност.</w:t>
            </w:r>
          </w:p>
        </w:tc>
        <w:tc>
          <w:tcPr>
            <w:tcW w:w="1559" w:type="dxa"/>
          </w:tcPr>
          <w:p w14:paraId="23DB5915" w14:textId="7E120B72" w:rsidR="00767C2F" w:rsidRDefault="00DE5355" w:rsidP="00767C2F">
            <w:pPr>
              <w:jc w:val="center"/>
            </w:pPr>
            <w:r>
              <w:t>OR, EP</w:t>
            </w:r>
          </w:p>
        </w:tc>
        <w:tc>
          <w:tcPr>
            <w:tcW w:w="5987" w:type="dxa"/>
          </w:tcPr>
          <w:p w14:paraId="539674CC" w14:textId="16EBB41F" w:rsidR="002C092F" w:rsidRDefault="002C092F" w:rsidP="004C1BB2">
            <w:r>
              <w:t>Отговорност на Собственика/Лицензианта или друга външна страна е да извърши оценка на безопасността въз основа на входните данни, предоставени от Уестингхаус.</w:t>
            </w:r>
          </w:p>
          <w:p w14:paraId="30F52EDB" w14:textId="7278DF2F" w:rsidR="002C092F" w:rsidRPr="00025CF2" w:rsidRDefault="00FC46DC" w:rsidP="00CE362E">
            <w:r>
              <w:t xml:space="preserve">Компанията Уестингхаус е провела разработването на проекта на AP1000 в рамките на своята призната система за управление на качеството (СУК) и е поела основната отговорност за безопасността по време на разработването на проекта. Проектът на AP1000 включва мерки за намаляване на риска за </w:t>
            </w:r>
            <w:r w:rsidR="004C536B">
              <w:t>населението</w:t>
            </w:r>
            <w:r>
              <w:t xml:space="preserve"> и околната среда по време на отделните етапи от жизнения цикъл на централата. Тези мерки са обсъдени в ДКП. </w:t>
            </w:r>
            <w:r>
              <w:rPr>
                <w:rFonts w:ascii="Calibri" w:hAnsi="Calibri"/>
              </w:rPr>
              <w:t xml:space="preserve">В Глава 2 на ДКП се обсъждат аспектите, свързани с избора на площадка, </w:t>
            </w:r>
            <w:r>
              <w:t xml:space="preserve">а в Глава 19 на ДКП е включена оценка на рисковете на проекта преди неговото финализиране, за да се оптимизира централата по отношение на безопасността. Глава 12 на ДКП, в която се обсъждат радиационната безопасност и защитата, и Глава 15 на ДКП, в която се описват анализите на авариите, могат да помогнат при определянето на начините, по които може да </w:t>
            </w:r>
            <w:r>
              <w:lastRenderedPageBreak/>
              <w:t>се получи облъчване. Същите глави могат да бъдат полезни при оценката на големината на потенциалните облъчвания.</w:t>
            </w:r>
          </w:p>
        </w:tc>
      </w:tr>
      <w:tr w:rsidR="00767C2F" w14:paraId="252BCA6F" w14:textId="77777777" w:rsidTr="00C17EE0">
        <w:tc>
          <w:tcPr>
            <w:tcW w:w="797" w:type="dxa"/>
          </w:tcPr>
          <w:p w14:paraId="5D8C972D" w14:textId="7339D84F" w:rsidR="00767C2F" w:rsidRDefault="00767C2F" w:rsidP="00767C2F">
            <w:r>
              <w:lastRenderedPageBreak/>
              <w:t>3.32.</w:t>
            </w:r>
          </w:p>
        </w:tc>
        <w:tc>
          <w:tcPr>
            <w:tcW w:w="5152" w:type="dxa"/>
          </w:tcPr>
          <w:p w14:paraId="75907EA6" w14:textId="792614FF" w:rsidR="00767C2F" w:rsidRDefault="00767C2F" w:rsidP="00767C2F">
            <w:r>
              <w:t xml:space="preserve">Оценката на безопасността включва, ако е необходимо, систематичен критичен преглед на: </w:t>
            </w:r>
            <w:r>
              <w:br/>
              <w:t xml:space="preserve">(а) експлоатационните граници и условията за експлоатация на съоръжението; </w:t>
            </w:r>
            <w:r>
              <w:br/>
              <w:t xml:space="preserve">б) начините, по които в конструкциите, системите и компонентите, включително софтуерът, и в процедурите, свързани с осигуряването на защита и безопасност, може да възникне отказ, поотделно или в комбинация, или как тяхното използване може по друг начин да доведе до облъчвания, както и последиците от такива събития; </w:t>
            </w:r>
            <w:r>
              <w:br/>
              <w:t xml:space="preserve">в) начините, по които външни фактори могат да повлияят на защитата и безопасността; </w:t>
            </w:r>
            <w:r>
              <w:br/>
              <w:t xml:space="preserve">(г) начините, по които експлоатационните процедури, свързани със защитата и безопасността, биха могли да бъдат погрешни, както и последиците от такива грешки; </w:t>
            </w:r>
            <w:r>
              <w:br/>
              <w:t xml:space="preserve">д) последиците за защитата и безопасността вследствие на всякакви модификации; </w:t>
            </w:r>
            <w:r>
              <w:br/>
              <w:t xml:space="preserve">е) последиците за защитата и безопасността от мерки за сигурност или от всякакви модификации на мерки за сигурност; </w:t>
            </w:r>
            <w:r>
              <w:br/>
              <w:t xml:space="preserve">ж) всякакви </w:t>
            </w:r>
            <w:r w:rsidR="00655A19">
              <w:t>неизвестни фактори</w:t>
            </w:r>
            <w:r>
              <w:t xml:space="preserve"> или допускания и техните последици за защитата и безопасността.</w:t>
            </w:r>
          </w:p>
        </w:tc>
        <w:tc>
          <w:tcPr>
            <w:tcW w:w="1559" w:type="dxa"/>
          </w:tcPr>
          <w:p w14:paraId="43579653" w14:textId="33CAEC57" w:rsidR="00767C2F" w:rsidRDefault="00DE5355" w:rsidP="00767C2F">
            <w:pPr>
              <w:jc w:val="center"/>
            </w:pPr>
            <w:r>
              <w:t>OR</w:t>
            </w:r>
          </w:p>
        </w:tc>
        <w:tc>
          <w:tcPr>
            <w:tcW w:w="5987" w:type="dxa"/>
          </w:tcPr>
          <w:p w14:paraId="33054221" w14:textId="2DFD09A9" w:rsidR="002C092F" w:rsidRDefault="002C092F" w:rsidP="00FF3BA6">
            <w:pPr>
              <w:rPr>
                <w:rFonts w:eastAsiaTheme="minorHAnsi" w:cstheme="minorBidi"/>
                <w:kern w:val="0"/>
              </w:rPr>
            </w:pPr>
            <w:r>
              <w:t>Това е отговорност на Собственика/Лицензианта.</w:t>
            </w:r>
          </w:p>
          <w:p w14:paraId="122EB6E9" w14:textId="1F760DAC" w:rsidR="00747030" w:rsidRPr="00303949" w:rsidRDefault="00C14E54" w:rsidP="00FF3BA6">
            <w:r>
              <w:t>ДКП, изготвен за централата AP1000, съдържа информация от съществено значение за оценката на безопасността. Елементите са изброени в:</w:t>
            </w:r>
            <w:r>
              <w:br/>
              <w:t>а) Глава 16 на ДКП, където се обсъжда техническата спецификация, включително експлоатационните предели и условия;</w:t>
            </w:r>
            <w:r>
              <w:br/>
              <w:t xml:space="preserve">б) Глава 15 на ДКП, където се обсъжда анализът на риска с отчитане на системите и компонентите, които могат да се повредят, в резултат на което да възникнат облъчвания; </w:t>
            </w:r>
            <w:r>
              <w:br/>
              <w:t>в) Глава 3 на ДК</w:t>
            </w:r>
            <w:r w:rsidR="004C536B">
              <w:t>П</w:t>
            </w:r>
            <w:r>
              <w:t xml:space="preserve">, където се обсъждат външни опасности, които могат да повлияят на защитата и безопасността; </w:t>
            </w:r>
            <w:r>
              <w:br/>
              <w:t xml:space="preserve">г) Глава 18 на ДКП, където се обсъждат аспекти на човешките фактори, включително експлоатационни процедури; </w:t>
            </w:r>
            <w:r>
              <w:br/>
              <w:t xml:space="preserve">д) в областта на модификациите компанията Уестингхаус предлага своя собствена процедура за модернизация на конструкцията на AP1000. Тази процедура определя изискванията и отговорностите за предлагане, оценяване, разрешаване и одобряване на промени в проекта за програмата на централата AP1000. Тази процедура се прилага и когато кампанията Уестингхаус прави промени в проекта на централата AP1000, когато Собственикът отговаря за управлението на конфигурацията на централата. След като пълномощията по проекта/управлението на конфигурацията бъдат предадени на Собственика, тази процедура се прилага както за промени, инициирани вътре в Уестингхаус, така и когато от Уестингхаус получи искане от </w:t>
            </w:r>
            <w:r>
              <w:lastRenderedPageBreak/>
              <w:t xml:space="preserve">Собственика да направи промяна в проекта въз основа на договорното задължение по проекта. Всички промени в проекта се преглеждат за цялостното въздействие на промяната върху други функционални области във всеки блок от централата AP1000. Цялостното въздействие на промените се идентифицира чрез изброяване (и последващо проследяване) на засегнатите документи, свързани с описаната промяна. Оценката, събирането и проследяването на засегнатите документи се извършват преди одобряването на документа за промяна. </w:t>
            </w:r>
            <w:r>
              <w:br/>
              <w:t>е) същото твърдение като в буква д);</w:t>
            </w:r>
            <w:r>
              <w:br/>
              <w:t>ж) същото твърдение като в буква б).</w:t>
            </w:r>
            <w:r>
              <w:br/>
              <w:t>В крайна сметка Уестингхаус поема основната отговорност за безопасността по време на разработването на проекта.</w:t>
            </w:r>
            <w:r>
              <w:br/>
              <w:t xml:space="preserve">Бъдещият оператор ще бъде подпомаган от Уестингхаус при извършването на специфичните за площадката оценки на безопасността, като се започне с предварителния отчет за анализ на безопасността, подкрепящ заявлението за получаване на </w:t>
            </w:r>
            <w:r w:rsidR="006B34F4">
              <w:t>разрешения за</w:t>
            </w:r>
            <w:r>
              <w:t xml:space="preserve"> строителство.</w:t>
            </w:r>
          </w:p>
        </w:tc>
      </w:tr>
      <w:tr w:rsidR="00767C2F" w14:paraId="255DCCD6" w14:textId="77777777" w:rsidTr="00C17EE0">
        <w:tc>
          <w:tcPr>
            <w:tcW w:w="797" w:type="dxa"/>
          </w:tcPr>
          <w:p w14:paraId="1C01CA3C" w14:textId="448883BA" w:rsidR="00767C2F" w:rsidRDefault="00767C2F" w:rsidP="00767C2F">
            <w:r>
              <w:lastRenderedPageBreak/>
              <w:t>3.33.</w:t>
            </w:r>
          </w:p>
        </w:tc>
        <w:tc>
          <w:tcPr>
            <w:tcW w:w="5152" w:type="dxa"/>
          </w:tcPr>
          <w:p w14:paraId="0BB82555" w14:textId="1FF815DF" w:rsidR="00767C2F" w:rsidRPr="002501C9" w:rsidRDefault="00767C2F" w:rsidP="007C59AF">
            <w:r>
              <w:t xml:space="preserve">При оценката на безопасността регистрираното лице или лицензиантът трябва да вземе предвид: </w:t>
            </w:r>
            <w:r>
              <w:br/>
              <w:t>(а) фактори, които биха могли да доведат до значително изхвърляне на радиоактивен материал, наличните мерки за предотвратяване или поставяне под контрол на такова изхвърляне и максималната активност на радиоактивния материал, който в случай на голяма повреда на херметичн</w:t>
            </w:r>
            <w:r w:rsidR="00B94C8E">
              <w:t>ия</w:t>
            </w:r>
            <w:r>
              <w:t xml:space="preserve"> </w:t>
            </w:r>
            <w:r w:rsidR="00B94C8E">
              <w:t>обем</w:t>
            </w:r>
            <w:r>
              <w:t xml:space="preserve"> би могъл да попадне в околната среда; </w:t>
            </w:r>
            <w:r>
              <w:br/>
              <w:t>б) фактори, които биха могли да доведат до по-</w:t>
            </w:r>
            <w:r>
              <w:lastRenderedPageBreak/>
              <w:t>малко, но продължаващо изхвърляне на радиоактивен материал, и наличните мерки за откриване и предотвратяване или поставяне под контрол на такова изхвърляне ;</w:t>
            </w:r>
            <w:r>
              <w:br/>
              <w:t xml:space="preserve">(в) фактори, които биха могли да доведат до непреднамерено функциониране на който и да е генератор на </w:t>
            </w:r>
            <w:r w:rsidR="00B94C8E">
              <w:t>йонизиращи лъчения</w:t>
            </w:r>
            <w:r>
              <w:t xml:space="preserve"> или до загуба на защитата, и наличните мерки за откриване и предотвратяване или поставяне под контрол на такива събития; </w:t>
            </w:r>
            <w:r>
              <w:br/>
              <w:t xml:space="preserve">(г) степента на целесъобразност на използването на резервирани и </w:t>
            </w:r>
            <w:r w:rsidR="00B94C8E">
              <w:t>разнородни</w:t>
            </w:r>
            <w:r>
              <w:t xml:space="preserve"> средства за безопасност, функциониращи независимо едно от друго, така че отказът на едно от тях да не води до отказ на друго, с цел ограничаване на вероятността и големината на потенциалните облъчвания.</w:t>
            </w:r>
          </w:p>
        </w:tc>
        <w:tc>
          <w:tcPr>
            <w:tcW w:w="1559" w:type="dxa"/>
          </w:tcPr>
          <w:p w14:paraId="327CF6EF" w14:textId="76E5BE93" w:rsidR="00767C2F" w:rsidRDefault="00DE5355" w:rsidP="00767C2F">
            <w:pPr>
              <w:jc w:val="center"/>
            </w:pPr>
            <w:r>
              <w:lastRenderedPageBreak/>
              <w:t>OR</w:t>
            </w:r>
          </w:p>
        </w:tc>
        <w:tc>
          <w:tcPr>
            <w:tcW w:w="5987" w:type="dxa"/>
          </w:tcPr>
          <w:p w14:paraId="7F1A0C7B" w14:textId="6F0C6C28" w:rsidR="00767C2F" w:rsidRDefault="00DE5355" w:rsidP="00767C2F">
            <w:pPr>
              <w:tabs>
                <w:tab w:val="clear" w:pos="1296"/>
                <w:tab w:val="clear" w:pos="1872"/>
                <w:tab w:val="clear" w:pos="2448"/>
              </w:tabs>
            </w:pPr>
            <w:r>
              <w:t>Това е отговорност на Собственика/Лицензианта.</w:t>
            </w:r>
          </w:p>
        </w:tc>
      </w:tr>
      <w:tr w:rsidR="00767C2F" w14:paraId="544FA488" w14:textId="77777777" w:rsidTr="00C17EE0">
        <w:tc>
          <w:tcPr>
            <w:tcW w:w="797" w:type="dxa"/>
          </w:tcPr>
          <w:p w14:paraId="5606D4A3" w14:textId="343F998B" w:rsidR="00767C2F" w:rsidRDefault="00767C2F" w:rsidP="00767C2F">
            <w:r>
              <w:t>3.34.</w:t>
            </w:r>
          </w:p>
        </w:tc>
        <w:tc>
          <w:tcPr>
            <w:tcW w:w="5152" w:type="dxa"/>
          </w:tcPr>
          <w:p w14:paraId="5F18577E" w14:textId="51863AAE" w:rsidR="00767C2F" w:rsidRDefault="00767C2F" w:rsidP="00767C2F">
            <w:r>
              <w:t>Регистрираните лица и лицензиантите осигуряват документирането на оценката на безопасността и, когато е целесъобразно, нейното независимо преглеждане в рамките на съответната система за управление.</w:t>
            </w:r>
          </w:p>
        </w:tc>
        <w:tc>
          <w:tcPr>
            <w:tcW w:w="1559" w:type="dxa"/>
          </w:tcPr>
          <w:p w14:paraId="43E1544A" w14:textId="12260B41" w:rsidR="00767C2F" w:rsidRDefault="00DE5355" w:rsidP="00767C2F">
            <w:pPr>
              <w:jc w:val="center"/>
            </w:pPr>
            <w:r>
              <w:t>OR</w:t>
            </w:r>
          </w:p>
        </w:tc>
        <w:tc>
          <w:tcPr>
            <w:tcW w:w="5987" w:type="dxa"/>
          </w:tcPr>
          <w:p w14:paraId="31176B51" w14:textId="33263149" w:rsidR="00767C2F" w:rsidRDefault="00DE5355" w:rsidP="00767C2F">
            <w:pPr>
              <w:rPr>
                <w:rFonts w:eastAsiaTheme="minorHAnsi" w:cstheme="minorBidi"/>
                <w:kern w:val="0"/>
              </w:rPr>
            </w:pPr>
            <w:r>
              <w:t>Това е отговорност на Собственика/Лицензианта.</w:t>
            </w:r>
          </w:p>
          <w:p w14:paraId="366B7AB8" w14:textId="24ED3036" w:rsidR="006761B2" w:rsidRDefault="006761B2" w:rsidP="00767C2F"/>
        </w:tc>
      </w:tr>
      <w:tr w:rsidR="00767C2F" w14:paraId="51C0CAAB" w14:textId="77777777" w:rsidTr="00C17EE0">
        <w:tc>
          <w:tcPr>
            <w:tcW w:w="797" w:type="dxa"/>
          </w:tcPr>
          <w:p w14:paraId="0E67DE62" w14:textId="6A6748F5" w:rsidR="00767C2F" w:rsidRDefault="00767C2F" w:rsidP="00767C2F">
            <w:r>
              <w:t>3.35.</w:t>
            </w:r>
          </w:p>
        </w:tc>
        <w:tc>
          <w:tcPr>
            <w:tcW w:w="5152" w:type="dxa"/>
          </w:tcPr>
          <w:p w14:paraId="41CB1B6F" w14:textId="057B3195" w:rsidR="00CD720F" w:rsidRDefault="00767C2F" w:rsidP="00767C2F">
            <w:r>
              <w:t xml:space="preserve">Регистрираните лица и лицензиантите при необходимост извършват допълнителни прегледи на оценката на безопасността с цел осигуряване на неизменно спазване на техническите спецификации или условията за експлоатация, когато: </w:t>
            </w:r>
            <w:r>
              <w:br/>
              <w:t xml:space="preserve">(а) в съоръжението или в неговите процедури за експлоатация или поддръжка се предвиждат значителни промени; </w:t>
            </w:r>
            <w:r>
              <w:br/>
            </w:r>
            <w:r>
              <w:lastRenderedPageBreak/>
              <w:t xml:space="preserve">(б) на площадката настъпват значителни промени, които биха могли да повлияят на безопасността на съоръжението или дейностите на площадката; </w:t>
            </w:r>
            <w:r>
              <w:br/>
              <w:t xml:space="preserve">(в) информация за експлоатационния опит или информация за аварии и други инциденти, които биха могли да доведат до облъчване, показва, че използваната оценка може да е несъстоятелна; </w:t>
            </w:r>
            <w:r>
              <w:br/>
              <w:t xml:space="preserve">(г) в дейностите се предвиждат каквито и да е значителни промени; </w:t>
            </w:r>
            <w:r>
              <w:br/>
              <w:t>(д) в ръководните принципи или стандартите са направени или се предвиждат каквито и да е съответни промени.</w:t>
            </w:r>
          </w:p>
        </w:tc>
        <w:tc>
          <w:tcPr>
            <w:tcW w:w="1559" w:type="dxa"/>
          </w:tcPr>
          <w:p w14:paraId="27E85641" w14:textId="3E7A4C96" w:rsidR="00767C2F" w:rsidRDefault="00DE5355" w:rsidP="00767C2F">
            <w:pPr>
              <w:jc w:val="center"/>
            </w:pPr>
            <w:r>
              <w:lastRenderedPageBreak/>
              <w:t>OR</w:t>
            </w:r>
          </w:p>
        </w:tc>
        <w:tc>
          <w:tcPr>
            <w:tcW w:w="5987" w:type="dxa"/>
          </w:tcPr>
          <w:p w14:paraId="1741C8CB" w14:textId="60F9433A" w:rsidR="00767C2F" w:rsidRDefault="00DE5355" w:rsidP="00767C2F">
            <w:r>
              <w:t>Това е отговорност на Собственика/Лицензианта.</w:t>
            </w:r>
          </w:p>
        </w:tc>
      </w:tr>
      <w:tr w:rsidR="00872E45" w14:paraId="363DE2AC" w14:textId="77777777" w:rsidTr="00C17EE0">
        <w:tc>
          <w:tcPr>
            <w:tcW w:w="797" w:type="dxa"/>
          </w:tcPr>
          <w:p w14:paraId="37205DE8" w14:textId="4D35CEAF" w:rsidR="00872E45" w:rsidRDefault="00872E45" w:rsidP="00872E45">
            <w:r>
              <w:t>3.36.</w:t>
            </w:r>
          </w:p>
        </w:tc>
        <w:tc>
          <w:tcPr>
            <w:tcW w:w="5152" w:type="dxa"/>
          </w:tcPr>
          <w:p w14:paraId="6FBF5FA0" w14:textId="0182CAFB" w:rsidR="00872E45" w:rsidRDefault="00872E45" w:rsidP="00872E45">
            <w:r>
              <w:t>Ако в резултат на една оценка на безопасността или по друга причина се окаже, че са налице възможности за подобряване на защитата и безопасността и подобрението изглежда желателно, всички последващи промени се извършват предпазливо и само след благоприятна оценка на всички последици за защитата и безопасността. При осъществяването на всички подобрения се установява тяхната приоритетност с цел оптимизация на защитата и безопасността.</w:t>
            </w:r>
          </w:p>
        </w:tc>
        <w:tc>
          <w:tcPr>
            <w:tcW w:w="1559" w:type="dxa"/>
          </w:tcPr>
          <w:p w14:paraId="1BC46EDE" w14:textId="552F37C5" w:rsidR="00872E45" w:rsidRDefault="00DE5355" w:rsidP="00872E45">
            <w:pPr>
              <w:jc w:val="center"/>
            </w:pPr>
            <w:r>
              <w:t>OR</w:t>
            </w:r>
          </w:p>
        </w:tc>
        <w:tc>
          <w:tcPr>
            <w:tcW w:w="5987" w:type="dxa"/>
          </w:tcPr>
          <w:p w14:paraId="09594A79" w14:textId="3FCE6C2F" w:rsidR="00E74B24" w:rsidRDefault="00E74B24" w:rsidP="00E74B24">
            <w:pPr>
              <w:rPr>
                <w:rFonts w:eastAsiaTheme="minorHAnsi" w:cstheme="minorBidi"/>
                <w:kern w:val="0"/>
              </w:rPr>
            </w:pPr>
            <w:r>
              <w:t>Това е отговорност на Собственика/Лицензианта.</w:t>
            </w:r>
          </w:p>
          <w:p w14:paraId="59DE0A4C" w14:textId="0B6BDB37" w:rsidR="00937B4A" w:rsidRDefault="00E74B24" w:rsidP="00F00068">
            <w:r>
              <w:t xml:space="preserve">В областта на промените в проекта компанията Уестингхаус трябва да бъде информирана и да се проведе консултация с нея. При поискване Уестингхаус може да помогне при проектирането и внедряването на съответна поискана модификация, ако се установи желано подобрение. На етапа на модификациите Уестингхаус разполага със собствена процедура за подобрения в проекта на AP1000. Тази процедура определя изискванията и отговорностите за предлагане, оценяване, разрешаване и одобряване на промени в проекта за програмата на централата AP1000. Тази процедура се прилага и когато кампанията Уестингхаус прави промени в проекта на централата AP1000, когато Собственикът отговаря за управлението на конфигурацията на централата. След като пълномощията по проекта/управлението на конфигурацията бъдат предадени на Собственика, тази процедура се прилага както за </w:t>
            </w:r>
            <w:r>
              <w:lastRenderedPageBreak/>
              <w:t>промени, инициирани вътре в Уестингхаус, така и когато от Уестингхаус получи искане от Собственика да направи промяна в проекта въз основа на договорното задължение по проекта. Всички промени в проекта се преглеждат за цялостното въздействие на промяната върху други функционални области във всеки блок от централата AP1000. Цялостното въздействие на промените се идентифицира чрез изброяване (и последващо проследяване) на засегнатите документи, свързани с описаната промяна. Оценката, събирането и проследяването на засегнатите документи се извършват преди одобряването на документа за промяна. Компанията Уестингхаус носи отговорност за всички модификации/подобрения на ниво проектиране.</w:t>
            </w:r>
          </w:p>
        </w:tc>
      </w:tr>
    </w:tbl>
    <w:p w14:paraId="5E357512" w14:textId="43C5803B" w:rsidR="00087898" w:rsidRPr="002B03CA" w:rsidRDefault="002B03CA" w:rsidP="00190D0E">
      <w:pPr>
        <w:pStyle w:val="Heading3"/>
        <w:spacing w:before="240"/>
        <w:rPr>
          <w:caps/>
        </w:rPr>
      </w:pPr>
      <w:bookmarkStart w:id="44" w:name="_Toc155347791"/>
      <w:r>
        <w:lastRenderedPageBreak/>
        <w:t>Изискване 14: Мониторинг с цел проверка на с</w:t>
      </w:r>
      <w:r w:rsidR="00D14DD0">
        <w:t>ъответствията</w:t>
      </w:r>
      <w:bookmarkEnd w:id="44"/>
    </w:p>
    <w:tbl>
      <w:tblPr>
        <w:tblStyle w:val="TableGrid"/>
        <w:tblW w:w="13495" w:type="dxa"/>
        <w:tblLayout w:type="fixed"/>
        <w:tblLook w:val="04A0" w:firstRow="1" w:lastRow="0" w:firstColumn="1" w:lastColumn="0" w:noHBand="0" w:noVBand="1"/>
      </w:tblPr>
      <w:tblGrid>
        <w:gridCol w:w="797"/>
        <w:gridCol w:w="5152"/>
        <w:gridCol w:w="1559"/>
        <w:gridCol w:w="5987"/>
      </w:tblGrid>
      <w:tr w:rsidR="003877DB" w:rsidRPr="00F172DF" w14:paraId="5B1ED430" w14:textId="77777777" w:rsidTr="00C17EE0">
        <w:trPr>
          <w:tblHeader/>
        </w:trPr>
        <w:tc>
          <w:tcPr>
            <w:tcW w:w="797" w:type="dxa"/>
          </w:tcPr>
          <w:p w14:paraId="7F26F22D" w14:textId="77777777" w:rsidR="003877DB" w:rsidRPr="00F172DF" w:rsidRDefault="003877DB" w:rsidP="00B723E1">
            <w:pPr>
              <w:rPr>
                <w:b/>
                <w:bCs/>
              </w:rPr>
            </w:pPr>
          </w:p>
        </w:tc>
        <w:tc>
          <w:tcPr>
            <w:tcW w:w="5152" w:type="dxa"/>
          </w:tcPr>
          <w:p w14:paraId="1425A70E" w14:textId="77777777" w:rsidR="003877DB" w:rsidRPr="00F172DF" w:rsidRDefault="003877DB" w:rsidP="00B723E1">
            <w:pPr>
              <w:rPr>
                <w:b/>
                <w:bCs/>
              </w:rPr>
            </w:pPr>
            <w:r>
              <w:rPr>
                <w:b/>
              </w:rPr>
              <w:t>Описание</w:t>
            </w:r>
          </w:p>
        </w:tc>
        <w:tc>
          <w:tcPr>
            <w:tcW w:w="1559" w:type="dxa"/>
          </w:tcPr>
          <w:p w14:paraId="03867D8F" w14:textId="77777777" w:rsidR="003877DB" w:rsidRPr="00F172DF" w:rsidRDefault="003877DB" w:rsidP="00B723E1">
            <w:pPr>
              <w:rPr>
                <w:b/>
                <w:bCs/>
              </w:rPr>
            </w:pPr>
            <w:r>
              <w:rPr>
                <w:b/>
              </w:rPr>
              <w:t>Съответствие</w:t>
            </w:r>
          </w:p>
        </w:tc>
        <w:tc>
          <w:tcPr>
            <w:tcW w:w="5987" w:type="dxa"/>
          </w:tcPr>
          <w:p w14:paraId="598B96A3" w14:textId="77777777" w:rsidR="003877DB" w:rsidRPr="00F172DF" w:rsidRDefault="003877DB" w:rsidP="00B723E1">
            <w:pPr>
              <w:rPr>
                <w:b/>
                <w:bCs/>
              </w:rPr>
            </w:pPr>
            <w:r>
              <w:rPr>
                <w:b/>
              </w:rPr>
              <w:t>Обосновка</w:t>
            </w:r>
          </w:p>
        </w:tc>
      </w:tr>
      <w:tr w:rsidR="00BC0D19" w14:paraId="51A41C18" w14:textId="77777777" w:rsidTr="00C17EE0">
        <w:tc>
          <w:tcPr>
            <w:tcW w:w="797" w:type="dxa"/>
          </w:tcPr>
          <w:p w14:paraId="547B4DD5" w14:textId="0721936E" w:rsidR="00BC0D19" w:rsidRDefault="00BC0D19" w:rsidP="00BC0D19"/>
        </w:tc>
        <w:tc>
          <w:tcPr>
            <w:tcW w:w="5152" w:type="dxa"/>
          </w:tcPr>
          <w:p w14:paraId="1965C1AB" w14:textId="4A066335" w:rsidR="00BC0D19" w:rsidRPr="002B03CA" w:rsidRDefault="00BC0D19" w:rsidP="00BC0D19">
            <w:pPr>
              <w:rPr>
                <w:b/>
                <w:bCs/>
              </w:rPr>
            </w:pPr>
            <w:r>
              <w:rPr>
                <w:b/>
              </w:rPr>
              <w:t xml:space="preserve">Регистрираните лица и лицензиантите, както и работодателите осъществяват мониторинг с цел проверка на </w:t>
            </w:r>
            <w:r w:rsidR="00D14DD0">
              <w:rPr>
                <w:b/>
              </w:rPr>
              <w:t>съответствеито с</w:t>
            </w:r>
            <w:r>
              <w:rPr>
                <w:b/>
              </w:rPr>
              <w:t xml:space="preserve"> изискванията за защита и безопасност.</w:t>
            </w:r>
          </w:p>
        </w:tc>
        <w:tc>
          <w:tcPr>
            <w:tcW w:w="1559" w:type="dxa"/>
          </w:tcPr>
          <w:p w14:paraId="6FC37610" w14:textId="45BA842F" w:rsidR="00BC0D19" w:rsidRDefault="00DE5355" w:rsidP="00BC0D19">
            <w:pPr>
              <w:jc w:val="center"/>
            </w:pPr>
            <w:r>
              <w:t>OR, EP</w:t>
            </w:r>
          </w:p>
        </w:tc>
        <w:tc>
          <w:tcPr>
            <w:tcW w:w="5987" w:type="dxa"/>
          </w:tcPr>
          <w:p w14:paraId="389545D0" w14:textId="3C9E020B" w:rsidR="00BC0D19" w:rsidRDefault="00DE5355" w:rsidP="00BC0D19">
            <w:r>
              <w:t>Това е отговорност на Собственика/Лицензианта и/или външна страна.</w:t>
            </w:r>
          </w:p>
        </w:tc>
      </w:tr>
      <w:tr w:rsidR="00BC0D19" w14:paraId="52163340" w14:textId="77777777" w:rsidTr="00C17EE0">
        <w:tc>
          <w:tcPr>
            <w:tcW w:w="797" w:type="dxa"/>
          </w:tcPr>
          <w:p w14:paraId="1FD6B543" w14:textId="4A160F57" w:rsidR="00BC0D19" w:rsidRDefault="00BC0D19" w:rsidP="00BC0D19">
            <w:r>
              <w:t>3.37.</w:t>
            </w:r>
          </w:p>
        </w:tc>
        <w:tc>
          <w:tcPr>
            <w:tcW w:w="5152" w:type="dxa"/>
          </w:tcPr>
          <w:p w14:paraId="0AF49E70" w14:textId="3C39949D" w:rsidR="00BC0D19" w:rsidRDefault="00BC0D19" w:rsidP="00BC0D19">
            <w:r>
              <w:t xml:space="preserve">Регулаторният орган установява изисквания за извършване на мониторинг и измервания с цел проверка на </w:t>
            </w:r>
            <w:r w:rsidR="00D14DD0">
              <w:t xml:space="preserve">съответствието с </w:t>
            </w:r>
            <w:r>
              <w:t xml:space="preserve">изискванията за защита и безопасност. Регулаторният орган отговаря за прегледа и одобрението на програмите </w:t>
            </w:r>
            <w:r>
              <w:lastRenderedPageBreak/>
              <w:t>за мониторинг и измервания, осъществявани от регистрираните лица и лицензиантите.</w:t>
            </w:r>
          </w:p>
        </w:tc>
        <w:tc>
          <w:tcPr>
            <w:tcW w:w="1559" w:type="dxa"/>
          </w:tcPr>
          <w:p w14:paraId="656EF305" w14:textId="14DE28D9" w:rsidR="00BC0D19" w:rsidRDefault="00062665" w:rsidP="00BC0D19">
            <w:pPr>
              <w:jc w:val="center"/>
            </w:pPr>
            <w:r>
              <w:lastRenderedPageBreak/>
              <w:t>EP</w:t>
            </w:r>
          </w:p>
        </w:tc>
        <w:tc>
          <w:tcPr>
            <w:tcW w:w="5987" w:type="dxa"/>
          </w:tcPr>
          <w:p w14:paraId="6C6DF9D4" w14:textId="202DA469" w:rsidR="00BC0D19" w:rsidRDefault="00E70076" w:rsidP="00BC0D19">
            <w:r>
              <w:t>Това е отговорност на Регулаторния орган.</w:t>
            </w:r>
          </w:p>
        </w:tc>
      </w:tr>
      <w:tr w:rsidR="00BC0D19" w14:paraId="5D6591BB" w14:textId="77777777" w:rsidTr="00C17EE0">
        <w:tc>
          <w:tcPr>
            <w:tcW w:w="797" w:type="dxa"/>
          </w:tcPr>
          <w:p w14:paraId="56AC22FA" w14:textId="49F36CE7" w:rsidR="00BC0D19" w:rsidRDefault="00BC0D19" w:rsidP="00BC0D19">
            <w:r>
              <w:t>3.38.</w:t>
            </w:r>
          </w:p>
        </w:tc>
        <w:tc>
          <w:tcPr>
            <w:tcW w:w="5152" w:type="dxa"/>
          </w:tcPr>
          <w:p w14:paraId="56094E6E" w14:textId="08072062" w:rsidR="001B442D" w:rsidRDefault="00BC0D19" w:rsidP="001B442D">
            <w:pPr>
              <w:spacing w:after="0"/>
            </w:pPr>
            <w:r>
              <w:t xml:space="preserve">Регистрираните лица и лицензиантите, както и работодателите трябва да гарантират, че: </w:t>
            </w:r>
            <w:r>
              <w:br/>
              <w:t xml:space="preserve">(а) се извършват мониторинг и измервания на параметри, необходими за проверка на съответствието с изискванията на тези стандарти; </w:t>
            </w:r>
            <w:r>
              <w:br/>
              <w:t xml:space="preserve">б) се осигурява подходящо оборудване и се прилагат процедури за проверка; </w:t>
            </w:r>
            <w:r>
              <w:br/>
              <w:t xml:space="preserve">в) оборудването се поддържа правилно, изпитва се и се калибрира на подходящи интервали от време с позоваване на стандарти, проследими до национални или международни стандарти; </w:t>
            </w:r>
            <w:r>
              <w:br/>
              <w:t xml:space="preserve">г) се поддържат записи на резултатите от мониторинга и </w:t>
            </w:r>
            <w:r w:rsidR="00D14DD0">
              <w:t>проверка на съответствието</w:t>
            </w:r>
            <w:r>
              <w:t>, както се изисква от регулаторния орган, включително протоколи за изпитванията и калибриранията, извършени в съответствие с тези стандарти;</w:t>
            </w:r>
          </w:p>
          <w:p w14:paraId="24C6A20B" w14:textId="1471FECF" w:rsidR="00BC0D19" w:rsidRDefault="00C2145F" w:rsidP="00BC0D19">
            <w:r>
              <w:t xml:space="preserve">(д) резултатите от мониторинга и </w:t>
            </w:r>
            <w:r w:rsidR="00D14DD0">
              <w:t>проверка на съответствието</w:t>
            </w:r>
            <w:r>
              <w:t xml:space="preserve"> се предоставят на регулаторния орган, ако се изисква.</w:t>
            </w:r>
          </w:p>
        </w:tc>
        <w:tc>
          <w:tcPr>
            <w:tcW w:w="1559" w:type="dxa"/>
          </w:tcPr>
          <w:p w14:paraId="734355F0" w14:textId="6DF82B7E" w:rsidR="00BC0D19" w:rsidRDefault="00DE5355" w:rsidP="00BC0D19">
            <w:pPr>
              <w:jc w:val="center"/>
            </w:pPr>
            <w:r>
              <w:t>OR, EP</w:t>
            </w:r>
          </w:p>
        </w:tc>
        <w:tc>
          <w:tcPr>
            <w:tcW w:w="5987" w:type="dxa"/>
          </w:tcPr>
          <w:p w14:paraId="4CCE2CDA" w14:textId="77777777" w:rsidR="00BC0D19" w:rsidRDefault="00E74B24" w:rsidP="00BC0D19">
            <w:pPr>
              <w:rPr>
                <w:rFonts w:eastAsiaTheme="minorHAnsi" w:cstheme="minorBidi"/>
                <w:kern w:val="0"/>
              </w:rPr>
            </w:pPr>
            <w:r>
              <w:t>Това е отговорност на Собственика/Лицензианта и/или външна страна.</w:t>
            </w:r>
          </w:p>
          <w:p w14:paraId="63BC0058" w14:textId="4DDB7C0C" w:rsidR="009D27CE" w:rsidRDefault="009D27CE" w:rsidP="009D27CE">
            <w:r>
              <w:t>Системата за радиационен контрол и преносимото оборудване са достатъчни за контрол на съответните радиологични параметри.</w:t>
            </w:r>
          </w:p>
          <w:p w14:paraId="3E66265B" w14:textId="0C4D0F70" w:rsidR="009D27CE" w:rsidRDefault="009D27CE" w:rsidP="00F45194">
            <w:pPr>
              <w:spacing w:after="120"/>
            </w:pPr>
            <w:r>
              <w:t xml:space="preserve">Системата за радиационен </w:t>
            </w:r>
            <w:r w:rsidR="00952CFA">
              <w:t>мониторинг</w:t>
            </w:r>
            <w:r>
              <w:t xml:space="preserve"> (СР</w:t>
            </w:r>
            <w:r w:rsidR="00952CFA">
              <w:t>М</w:t>
            </w:r>
            <w:r>
              <w:t>) е разделена на четири категории:</w:t>
            </w:r>
          </w:p>
          <w:p w14:paraId="6FDA4A98" w14:textId="0355E9FF" w:rsidR="009D27CE" w:rsidRDefault="009D27CE" w:rsidP="00784989">
            <w:pPr>
              <w:pStyle w:val="ListParagraph"/>
              <w:numPr>
                <w:ilvl w:val="0"/>
                <w:numId w:val="63"/>
              </w:numPr>
              <w:spacing w:before="120" w:after="120"/>
            </w:pPr>
            <w:r>
              <w:t xml:space="preserve">Монитори </w:t>
            </w:r>
            <w:r w:rsidR="00EB7F52">
              <w:t>з</w:t>
            </w:r>
            <w:r>
              <w:t xml:space="preserve">а процеси (течни и газообразни); </w:t>
            </w:r>
          </w:p>
          <w:p w14:paraId="246CABBF" w14:textId="6F3ACC64" w:rsidR="009D27CE" w:rsidRDefault="009D27CE" w:rsidP="00784989">
            <w:pPr>
              <w:pStyle w:val="ListParagraph"/>
              <w:numPr>
                <w:ilvl w:val="0"/>
                <w:numId w:val="63"/>
              </w:numPr>
              <w:spacing w:before="120" w:after="120"/>
            </w:pPr>
            <w:r>
              <w:t xml:space="preserve">Монитори </w:t>
            </w:r>
            <w:r w:rsidR="00EB7F52">
              <w:t>з</w:t>
            </w:r>
            <w:r>
              <w:t xml:space="preserve">а отпадъчни </w:t>
            </w:r>
            <w:r w:rsidR="00E73A18">
              <w:t>радиоактивни води</w:t>
            </w:r>
            <w:r>
              <w:t xml:space="preserve"> (течности и газове); </w:t>
            </w:r>
          </w:p>
          <w:p w14:paraId="7805820B" w14:textId="448C0E37" w:rsidR="009D27CE" w:rsidRDefault="00E73A18" w:rsidP="00784989">
            <w:pPr>
              <w:pStyle w:val="ListParagraph"/>
              <w:numPr>
                <w:ilvl w:val="0"/>
                <w:numId w:val="63"/>
              </w:numPr>
              <w:spacing w:before="120" w:after="120"/>
            </w:pPr>
            <w:r>
              <w:t>М</w:t>
            </w:r>
            <w:r w:rsidR="009D27CE">
              <w:t>онитори</w:t>
            </w:r>
            <w:r w:rsidR="00EB7F52">
              <w:t xml:space="preserve"> з</w:t>
            </w:r>
            <w:r>
              <w:t>а аерозоли</w:t>
            </w:r>
            <w:r w:rsidR="009D27CE">
              <w:t xml:space="preserve">; </w:t>
            </w:r>
          </w:p>
          <w:p w14:paraId="065AE107" w14:textId="3A128528" w:rsidR="009D27CE" w:rsidRDefault="00EB7F52" w:rsidP="00784989">
            <w:pPr>
              <w:pStyle w:val="ListParagraph"/>
              <w:numPr>
                <w:ilvl w:val="0"/>
                <w:numId w:val="63"/>
              </w:numPr>
              <w:spacing w:before="120" w:after="120"/>
            </w:pPr>
            <w:r>
              <w:t>М</w:t>
            </w:r>
            <w:r w:rsidR="009D27CE">
              <w:t>онитори</w:t>
            </w:r>
            <w:r>
              <w:t xml:space="preserve"> за отделни зони</w:t>
            </w:r>
            <w:r w:rsidR="009D27CE">
              <w:t>.</w:t>
            </w:r>
          </w:p>
          <w:p w14:paraId="677774ED" w14:textId="473F6487" w:rsidR="009D27CE" w:rsidRDefault="009D27CE" w:rsidP="00BB3258">
            <w:pPr>
              <w:spacing w:after="240"/>
            </w:pPr>
            <w:r>
              <w:t xml:space="preserve">Мониторите </w:t>
            </w:r>
            <w:r w:rsidR="00EB7F52">
              <w:t>з</w:t>
            </w:r>
            <w:r>
              <w:t xml:space="preserve">а процеси контролират процесите на системите. Вентилационните потоци и пътищата на отпадните </w:t>
            </w:r>
            <w:r w:rsidR="00EB7F52">
              <w:t>радиоактивни води</w:t>
            </w:r>
            <w:r>
              <w:t xml:space="preserve"> се контролират от радиационни монитори, разположени в цялата централа. Радиационните монитори се състоят от детектори, контролно-измервателни </w:t>
            </w:r>
            <w:r w:rsidR="00EB7F52">
              <w:t>прибори</w:t>
            </w:r>
            <w:r>
              <w:t>, блокове за технологично вземане на проби и кондициониране, локални радиационни процесори и свързани с тях компоненти, в зависимост от обстоятелствата.</w:t>
            </w:r>
          </w:p>
          <w:p w14:paraId="6CCD8874" w14:textId="3900D50F" w:rsidR="009D27CE" w:rsidRDefault="009D27CE" w:rsidP="00BB3258">
            <w:pPr>
              <w:spacing w:after="240"/>
            </w:pPr>
            <w:r>
              <w:t xml:space="preserve">Мониторите </w:t>
            </w:r>
            <w:r w:rsidR="00EB7F52">
              <w:t>з</w:t>
            </w:r>
            <w:r>
              <w:t xml:space="preserve">а отпадъчни </w:t>
            </w:r>
            <w:r w:rsidR="00EB7F52">
              <w:t>радиоактивни води/газове</w:t>
            </w:r>
            <w:r>
              <w:t xml:space="preserve"> измерват газообразните и течните изхвърляния.</w:t>
            </w:r>
          </w:p>
          <w:p w14:paraId="23F8BA9C" w14:textId="6FFA7005" w:rsidR="009D27CE" w:rsidRDefault="00EB7F52" w:rsidP="00BB3258">
            <w:pPr>
              <w:spacing w:after="240"/>
            </w:pPr>
            <w:r>
              <w:lastRenderedPageBreak/>
              <w:t>Аерозолните</w:t>
            </w:r>
            <w:r w:rsidR="009D27CE">
              <w:t xml:space="preserve"> монитори измерват радиоактивността във въздуха и следят и предупреждават експлоатационния персонал за концентрации на радиоактивност във въздуха, превишаващи 10 DAC (изведена концентрация във въздуха)-часове (както е определено в 10 CFR 20). Някои от тези монитори изпълняват и функции на процесен монитор, тъй като инициират филтриране на вентилационния поток.</w:t>
            </w:r>
          </w:p>
          <w:p w14:paraId="181BBEE0" w14:textId="1C39FAC2" w:rsidR="009D27CE" w:rsidRDefault="009D27CE" w:rsidP="00BB3258">
            <w:pPr>
              <w:spacing w:after="240"/>
            </w:pPr>
            <w:r>
              <w:t xml:space="preserve">Зоналните радиационни монитори се осигуряват в допълнение към нормите за радиационно изследване на персонала и териториите в програмата по </w:t>
            </w:r>
            <w:r w:rsidR="00EB7F52">
              <w:t>радиационна защита</w:t>
            </w:r>
            <w:r>
              <w:t xml:space="preserve"> и в съответствие с ръководните принципи за радиационна защита на персонала, посочени в 10 CFR 20, 10 CFR 50 и 10 CFR 70 (Вътрешно лицензиране на специални ядрени материали), както и в Регулаторните ръководства 1.97 (Критерии за контролно-измервателни </w:t>
            </w:r>
            <w:r w:rsidR="00EB7F52">
              <w:t>прибори</w:t>
            </w:r>
            <w:r>
              <w:t xml:space="preserve"> за мониторинг на аварии в </w:t>
            </w:r>
            <w:r w:rsidR="00EB7F52">
              <w:t>ядрени</w:t>
            </w:r>
            <w:r>
              <w:t xml:space="preserve"> електроцентрали) и 8.8 (Информация, свързана с осигуряването на това, че професионалното облъчване в </w:t>
            </w:r>
            <w:r w:rsidR="00EB7F52">
              <w:t>ядрените</w:t>
            </w:r>
            <w:r>
              <w:t xml:space="preserve"> електроцентрали ще бъде толкова ниско, колкото е разумно постижимо). По време на операциите по </w:t>
            </w:r>
            <w:r w:rsidR="003A7E3C">
              <w:t>презареждане</w:t>
            </w:r>
            <w:r>
              <w:t xml:space="preserve"> в херметичн</w:t>
            </w:r>
            <w:r w:rsidR="003A7E3C">
              <w:t>ия</w:t>
            </w:r>
            <w:r>
              <w:t xml:space="preserve"> </w:t>
            </w:r>
            <w:r w:rsidR="003A7E3C">
              <w:t>обем</w:t>
            </w:r>
            <w:r>
              <w:t xml:space="preserve"> и в зоната за </w:t>
            </w:r>
            <w:r w:rsidR="003A7E3C">
              <w:t>презарядка</w:t>
            </w:r>
            <w:r>
              <w:t xml:space="preserve"> функциите за контрол на критичността се изпълняват от зонални радиационни монитори в комбинация с преносими монитори, както се изисква от ръководните принципи на 10 CFR 70.24.</w:t>
            </w:r>
          </w:p>
          <w:p w14:paraId="7B7666CC" w14:textId="0365D6C5" w:rsidR="009D27CE" w:rsidRDefault="009D27CE" w:rsidP="00BB3258">
            <w:pPr>
              <w:spacing w:after="240"/>
            </w:pPr>
            <w:r>
              <w:t xml:space="preserve">Зоналните монитори осигуряват защита на персонала на централата. Детекторите са разположени така, че показанията им да са представителни за </w:t>
            </w:r>
            <w:r w:rsidR="004A124A">
              <w:t>йонизиращите лъчения</w:t>
            </w:r>
            <w:r>
              <w:t>, на ко</w:t>
            </w:r>
            <w:r w:rsidR="004A124A">
              <w:t>и</w:t>
            </w:r>
            <w:r>
              <w:t xml:space="preserve">то би бил изложен експлоатационният персонал, а локалните модули за отчитане/сигнализация са </w:t>
            </w:r>
            <w:r>
              <w:lastRenderedPageBreak/>
              <w:t>разположени така, че да са лесно видими за експлоатационния персонал.</w:t>
            </w:r>
          </w:p>
          <w:p w14:paraId="7944BF23" w14:textId="74E89823" w:rsidR="00E74B24" w:rsidRDefault="009D27CE" w:rsidP="00BB24B1">
            <w:pPr>
              <w:spacing w:after="160"/>
            </w:pPr>
            <w:r>
              <w:t>Зоналните монитори имат идентични възможности за сигнализация, показване и съхранение на данни, както е описано за процесните монитори. Зоналните монитори имат две отделни звукови и визуални аларми, които се задействат при превишаване на предварително зададена стойност за високи нива на радиация и които са разположени в близост до детектора или в зона, където локалната визуална аларма може да бъде видяна при влизане в контролираната зона. В Блочния щит за управление (БЩУ) също са осигурени индикации и аларми.</w:t>
            </w:r>
          </w:p>
        </w:tc>
      </w:tr>
    </w:tbl>
    <w:p w14:paraId="418E8C52" w14:textId="65E32754" w:rsidR="00087898" w:rsidRPr="007A2B35" w:rsidRDefault="007A2B35" w:rsidP="00190D0E">
      <w:pPr>
        <w:pStyle w:val="Heading3"/>
        <w:spacing w:before="240"/>
        <w:rPr>
          <w:caps/>
        </w:rPr>
      </w:pPr>
      <w:bookmarkStart w:id="45" w:name="_Toc155347792"/>
      <w:r>
        <w:lastRenderedPageBreak/>
        <w:t>Изискване 15: Предотвратяване и смекчаване на последиците от аварии</w:t>
      </w:r>
      <w:bookmarkEnd w:id="45"/>
    </w:p>
    <w:tbl>
      <w:tblPr>
        <w:tblStyle w:val="TableGrid"/>
        <w:tblW w:w="13495" w:type="dxa"/>
        <w:tblLook w:val="04A0" w:firstRow="1" w:lastRow="0" w:firstColumn="1" w:lastColumn="0" w:noHBand="0" w:noVBand="1"/>
      </w:tblPr>
      <w:tblGrid>
        <w:gridCol w:w="793"/>
        <w:gridCol w:w="5163"/>
        <w:gridCol w:w="1482"/>
        <w:gridCol w:w="6057"/>
      </w:tblGrid>
      <w:tr w:rsidR="003877DB" w:rsidRPr="00F172DF" w14:paraId="77AF1F9E" w14:textId="77777777" w:rsidTr="00C469CC">
        <w:trPr>
          <w:tblHeader/>
        </w:trPr>
        <w:tc>
          <w:tcPr>
            <w:tcW w:w="797" w:type="dxa"/>
          </w:tcPr>
          <w:p w14:paraId="2AB87B25" w14:textId="77777777" w:rsidR="003877DB" w:rsidRPr="00F172DF" w:rsidRDefault="003877DB" w:rsidP="00B723E1">
            <w:pPr>
              <w:rPr>
                <w:b/>
                <w:bCs/>
              </w:rPr>
            </w:pPr>
          </w:p>
        </w:tc>
        <w:tc>
          <w:tcPr>
            <w:tcW w:w="5260" w:type="dxa"/>
          </w:tcPr>
          <w:p w14:paraId="0258F989" w14:textId="77777777" w:rsidR="003877DB" w:rsidRPr="00F172DF" w:rsidRDefault="003877DB" w:rsidP="00B723E1">
            <w:pPr>
              <w:rPr>
                <w:b/>
                <w:bCs/>
              </w:rPr>
            </w:pPr>
            <w:r>
              <w:rPr>
                <w:b/>
              </w:rPr>
              <w:t>Описание</w:t>
            </w:r>
          </w:p>
        </w:tc>
        <w:tc>
          <w:tcPr>
            <w:tcW w:w="1286" w:type="dxa"/>
          </w:tcPr>
          <w:p w14:paraId="2A69AE00" w14:textId="77777777" w:rsidR="003877DB" w:rsidRPr="00F172DF" w:rsidRDefault="003877DB" w:rsidP="00B723E1">
            <w:pPr>
              <w:rPr>
                <w:b/>
                <w:bCs/>
              </w:rPr>
            </w:pPr>
            <w:r>
              <w:rPr>
                <w:b/>
              </w:rPr>
              <w:t>Съответствие</w:t>
            </w:r>
          </w:p>
        </w:tc>
        <w:tc>
          <w:tcPr>
            <w:tcW w:w="6152" w:type="dxa"/>
          </w:tcPr>
          <w:p w14:paraId="3344F671" w14:textId="77777777" w:rsidR="003877DB" w:rsidRPr="00F172DF" w:rsidRDefault="003877DB" w:rsidP="00B723E1">
            <w:pPr>
              <w:rPr>
                <w:b/>
                <w:bCs/>
              </w:rPr>
            </w:pPr>
            <w:r>
              <w:rPr>
                <w:b/>
              </w:rPr>
              <w:t>Обосновка</w:t>
            </w:r>
          </w:p>
        </w:tc>
      </w:tr>
      <w:tr w:rsidR="00EF2CA9" w14:paraId="077C43B1" w14:textId="77777777" w:rsidTr="00C469CC">
        <w:tc>
          <w:tcPr>
            <w:tcW w:w="797" w:type="dxa"/>
          </w:tcPr>
          <w:p w14:paraId="00FF9A43" w14:textId="66B93351" w:rsidR="00EF2CA9" w:rsidRDefault="00EF2CA9" w:rsidP="00EF2CA9"/>
        </w:tc>
        <w:tc>
          <w:tcPr>
            <w:tcW w:w="5260" w:type="dxa"/>
          </w:tcPr>
          <w:p w14:paraId="68CD99EF" w14:textId="17C85A00" w:rsidR="00EF2CA9" w:rsidRPr="007A2B35" w:rsidRDefault="00EF2CA9" w:rsidP="00EF2CA9">
            <w:pPr>
              <w:rPr>
                <w:b/>
                <w:bCs/>
              </w:rPr>
            </w:pPr>
            <w:r>
              <w:rPr>
                <w:b/>
              </w:rPr>
              <w:t>Регистрираните лица и лицензиантите прилагат добра инженерна практика и вземат всички практически осъществими мерки за предотвратяване на аварии и за смекчаване на последиците от възникнали аварии.</w:t>
            </w:r>
          </w:p>
        </w:tc>
        <w:tc>
          <w:tcPr>
            <w:tcW w:w="1286" w:type="dxa"/>
          </w:tcPr>
          <w:p w14:paraId="32975C5D" w14:textId="4BBB9C38" w:rsidR="00EF2CA9" w:rsidRDefault="00DE5355" w:rsidP="00EF2CA9">
            <w:pPr>
              <w:jc w:val="center"/>
            </w:pPr>
            <w:r>
              <w:t>OR</w:t>
            </w:r>
          </w:p>
        </w:tc>
        <w:tc>
          <w:tcPr>
            <w:tcW w:w="6152" w:type="dxa"/>
          </w:tcPr>
          <w:p w14:paraId="73BF285C" w14:textId="6C5E1AD4" w:rsidR="00EF2CA9" w:rsidRDefault="00DE5355" w:rsidP="00EF2CA9">
            <w:r>
              <w:t>Това е отговорност на Собственика/Лицензианта.</w:t>
            </w:r>
          </w:p>
        </w:tc>
      </w:tr>
      <w:tr w:rsidR="00EF2CA9" w14:paraId="49DED9E7" w14:textId="77777777" w:rsidTr="00B723E1">
        <w:tc>
          <w:tcPr>
            <w:tcW w:w="13495" w:type="dxa"/>
            <w:gridSpan w:val="4"/>
          </w:tcPr>
          <w:p w14:paraId="67B946D2" w14:textId="11DBFE1F" w:rsidR="00EF2CA9" w:rsidRPr="00EF2CA9" w:rsidRDefault="00EF2CA9" w:rsidP="00EF2CA9">
            <w:pPr>
              <w:jc w:val="center"/>
              <w:rPr>
                <w:i/>
                <w:iCs/>
              </w:rPr>
            </w:pPr>
            <w:r>
              <w:rPr>
                <w:i/>
              </w:rPr>
              <w:t>Добра инженерна практика</w:t>
            </w:r>
          </w:p>
        </w:tc>
      </w:tr>
      <w:tr w:rsidR="00EF2CA9" w14:paraId="1E79410E" w14:textId="77777777" w:rsidTr="00B723E1">
        <w:tc>
          <w:tcPr>
            <w:tcW w:w="797" w:type="dxa"/>
          </w:tcPr>
          <w:p w14:paraId="453D90ED" w14:textId="4BAFC486" w:rsidR="00EF2CA9" w:rsidRDefault="00EF2CA9" w:rsidP="00EF2CA9">
            <w:r>
              <w:t>3.39.</w:t>
            </w:r>
          </w:p>
        </w:tc>
        <w:tc>
          <w:tcPr>
            <w:tcW w:w="5260" w:type="dxa"/>
          </w:tcPr>
          <w:p w14:paraId="65EDB3B4" w14:textId="74ECFE9B" w:rsidR="00EF2CA9" w:rsidRPr="007A2B35" w:rsidRDefault="00EF2CA9" w:rsidP="00EF2CA9">
            <w:pPr>
              <w:rPr>
                <w:b/>
                <w:bCs/>
              </w:rPr>
            </w:pPr>
            <w:r>
              <w:t xml:space="preserve">Регистрираното лице или лицензиантът, в сътрудничество с други отговорни страни, гарантира, че изборът на площадка, разположението, проектирането, производството, </w:t>
            </w:r>
            <w:r>
              <w:lastRenderedPageBreak/>
              <w:t xml:space="preserve">изграждането, монтажа, въвеждането в експлоатация, експлоатацията, поддръжката и извеждането от експлоатация (или </w:t>
            </w:r>
            <w:r w:rsidR="001A2002">
              <w:t>затварянето</w:t>
            </w:r>
            <w:r>
              <w:t xml:space="preserve">) на съоръженията или на части от тях се основават на добра инженерна практика, която в съответните случаи: </w:t>
            </w:r>
            <w:r>
              <w:br/>
              <w:t>(а) отчита международните и националните стандарти;</w:t>
            </w:r>
            <w:r>
              <w:br/>
              <w:t>б) е подкрепена от управленски и организационни средства с цел осигуряване на защита и безопасност през целия период на експлоатация на съоръжението;</w:t>
            </w:r>
            <w:r>
              <w:br/>
              <w:t>(в) включва адекватен запас за безопасност при проектирането и изграждането на съоръжението, както и при операции, включващи съоръжението, така че да се осигури надеждно функциониране при нормална експлоатация  и да се отчитат необходимото качество, резервиране и възможност за инспекция, с акцент върху предотвратяването на аварии, смекчаването на последиците от тяхното възникване и ограничаването на всякакви възможни облъчвания в бъдеще;</w:t>
            </w:r>
            <w:r>
              <w:br/>
              <w:t>г) отчита съответното развитие по отношение на техническите критерии, както и резултатите от всички съответни изследвания в областта на защитата и безопасността, както и обратната информация за поуките, извлечени от натрупания опит.</w:t>
            </w:r>
          </w:p>
        </w:tc>
        <w:tc>
          <w:tcPr>
            <w:tcW w:w="1286" w:type="dxa"/>
          </w:tcPr>
          <w:p w14:paraId="6B13F7E6" w14:textId="08EC4B57" w:rsidR="00EF2CA9" w:rsidRDefault="00A936C2" w:rsidP="00EF2CA9">
            <w:pPr>
              <w:jc w:val="center"/>
            </w:pPr>
            <w:r>
              <w:lastRenderedPageBreak/>
              <w:t>COM, OR</w:t>
            </w:r>
          </w:p>
        </w:tc>
        <w:tc>
          <w:tcPr>
            <w:tcW w:w="6152" w:type="dxa"/>
          </w:tcPr>
          <w:p w14:paraId="34EBA3DE" w14:textId="06FFC2B1" w:rsidR="006C223B" w:rsidRPr="009E1D35" w:rsidRDefault="00E11FB6" w:rsidP="00784989">
            <w:pPr>
              <w:pStyle w:val="ListParagraph"/>
              <w:numPr>
                <w:ilvl w:val="0"/>
                <w:numId w:val="64"/>
              </w:numPr>
              <w:tabs>
                <w:tab w:val="clear" w:pos="720"/>
                <w:tab w:val="clear" w:pos="1296"/>
                <w:tab w:val="clear" w:pos="1872"/>
                <w:tab w:val="clear" w:pos="2448"/>
              </w:tabs>
              <w:autoSpaceDE w:val="0"/>
              <w:autoSpaceDN w:val="0"/>
              <w:adjustRightInd w:val="0"/>
              <w:spacing w:after="0" w:line="240" w:lineRule="auto"/>
              <w:rPr>
                <w:rFonts w:ascii="Calibri" w:hAnsi="Calibri" w:cs="Calibri"/>
                <w:kern w:val="0"/>
              </w:rPr>
            </w:pPr>
            <w:r>
              <w:rPr>
                <w:rFonts w:ascii="Calibri" w:hAnsi="Calibri"/>
              </w:rPr>
              <w:t>Централата AP1000 е проектирана в съответствие с надежден и изчерпателен набор от норми и стандарти за проектиране. По-голямата част от тези норми за проектиране са разработени в САЩ и са приет</w:t>
            </w:r>
            <w:r w:rsidR="001A2002">
              <w:rPr>
                <w:rFonts w:ascii="Calibri" w:hAnsi="Calibri"/>
              </w:rPr>
              <w:t>и</w:t>
            </w:r>
            <w:r>
              <w:rPr>
                <w:rFonts w:ascii="Calibri" w:hAnsi="Calibri"/>
              </w:rPr>
              <w:t xml:space="preserve"> най-добр</w:t>
            </w:r>
            <w:r w:rsidR="001A2002">
              <w:rPr>
                <w:rFonts w:ascii="Calibri" w:hAnsi="Calibri"/>
              </w:rPr>
              <w:t>и</w:t>
            </w:r>
            <w:r>
              <w:rPr>
                <w:rFonts w:ascii="Calibri" w:hAnsi="Calibri"/>
              </w:rPr>
              <w:t xml:space="preserve"> международн</w:t>
            </w:r>
            <w:r w:rsidR="001A2002">
              <w:rPr>
                <w:rFonts w:ascii="Calibri" w:hAnsi="Calibri"/>
              </w:rPr>
              <w:t>и</w:t>
            </w:r>
            <w:r>
              <w:rPr>
                <w:rFonts w:ascii="Calibri" w:hAnsi="Calibri"/>
              </w:rPr>
              <w:t xml:space="preserve"> практик</w:t>
            </w:r>
            <w:r w:rsidR="001A2002">
              <w:rPr>
                <w:rFonts w:ascii="Calibri" w:hAnsi="Calibri"/>
              </w:rPr>
              <w:t>и</w:t>
            </w:r>
            <w:r>
              <w:rPr>
                <w:rFonts w:ascii="Calibri" w:hAnsi="Calibri"/>
              </w:rPr>
              <w:t xml:space="preserve">. ДКП </w:t>
            </w:r>
            <w:r>
              <w:rPr>
                <w:rFonts w:ascii="Calibri" w:hAnsi="Calibri"/>
              </w:rPr>
              <w:lastRenderedPageBreak/>
              <w:t xml:space="preserve">определя ядрените </w:t>
            </w:r>
            <w:r w:rsidR="001A2002">
              <w:rPr>
                <w:rFonts w:ascii="Calibri" w:hAnsi="Calibri"/>
              </w:rPr>
              <w:t>кодове</w:t>
            </w:r>
            <w:r>
              <w:rPr>
                <w:rFonts w:ascii="Calibri" w:hAnsi="Calibri"/>
              </w:rPr>
              <w:t xml:space="preserve"> и стандарти, прилагани за стандартния проект на централата AP1000. Определените </w:t>
            </w:r>
            <w:r w:rsidR="001A2002">
              <w:rPr>
                <w:rFonts w:ascii="Calibri" w:hAnsi="Calibri"/>
              </w:rPr>
              <w:t>кодове</w:t>
            </w:r>
            <w:r>
              <w:rPr>
                <w:rFonts w:ascii="Calibri" w:hAnsi="Calibri"/>
              </w:rPr>
              <w:t xml:space="preserve"> са предимно международно приети специфични ядрени стандарти, които са разработени и усъвършенствани през десетилетията на развитие на ядрените технологии в САЩ и други страни. Те включват стандарти като Раздел III от Кода на Американското дружество на машинните инженери (ASME) за механични компоненти и съдове под налягане, Американския институт по бетон (ACI 349) за бетонни конструкции и системи и Американския институт по стоманени конструкции (AISC) N690 за проектиране на свързани с безопасността бетонни и стоманени конструкции. По отношение на проектирането на електротехническото оборудване, КИПиА и човешките фактори, проект</w:t>
            </w:r>
            <w:r w:rsidR="001A2002">
              <w:rPr>
                <w:rFonts w:ascii="Calibri" w:hAnsi="Calibri"/>
              </w:rPr>
              <w:t>ът</w:t>
            </w:r>
            <w:r>
              <w:rPr>
                <w:rFonts w:ascii="Calibri" w:hAnsi="Calibri"/>
              </w:rPr>
              <w:t xml:space="preserve"> на централата следва предимно указанията, разработени от Института на инженерите по електротехника и електроника (IEEE) или NRC на САЩ. Тези стандарти служат за основа на проектите на </w:t>
            </w:r>
            <w:r w:rsidR="001A2002">
              <w:rPr>
                <w:rFonts w:ascii="Calibri" w:hAnsi="Calibri"/>
              </w:rPr>
              <w:t>ядрените</w:t>
            </w:r>
            <w:r>
              <w:rPr>
                <w:rFonts w:ascii="Calibri" w:hAnsi="Calibri"/>
              </w:rPr>
              <w:t xml:space="preserve"> електроцентрали на Уестингхаус доставяни по целия свят. Една международна верига за доставки е в състояние да проектира и произвежда оборудване и материали в съответствие с тези стандарти. Приемането на тези стандарти в световен мащаб подкрепя целта на Уестингхаус за максимизиране на локализацията до възможната степен. Тези стандарти са широко разбираеми и приети от ядрените регулатори.</w:t>
            </w:r>
          </w:p>
          <w:p w14:paraId="6D2FEC42" w14:textId="77777777" w:rsidR="006C223B" w:rsidRPr="009E1D35" w:rsidRDefault="006C223B" w:rsidP="006C223B">
            <w:pPr>
              <w:pStyle w:val="ListParagraph"/>
              <w:tabs>
                <w:tab w:val="clear" w:pos="720"/>
                <w:tab w:val="clear" w:pos="1296"/>
                <w:tab w:val="clear" w:pos="1872"/>
                <w:tab w:val="clear" w:pos="2448"/>
              </w:tabs>
              <w:autoSpaceDE w:val="0"/>
              <w:autoSpaceDN w:val="0"/>
              <w:adjustRightInd w:val="0"/>
              <w:spacing w:after="0" w:line="240" w:lineRule="auto"/>
              <w:rPr>
                <w:rFonts w:ascii="Calibri" w:hAnsi="Calibri" w:cs="Calibri"/>
                <w:kern w:val="0"/>
              </w:rPr>
            </w:pPr>
          </w:p>
          <w:p w14:paraId="56D97135" w14:textId="1CDCA6E4" w:rsidR="006C223B" w:rsidRPr="009E1D35" w:rsidRDefault="00E11FB6" w:rsidP="006C223B">
            <w:pPr>
              <w:pStyle w:val="ListParagraph"/>
              <w:tabs>
                <w:tab w:val="clear" w:pos="720"/>
                <w:tab w:val="clear" w:pos="1296"/>
                <w:tab w:val="clear" w:pos="1872"/>
                <w:tab w:val="clear" w:pos="2448"/>
              </w:tabs>
              <w:autoSpaceDE w:val="0"/>
              <w:autoSpaceDN w:val="0"/>
              <w:adjustRightInd w:val="0"/>
              <w:spacing w:after="0" w:line="240" w:lineRule="auto"/>
              <w:rPr>
                <w:rFonts w:ascii="Calibri" w:hAnsi="Calibri" w:cs="Calibri"/>
                <w:kern w:val="0"/>
              </w:rPr>
            </w:pPr>
            <w:r>
              <w:rPr>
                <w:rFonts w:ascii="Calibri" w:hAnsi="Calibri"/>
              </w:rPr>
              <w:t xml:space="preserve">Следните раздели на ДКП предоставят допълнителна информация за приложимите </w:t>
            </w:r>
            <w:r w:rsidR="008A4867">
              <w:rPr>
                <w:rFonts w:ascii="Calibri" w:hAnsi="Calibri"/>
              </w:rPr>
              <w:t>кодове</w:t>
            </w:r>
            <w:r>
              <w:rPr>
                <w:rFonts w:ascii="Calibri" w:hAnsi="Calibri"/>
              </w:rPr>
              <w:t xml:space="preserve"> и стандарти:</w:t>
            </w:r>
          </w:p>
          <w:p w14:paraId="0DBFCDB4" w14:textId="57FB4135" w:rsidR="006C223B" w:rsidRPr="009E1D35" w:rsidRDefault="00E11FB6" w:rsidP="00784989">
            <w:pPr>
              <w:pStyle w:val="ListParagraph"/>
              <w:numPr>
                <w:ilvl w:val="0"/>
                <w:numId w:val="65"/>
              </w:numPr>
              <w:tabs>
                <w:tab w:val="clear" w:pos="720"/>
                <w:tab w:val="clear" w:pos="1296"/>
                <w:tab w:val="clear" w:pos="1872"/>
                <w:tab w:val="clear" w:pos="2448"/>
              </w:tabs>
              <w:autoSpaceDE w:val="0"/>
              <w:autoSpaceDN w:val="0"/>
              <w:adjustRightInd w:val="0"/>
              <w:spacing w:after="0" w:line="240" w:lineRule="auto"/>
              <w:rPr>
                <w:rFonts w:ascii="Calibri" w:hAnsi="Calibri" w:cs="Calibri"/>
                <w:kern w:val="0"/>
              </w:rPr>
            </w:pPr>
            <w:r>
              <w:rPr>
                <w:rFonts w:ascii="Calibri" w:hAnsi="Calibri"/>
              </w:rPr>
              <w:lastRenderedPageBreak/>
              <w:t xml:space="preserve">Раздели 1.2.1.6 и 3.7.2 на ДКП – </w:t>
            </w:r>
            <w:r w:rsidR="008A4867">
              <w:rPr>
                <w:rFonts w:ascii="Calibri" w:hAnsi="Calibri"/>
              </w:rPr>
              <w:t>кодове</w:t>
            </w:r>
            <w:r>
              <w:rPr>
                <w:rFonts w:ascii="Calibri" w:hAnsi="Calibri"/>
              </w:rPr>
              <w:t xml:space="preserve"> и стандарти за конструкции;</w:t>
            </w:r>
          </w:p>
          <w:p w14:paraId="0D00AD1D" w14:textId="77777777" w:rsidR="006C223B" w:rsidRPr="009E1D35" w:rsidRDefault="00E11FB6" w:rsidP="00784989">
            <w:pPr>
              <w:pStyle w:val="ListParagraph"/>
              <w:numPr>
                <w:ilvl w:val="0"/>
                <w:numId w:val="65"/>
              </w:numPr>
              <w:tabs>
                <w:tab w:val="clear" w:pos="720"/>
                <w:tab w:val="clear" w:pos="1296"/>
                <w:tab w:val="clear" w:pos="1872"/>
                <w:tab w:val="clear" w:pos="2448"/>
              </w:tabs>
              <w:autoSpaceDE w:val="0"/>
              <w:autoSpaceDN w:val="0"/>
              <w:adjustRightInd w:val="0"/>
              <w:spacing w:after="0" w:line="240" w:lineRule="auto"/>
              <w:rPr>
                <w:rFonts w:ascii="Calibri" w:hAnsi="Calibri" w:cs="Calibri"/>
                <w:kern w:val="0"/>
              </w:rPr>
            </w:pPr>
            <w:r>
              <w:rPr>
                <w:rFonts w:ascii="Calibri" w:hAnsi="Calibri"/>
              </w:rPr>
              <w:t>Раздел 1.9 на ДКП – съответствие с регулаторните критерии на NRC на САЩ;</w:t>
            </w:r>
          </w:p>
          <w:p w14:paraId="094B7548" w14:textId="77777777" w:rsidR="006C223B" w:rsidRPr="009E1D35" w:rsidRDefault="00E11FB6" w:rsidP="00784989">
            <w:pPr>
              <w:pStyle w:val="ListParagraph"/>
              <w:numPr>
                <w:ilvl w:val="0"/>
                <w:numId w:val="65"/>
              </w:numPr>
              <w:tabs>
                <w:tab w:val="clear" w:pos="720"/>
                <w:tab w:val="clear" w:pos="1296"/>
                <w:tab w:val="clear" w:pos="1872"/>
                <w:tab w:val="clear" w:pos="2448"/>
              </w:tabs>
              <w:autoSpaceDE w:val="0"/>
              <w:autoSpaceDN w:val="0"/>
              <w:adjustRightInd w:val="0"/>
              <w:spacing w:after="0" w:line="240" w:lineRule="auto"/>
              <w:rPr>
                <w:rFonts w:ascii="Calibri" w:hAnsi="Calibri" w:cs="Calibri"/>
                <w:kern w:val="0"/>
              </w:rPr>
            </w:pPr>
            <w:r>
              <w:rPr>
                <w:rFonts w:ascii="Calibri" w:hAnsi="Calibri"/>
              </w:rPr>
              <w:t>Раздел 3.1 на ДКП – съответствие с 10 CFR 50, Приложение А;</w:t>
            </w:r>
          </w:p>
          <w:p w14:paraId="018CE00E" w14:textId="5D0179ED" w:rsidR="006C223B" w:rsidRPr="009E1D35" w:rsidRDefault="00E11FB6" w:rsidP="00784989">
            <w:pPr>
              <w:pStyle w:val="ListParagraph"/>
              <w:numPr>
                <w:ilvl w:val="0"/>
                <w:numId w:val="65"/>
              </w:numPr>
              <w:tabs>
                <w:tab w:val="clear" w:pos="720"/>
                <w:tab w:val="clear" w:pos="1296"/>
                <w:tab w:val="clear" w:pos="1872"/>
                <w:tab w:val="clear" w:pos="2448"/>
              </w:tabs>
              <w:autoSpaceDE w:val="0"/>
              <w:autoSpaceDN w:val="0"/>
              <w:adjustRightInd w:val="0"/>
              <w:spacing w:after="0" w:line="240" w:lineRule="auto"/>
              <w:rPr>
                <w:rFonts w:ascii="Calibri" w:hAnsi="Calibri" w:cs="Calibri"/>
                <w:kern w:val="0"/>
              </w:rPr>
            </w:pPr>
            <w:r>
              <w:rPr>
                <w:rFonts w:ascii="Calibri" w:hAnsi="Calibri"/>
              </w:rPr>
              <w:t xml:space="preserve">Таблица 3.2-3 на ДКП – основни конструктивни </w:t>
            </w:r>
            <w:r w:rsidR="008A4867">
              <w:rPr>
                <w:rFonts w:ascii="Calibri" w:hAnsi="Calibri"/>
              </w:rPr>
              <w:t>кодове</w:t>
            </w:r>
            <w:r>
              <w:rPr>
                <w:rFonts w:ascii="Calibri" w:hAnsi="Calibri"/>
              </w:rPr>
              <w:t xml:space="preserve"> за компоненти на механични и флуидни системи;</w:t>
            </w:r>
          </w:p>
          <w:p w14:paraId="750E3F0C" w14:textId="1CAF539D" w:rsidR="006C223B" w:rsidRPr="009E1D35" w:rsidRDefault="00E11FB6" w:rsidP="00784989">
            <w:pPr>
              <w:pStyle w:val="ListParagraph"/>
              <w:numPr>
                <w:ilvl w:val="0"/>
                <w:numId w:val="65"/>
              </w:numPr>
              <w:tabs>
                <w:tab w:val="clear" w:pos="720"/>
                <w:tab w:val="clear" w:pos="1296"/>
                <w:tab w:val="clear" w:pos="1872"/>
                <w:tab w:val="clear" w:pos="2448"/>
              </w:tabs>
              <w:autoSpaceDE w:val="0"/>
              <w:autoSpaceDN w:val="0"/>
              <w:adjustRightInd w:val="0"/>
              <w:spacing w:after="0" w:line="240" w:lineRule="auto"/>
              <w:rPr>
                <w:rFonts w:ascii="Calibri" w:hAnsi="Calibri" w:cs="Calibri"/>
                <w:kern w:val="0"/>
              </w:rPr>
            </w:pPr>
            <w:r>
              <w:rPr>
                <w:rFonts w:ascii="Calibri" w:hAnsi="Calibri"/>
              </w:rPr>
              <w:t xml:space="preserve">Раздел 7.1.4 на ДКП – </w:t>
            </w:r>
            <w:r w:rsidR="008A4867">
              <w:rPr>
                <w:rFonts w:ascii="Calibri" w:hAnsi="Calibri"/>
              </w:rPr>
              <w:t>кодове</w:t>
            </w:r>
            <w:r>
              <w:rPr>
                <w:rFonts w:ascii="Calibri" w:hAnsi="Calibri"/>
              </w:rPr>
              <w:t xml:space="preserve"> и стандарти за системи КИПиА;</w:t>
            </w:r>
          </w:p>
          <w:p w14:paraId="45FFD529" w14:textId="0D2771B3" w:rsidR="00F00068" w:rsidRPr="00192FD5" w:rsidRDefault="00E11FB6" w:rsidP="00784989">
            <w:pPr>
              <w:pStyle w:val="ListParagraph"/>
              <w:numPr>
                <w:ilvl w:val="0"/>
                <w:numId w:val="65"/>
              </w:numPr>
              <w:tabs>
                <w:tab w:val="clear" w:pos="720"/>
                <w:tab w:val="clear" w:pos="1296"/>
                <w:tab w:val="clear" w:pos="1872"/>
                <w:tab w:val="clear" w:pos="2448"/>
              </w:tabs>
              <w:autoSpaceDE w:val="0"/>
              <w:autoSpaceDN w:val="0"/>
              <w:adjustRightInd w:val="0"/>
              <w:spacing w:after="0" w:line="240" w:lineRule="auto"/>
              <w:rPr>
                <w:kern w:val="0"/>
              </w:rPr>
            </w:pPr>
            <w:r>
              <w:rPr>
                <w:rFonts w:ascii="Calibri" w:hAnsi="Calibri"/>
              </w:rPr>
              <w:t xml:space="preserve">Раздел 8.1.4.3 на ДКП – </w:t>
            </w:r>
            <w:r w:rsidR="008A4867">
              <w:rPr>
                <w:rFonts w:ascii="Calibri" w:hAnsi="Calibri"/>
              </w:rPr>
              <w:t>кодове</w:t>
            </w:r>
            <w:r>
              <w:rPr>
                <w:rFonts w:ascii="Calibri" w:hAnsi="Calibri"/>
              </w:rPr>
              <w:t xml:space="preserve"> и стандарти за </w:t>
            </w:r>
            <w:r>
              <w:t>електрически системи.</w:t>
            </w:r>
          </w:p>
          <w:p w14:paraId="04E9B7B2" w14:textId="17E42C1E" w:rsidR="00F00068" w:rsidRPr="00192FD5" w:rsidRDefault="00F00068" w:rsidP="00F00068">
            <w:pPr>
              <w:tabs>
                <w:tab w:val="clear" w:pos="720"/>
                <w:tab w:val="clear" w:pos="1296"/>
                <w:tab w:val="clear" w:pos="1872"/>
                <w:tab w:val="clear" w:pos="2448"/>
              </w:tabs>
              <w:autoSpaceDE w:val="0"/>
              <w:autoSpaceDN w:val="0"/>
              <w:adjustRightInd w:val="0"/>
              <w:spacing w:after="0" w:line="240" w:lineRule="auto"/>
              <w:ind w:left="743"/>
              <w:rPr>
                <w:kern w:val="0"/>
              </w:rPr>
            </w:pPr>
            <w:r>
              <w:t xml:space="preserve">AP1000 съответства на приложимите </w:t>
            </w:r>
            <w:r w:rsidR="008A4867">
              <w:t>кодове</w:t>
            </w:r>
            <w:r>
              <w:t xml:space="preserve"> и стандарти за </w:t>
            </w:r>
            <w:r w:rsidR="008A4867">
              <w:t>избор на площадка</w:t>
            </w:r>
            <w:r>
              <w:t>, проектиране, изграждане и монтаж.</w:t>
            </w:r>
          </w:p>
          <w:p w14:paraId="2D7A1F61" w14:textId="40E86053" w:rsidR="006C223B" w:rsidRPr="009E1D35" w:rsidRDefault="006C223B" w:rsidP="00784989">
            <w:pPr>
              <w:pStyle w:val="ListParagraph"/>
              <w:numPr>
                <w:ilvl w:val="0"/>
                <w:numId w:val="64"/>
              </w:numPr>
            </w:pPr>
            <w:r>
              <w:t>Компанията Уестингхаус е провела разработването на проекта на AP1000 в рамките на своята призната система за управление на качеството (СУК) и е поела основната отговорност за безопасността по време на разработването на проекта. Централата AP1000 е проектирана с използване на административни програми и процедури, които да увеличат максимално реализирането на добри инженерни практики. Основната цел на проекта AP1000 е да се постигне много нисък риск от увреждане на хората и околната среда. Проектът на AP1000 включва мерки за намаляване на риска за хората и околната среда по време на отделните етапи от жизнения цикъл на централата. Тези мерки са обсъдени в ДКП.</w:t>
            </w:r>
          </w:p>
          <w:p w14:paraId="6FA5DD2E" w14:textId="2A82AA9C" w:rsidR="00A3682D" w:rsidRPr="009E1D35" w:rsidRDefault="00A3682D" w:rsidP="00784989">
            <w:pPr>
              <w:pStyle w:val="ListParagraph"/>
              <w:numPr>
                <w:ilvl w:val="0"/>
                <w:numId w:val="64"/>
              </w:numPr>
            </w:pPr>
            <w:r>
              <w:lastRenderedPageBreak/>
              <w:t>AP1000 осигурява достатъчни резерви за намаляване на вероятността от въздействие на йонизиращо лъчение.</w:t>
            </w:r>
          </w:p>
          <w:p w14:paraId="2822EE51" w14:textId="074C575B" w:rsidR="00DE0158" w:rsidRPr="009E1D35" w:rsidRDefault="00A3682D" w:rsidP="00784989">
            <w:pPr>
              <w:pStyle w:val="ListParagraph"/>
              <w:numPr>
                <w:ilvl w:val="0"/>
                <w:numId w:val="64"/>
              </w:numPr>
            </w:pPr>
            <w:r>
              <w:t xml:space="preserve">В AP1000 е използван съответният експлоатационен опит от съществуващи </w:t>
            </w:r>
            <w:r w:rsidR="008A4867">
              <w:t>ядрени</w:t>
            </w:r>
            <w:r>
              <w:t xml:space="preserve"> електроцентрали, за да се повиши безопасността в централата и да се намалят потенциалните аварии и облъчвания.</w:t>
            </w:r>
          </w:p>
          <w:p w14:paraId="781A27E4" w14:textId="07D1B2A4" w:rsidR="005B53E6" w:rsidRPr="009E1D35" w:rsidRDefault="009E1D35" w:rsidP="003A57F3">
            <w:r>
              <w:t>Собственикът/Лицензиантът или/и външни страни поемат отговорността за осигуряване изпълнението на тези изисквания и след въвеждането в експлоатация на централата AP1000.</w:t>
            </w:r>
          </w:p>
        </w:tc>
      </w:tr>
      <w:tr w:rsidR="00EF2CA9" w14:paraId="071623FB" w14:textId="77777777" w:rsidTr="00B723E1">
        <w:tc>
          <w:tcPr>
            <w:tcW w:w="13495" w:type="dxa"/>
            <w:gridSpan w:val="4"/>
          </w:tcPr>
          <w:p w14:paraId="1B61841E" w14:textId="26FC818B" w:rsidR="00EF2CA9" w:rsidRPr="00EF2CA9" w:rsidRDefault="008A4867" w:rsidP="00EF2CA9">
            <w:pPr>
              <w:jc w:val="center"/>
              <w:rPr>
                <w:i/>
                <w:iCs/>
              </w:rPr>
            </w:pPr>
            <w:r>
              <w:rPr>
                <w:i/>
              </w:rPr>
              <w:lastRenderedPageBreak/>
              <w:t>З</w:t>
            </w:r>
            <w:r w:rsidR="00EF2CA9">
              <w:rPr>
                <w:i/>
              </w:rPr>
              <w:t>ащита</w:t>
            </w:r>
            <w:r>
              <w:rPr>
                <w:i/>
              </w:rPr>
              <w:t xml:space="preserve"> в дълбочина</w:t>
            </w:r>
          </w:p>
        </w:tc>
      </w:tr>
      <w:tr w:rsidR="00DB47A3" w14:paraId="07CCE8B7" w14:textId="77777777" w:rsidTr="00B723E1">
        <w:tc>
          <w:tcPr>
            <w:tcW w:w="797" w:type="dxa"/>
          </w:tcPr>
          <w:p w14:paraId="776F06AF" w14:textId="23A614AC" w:rsidR="00DB47A3" w:rsidRDefault="00DB47A3" w:rsidP="00DB47A3">
            <w:r>
              <w:t>3.40.</w:t>
            </w:r>
          </w:p>
        </w:tc>
        <w:tc>
          <w:tcPr>
            <w:tcW w:w="5260" w:type="dxa"/>
          </w:tcPr>
          <w:p w14:paraId="796051BF" w14:textId="0D44C8EC" w:rsidR="00DB47A3" w:rsidRDefault="00DB47A3" w:rsidP="00DB47A3">
            <w:r>
              <w:t>Регистрираните лица и лицензиантите гарантират, че за източниците, за които са получили официално разрешение, се прилага многостепенна система (система за защита</w:t>
            </w:r>
            <w:r w:rsidR="003A42DC">
              <w:t xml:space="preserve"> в дълбочина</w:t>
            </w:r>
            <w:r>
              <w:t xml:space="preserve">), която се състои от последователни, независими </w:t>
            </w:r>
            <w:r w:rsidR="003A42DC">
              <w:t>нива</w:t>
            </w:r>
            <w:r>
              <w:t xml:space="preserve"> за защита и безопасност и съответства на вероятността и големината на потенциалните облъчвания. Регистрираните лица и лицензиантите гарантират, че в случай на отказ на ед</w:t>
            </w:r>
            <w:r w:rsidR="003A42DC">
              <w:t>но</w:t>
            </w:r>
            <w:r>
              <w:t xml:space="preserve"> от </w:t>
            </w:r>
            <w:r w:rsidR="003A42DC">
              <w:t>нивата</w:t>
            </w:r>
            <w:r>
              <w:t xml:space="preserve"> на защитата, следващ</w:t>
            </w:r>
            <w:r w:rsidR="003A42DC">
              <w:t>ото</w:t>
            </w:r>
            <w:r>
              <w:t xml:space="preserve"> независим</w:t>
            </w:r>
            <w:r w:rsidR="003A42DC">
              <w:t>о</w:t>
            </w:r>
            <w:r>
              <w:t xml:space="preserve"> </w:t>
            </w:r>
            <w:r w:rsidR="003A42DC">
              <w:t>ниво</w:t>
            </w:r>
            <w:r>
              <w:t xml:space="preserve"> ще бъде на разположение. Такава </w:t>
            </w:r>
            <w:r w:rsidR="003A42DC">
              <w:t>з</w:t>
            </w:r>
            <w:r>
              <w:t xml:space="preserve">ащита </w:t>
            </w:r>
            <w:r w:rsidR="003A42DC">
              <w:t xml:space="preserve">в дълбочина </w:t>
            </w:r>
            <w:r>
              <w:t>се прилага за целите на:</w:t>
            </w:r>
            <w:r>
              <w:br/>
              <w:t>(а) предотвратяване на аварии;</w:t>
            </w:r>
            <w:r>
              <w:br/>
              <w:t>(б) смекчаване на последиците от всякакви възникнали аварии;</w:t>
            </w:r>
            <w:r>
              <w:br/>
            </w:r>
            <w:r>
              <w:lastRenderedPageBreak/>
              <w:t>(в) възстановяване на безопасното състояние на източниците след всякакви такива аварии.</w:t>
            </w:r>
          </w:p>
        </w:tc>
        <w:tc>
          <w:tcPr>
            <w:tcW w:w="1286" w:type="dxa"/>
          </w:tcPr>
          <w:p w14:paraId="7F2CF50F" w14:textId="6B6DCE17" w:rsidR="00DB47A3" w:rsidRDefault="00DE5355" w:rsidP="00DB47A3">
            <w:pPr>
              <w:jc w:val="center"/>
            </w:pPr>
            <w:r>
              <w:lastRenderedPageBreak/>
              <w:t>OR</w:t>
            </w:r>
          </w:p>
        </w:tc>
        <w:tc>
          <w:tcPr>
            <w:tcW w:w="6152" w:type="dxa"/>
          </w:tcPr>
          <w:p w14:paraId="6613AB1F" w14:textId="109D7FDB" w:rsidR="00DB47A3" w:rsidRDefault="00DE5355" w:rsidP="00DB47A3">
            <w:pPr>
              <w:rPr>
                <w:rFonts w:eastAsiaTheme="minorHAnsi" w:cstheme="minorBidi"/>
                <w:kern w:val="0"/>
              </w:rPr>
            </w:pPr>
            <w:r>
              <w:t>Това е отговорност на Собственика/Лицензианта.</w:t>
            </w:r>
          </w:p>
          <w:p w14:paraId="7AC23735" w14:textId="11F8CC5E" w:rsidR="000075BB" w:rsidRDefault="00DB47A3" w:rsidP="00CF455D">
            <w:r>
              <w:t xml:space="preserve">Проектът на централата AP1000 предвижда системи и процедури за поддържане на централата в контролирано състояние и за предотвратяване на </w:t>
            </w:r>
            <w:r w:rsidR="00435AA2">
              <w:t>нарушени условия на</w:t>
            </w:r>
            <w:r>
              <w:t xml:space="preserve"> експлоатация и аварии. При нормални условия на експлоатация най-фундаменталното ниво на защита</w:t>
            </w:r>
            <w:r w:rsidR="00435AA2">
              <w:t>та в дълбочина</w:t>
            </w:r>
            <w:r>
              <w:t xml:space="preserve"> осигурява стабилна и надеждна експлоатация на централата. Това се постига чрез избора на материали, използването на резервиране в ключови елементи на инсталацията, осигуряване на качеството при проектирането и строителството, добре обучени оператори, както и чрез най-съвременна система за управление и проект на централата, които осигуряват значителни резерви за експлоатация на централата преди наближаване на пределите за безопасност. Способността за смекчаване на </w:t>
            </w:r>
            <w:r>
              <w:lastRenderedPageBreak/>
              <w:t>последиците от очаквани експлоатационни събития и проектни аварии е демонстрирана в анализите на безопасността в Глава 15 на ДКП и в обобщението на резултатите от В</w:t>
            </w:r>
            <w:r w:rsidR="00435AA2">
              <w:t>АБ</w:t>
            </w:r>
            <w:r>
              <w:t>, представено в Глава 19 на ДКП.</w:t>
            </w:r>
          </w:p>
        </w:tc>
      </w:tr>
      <w:tr w:rsidR="00DB47A3" w:rsidRPr="00F172DF" w14:paraId="242632CB" w14:textId="77777777" w:rsidTr="00B723E1">
        <w:trPr>
          <w:tblHeader/>
        </w:trPr>
        <w:tc>
          <w:tcPr>
            <w:tcW w:w="13495" w:type="dxa"/>
            <w:gridSpan w:val="4"/>
          </w:tcPr>
          <w:p w14:paraId="6180C584" w14:textId="1735EC2F" w:rsidR="00DB47A3" w:rsidRPr="00836CB2" w:rsidRDefault="00DB47A3" w:rsidP="00DB47A3">
            <w:pPr>
              <w:jc w:val="center"/>
              <w:rPr>
                <w:b/>
                <w:bCs/>
                <w:i/>
                <w:iCs/>
              </w:rPr>
            </w:pPr>
            <w:r>
              <w:rPr>
                <w:i/>
              </w:rPr>
              <w:lastRenderedPageBreak/>
              <w:t>Предотвратяване на аварии</w:t>
            </w:r>
          </w:p>
        </w:tc>
      </w:tr>
      <w:tr w:rsidR="001A2D86" w14:paraId="68D1DB6E" w14:textId="77777777" w:rsidTr="00B723E1">
        <w:tc>
          <w:tcPr>
            <w:tcW w:w="797" w:type="dxa"/>
          </w:tcPr>
          <w:p w14:paraId="6877676A" w14:textId="3799336F" w:rsidR="001A2D86" w:rsidRDefault="001A2D86" w:rsidP="001A2D86">
            <w:r>
              <w:t>3.41.</w:t>
            </w:r>
          </w:p>
        </w:tc>
        <w:tc>
          <w:tcPr>
            <w:tcW w:w="5260" w:type="dxa"/>
          </w:tcPr>
          <w:p w14:paraId="2281DDF7" w14:textId="22D66DE1" w:rsidR="001A2D86" w:rsidRDefault="001A2D86" w:rsidP="001A2D86">
            <w:r>
              <w:t>Регистрираните лица и лицензиантите гарантират, че конструкциите, системите и компонентите, включително софтуерът, които са свързани със защитата и безопасността на съоръженията и дейностите, са проектирани, изградени, въведени в експлоатация, експлоатирани и поддържани така, че да предотвратяват аварии, доколкото това е разумно постижимо.</w:t>
            </w:r>
          </w:p>
        </w:tc>
        <w:tc>
          <w:tcPr>
            <w:tcW w:w="1286" w:type="dxa"/>
          </w:tcPr>
          <w:p w14:paraId="6B2D13B0" w14:textId="2339EF44" w:rsidR="001A2D86" w:rsidRDefault="00DE5355" w:rsidP="001A2D86">
            <w:pPr>
              <w:jc w:val="center"/>
            </w:pPr>
            <w:r>
              <w:t>OR</w:t>
            </w:r>
          </w:p>
        </w:tc>
        <w:tc>
          <w:tcPr>
            <w:tcW w:w="6152" w:type="dxa"/>
          </w:tcPr>
          <w:p w14:paraId="1D979942" w14:textId="5084AA26" w:rsidR="00EE6E2F" w:rsidRDefault="00DE5355" w:rsidP="00EE6E2F">
            <w:pPr>
              <w:rPr>
                <w:rFonts w:eastAsiaTheme="minorHAnsi" w:cstheme="minorBidi"/>
                <w:kern w:val="0"/>
              </w:rPr>
            </w:pPr>
            <w:r>
              <w:t>Това е отговорност на Собственика/Лицензианта.</w:t>
            </w:r>
          </w:p>
          <w:p w14:paraId="3B59384E" w14:textId="10C4DC7C" w:rsidR="00620ECE" w:rsidRPr="00620ECE" w:rsidRDefault="00EE6E2F" w:rsidP="001A2D86">
            <w:pPr>
              <w:rPr>
                <w:rFonts w:eastAsiaTheme="minorHAnsi" w:cstheme="minorBidi"/>
                <w:kern w:val="0"/>
              </w:rPr>
            </w:pPr>
            <w:r>
              <w:t xml:space="preserve">Както вече беше споменато в това изискване, основната цел на проекта на AP1000 е да се постигне много нисък риск от увреждане на хората и околната среда. Проектът на AP1000 включва мерки за намаляване на риска за хората и околната среда по време на отделните етапи от жизнения цикъл на централата. Тези мерки са обсъдени в ДКП. В Глава 2 на ДКП се обсъждат аспектите, свързани с избора на площадка. В Глави от 3 до 10 на ДКП се обсъждат аспектите на проектирането, </w:t>
            </w:r>
            <w:r w:rsidR="00435AA2">
              <w:t>производството</w:t>
            </w:r>
            <w:r>
              <w:t xml:space="preserve"> и строителството. В Глава 11 на ДКП се обсъждат аспектите на управлението на радиоактивните отпадъци. В Глава 12 на ДКП се обсъжда радиационната защита. В Глава 14 на ДКП се обсъждат аспектите на въвеждането в експлоатация. В Глава 15 на ДКП се обсъждат анализите на авариите, в Глава 18 на ДКП се обсъждат аспектите на човешките фактори, а в Глава 19 на ДКП се обсъжда вероятностният анализ на безопасността. Всички тези мерки се използват за предотвратяване на аварии, доколкото това е разумно постижимо.</w:t>
            </w:r>
          </w:p>
        </w:tc>
      </w:tr>
      <w:tr w:rsidR="001A2D86" w14:paraId="2689736D" w14:textId="77777777" w:rsidTr="00B723E1">
        <w:tc>
          <w:tcPr>
            <w:tcW w:w="797" w:type="dxa"/>
          </w:tcPr>
          <w:p w14:paraId="393C9C3B" w14:textId="3E5DB00B" w:rsidR="001A2D86" w:rsidRDefault="001A2D86" w:rsidP="001A2D86">
            <w:r>
              <w:t>3.42.</w:t>
            </w:r>
          </w:p>
        </w:tc>
        <w:tc>
          <w:tcPr>
            <w:tcW w:w="5260" w:type="dxa"/>
          </w:tcPr>
          <w:p w14:paraId="65425960" w14:textId="2DEC7F10" w:rsidR="001A2D86" w:rsidRDefault="001A2D86" w:rsidP="001A2D86">
            <w:r>
              <w:t xml:space="preserve">Регистрираното лице и лицензиантът за всяко съоръжение или дейност трябва да предприеме подходящи мерки за: </w:t>
            </w:r>
            <w:r>
              <w:br/>
            </w:r>
            <w:r>
              <w:lastRenderedPageBreak/>
              <w:t xml:space="preserve">(а) предотвратяване на разумно предвидими аварии в съоръжението или дейността; </w:t>
            </w:r>
            <w:r>
              <w:br/>
              <w:t xml:space="preserve">(б) смекчаване на последиците от такива възникнали аварии; </w:t>
            </w:r>
            <w:r>
              <w:br/>
              <w:t xml:space="preserve">(в) осигуряване за </w:t>
            </w:r>
            <w:r w:rsidR="00365E81">
              <w:t>персонала</w:t>
            </w:r>
            <w:r>
              <w:t xml:space="preserve"> на необходимата информация, инструктаж, обучение и оборудване за ограничаване на потенциални облъчвания; </w:t>
            </w:r>
            <w:r>
              <w:br/>
              <w:t xml:space="preserve">(г) осигуряване наличието на подходящи процедури за контрол над съоръжението и за управление на всякакви разумно предвидими аварии; </w:t>
            </w:r>
            <w:r>
              <w:br/>
              <w:t xml:space="preserve">д) гарантиране, че конструкциите, системите и компонентите, значими за безопасността, включително софтуерът и друго оборудване, могат да бъдат редовно инспектирани и изпитвани за всякаква деградация, която може да доведе до </w:t>
            </w:r>
            <w:r w:rsidR="00365E81">
              <w:t xml:space="preserve">нарушени нормални </w:t>
            </w:r>
            <w:r>
              <w:t xml:space="preserve">условия или неадекватни работни характеристики; </w:t>
            </w:r>
            <w:r>
              <w:br/>
              <w:t xml:space="preserve">(е) гарантиране, че поддръжката, инспекциите и изпитванията, необходими за поддържане на мерките за защита и безопасност, могат да се извършват без прекомерно професионално облъчване; </w:t>
            </w:r>
            <w:r>
              <w:br/>
              <w:t xml:space="preserve">ж) осигуряване, когато е целесъобразно, на автоматични системи за безопасно изключване или намаляване на изхвърлянето на радиация от съоръженията, ако експлоатационните условия излязат от определените граници; </w:t>
            </w:r>
            <w:r>
              <w:br/>
              <w:t xml:space="preserve">з) гарантиране, че </w:t>
            </w:r>
            <w:r w:rsidR="0023160B">
              <w:t>нарушени нормални</w:t>
            </w:r>
            <w:r>
              <w:t xml:space="preserve"> условия на експлоатация, които биха могли да окажат значително влияние върху защитата и безопасността, се откриват от системи, които </w:t>
            </w:r>
            <w:r>
              <w:lastRenderedPageBreak/>
              <w:t xml:space="preserve">реагират достатъчно бързо, за да се даде възможност за своевременно предприемане на коригиращи действия; </w:t>
            </w:r>
            <w:r>
              <w:br/>
              <w:t>и) гарантиране, че цялата съответна документация за безопасността е налична на съответните разбираеми за ползвателите езици.</w:t>
            </w:r>
          </w:p>
        </w:tc>
        <w:tc>
          <w:tcPr>
            <w:tcW w:w="1286" w:type="dxa"/>
          </w:tcPr>
          <w:p w14:paraId="3D6B9ED4" w14:textId="28811660" w:rsidR="001A2D86" w:rsidRDefault="00DE5355" w:rsidP="001A2D86">
            <w:pPr>
              <w:jc w:val="center"/>
            </w:pPr>
            <w:r>
              <w:lastRenderedPageBreak/>
              <w:t>OR</w:t>
            </w:r>
          </w:p>
        </w:tc>
        <w:tc>
          <w:tcPr>
            <w:tcW w:w="6152" w:type="dxa"/>
          </w:tcPr>
          <w:p w14:paraId="64B8F485" w14:textId="2F5DD991" w:rsidR="00620ECE" w:rsidRPr="00496090" w:rsidRDefault="00DE5355" w:rsidP="001A2D86">
            <w:pPr>
              <w:rPr>
                <w:rFonts w:eastAsiaTheme="minorHAnsi" w:cstheme="minorBidi"/>
                <w:kern w:val="0"/>
              </w:rPr>
            </w:pPr>
            <w:r>
              <w:t>Това е отговорност на Собственика/Лицензианта.</w:t>
            </w:r>
          </w:p>
        </w:tc>
      </w:tr>
      <w:tr w:rsidR="00620ECE" w14:paraId="13644843" w14:textId="77777777" w:rsidTr="00B723E1">
        <w:tc>
          <w:tcPr>
            <w:tcW w:w="797" w:type="dxa"/>
          </w:tcPr>
          <w:p w14:paraId="021DDFAA" w14:textId="2C10ECC8" w:rsidR="00620ECE" w:rsidRDefault="00620ECE" w:rsidP="00620ECE">
            <w:r>
              <w:lastRenderedPageBreak/>
              <w:t>3.43.</w:t>
            </w:r>
          </w:p>
        </w:tc>
        <w:tc>
          <w:tcPr>
            <w:tcW w:w="5260" w:type="dxa"/>
          </w:tcPr>
          <w:p w14:paraId="4F1A1FAC" w14:textId="1C909170" w:rsidR="00620ECE" w:rsidRDefault="00620ECE" w:rsidP="00620ECE">
            <w:r>
              <w:t xml:space="preserve">Ако оценката на безопасността показва, че има разумна вероятност от възникване на авария, която да засегне работници или лица от населението, регистрираното лице или лицензиантът изготвя авариен план за защита на хората и околната среда. В рамките на този авариен план регистрираното лице или лицензиантът включва мерки за бързо идентифициране на една аварийна ситуация и за определяне на подходящото ниво на аварийно реагиране [20]. По отношение на мерките за реагиране на мястото на събитията от страна на регистрираното лице или лицензианта, аварийният план включва, в частност: </w:t>
            </w:r>
            <w:r>
              <w:br/>
              <w:t xml:space="preserve">(а) осигуряване на индивидуален </w:t>
            </w:r>
            <w:r w:rsidR="0023160B">
              <w:t>дозиметричен контрол</w:t>
            </w:r>
            <w:r>
              <w:t xml:space="preserve"> и мониторинг на района, както и мерки за медицинско </w:t>
            </w:r>
            <w:r w:rsidR="0023160B">
              <w:t>обслужване</w:t>
            </w:r>
            <w:r>
              <w:t>;</w:t>
            </w:r>
            <w:r>
              <w:br/>
              <w:t>б) мерки за оценка и смекчаване на всякакви последици от аварийна ситуация.</w:t>
            </w:r>
          </w:p>
        </w:tc>
        <w:tc>
          <w:tcPr>
            <w:tcW w:w="1286" w:type="dxa"/>
          </w:tcPr>
          <w:p w14:paraId="383DFC0E" w14:textId="08B0C1EA" w:rsidR="00620ECE" w:rsidRDefault="00DE5355" w:rsidP="00620ECE">
            <w:pPr>
              <w:jc w:val="center"/>
            </w:pPr>
            <w:r>
              <w:t>OR</w:t>
            </w:r>
          </w:p>
        </w:tc>
        <w:tc>
          <w:tcPr>
            <w:tcW w:w="6152" w:type="dxa"/>
          </w:tcPr>
          <w:p w14:paraId="536E0E60" w14:textId="760BE6F9" w:rsidR="00BB5D64" w:rsidRDefault="00DE5355" w:rsidP="00620ECE">
            <w:pPr>
              <w:rPr>
                <w:rFonts w:eastAsiaTheme="minorHAnsi" w:cstheme="minorBidi"/>
                <w:kern w:val="0"/>
              </w:rPr>
            </w:pPr>
            <w:r>
              <w:t>Това е отговорност на Собственика/Лицензианта.</w:t>
            </w:r>
          </w:p>
          <w:p w14:paraId="7B7D7219" w14:textId="7128323A" w:rsidR="00BB5D64" w:rsidRDefault="00BB5D64" w:rsidP="00BB5D64">
            <w:r>
              <w:t>Вероятностния</w:t>
            </w:r>
            <w:r w:rsidR="00F64050">
              <w:t>т</w:t>
            </w:r>
            <w:r>
              <w:t xml:space="preserve"> анализ на безопасността (ВАБ) за AP1000 включва изчисления на реакцията на AP1000 при тежки аварии. Тази реакция включва изхвърляне на радионуклиди. Този анализ подкрепя техническата основа за опростяване на аварийното планиране извън територията на площадката. Аварийното планиране извън територията на площадката е обсъдено в Глава 13 на ДКП, изготвена за AP1000, която може да бъде полезна.</w:t>
            </w:r>
          </w:p>
          <w:p w14:paraId="3D14948A" w14:textId="0162F26B" w:rsidR="00C2145F" w:rsidRDefault="00C2145F" w:rsidP="00C2145F">
            <w:r>
              <w:t xml:space="preserve">Зоналните радиационни монитори се осигуряват в допълнение към </w:t>
            </w:r>
            <w:r w:rsidR="00F64050">
              <w:t>мерките</w:t>
            </w:r>
            <w:r>
              <w:t xml:space="preserve"> за ради</w:t>
            </w:r>
            <w:r w:rsidR="00F64050">
              <w:t>ологично</w:t>
            </w:r>
            <w:r>
              <w:t xml:space="preserve"> изследване на персонала и </w:t>
            </w:r>
            <w:r w:rsidR="008D746B">
              <w:t>работните места</w:t>
            </w:r>
            <w:r>
              <w:t xml:space="preserve"> в програмата по </w:t>
            </w:r>
            <w:r w:rsidR="00F64050">
              <w:t>радиационна защита</w:t>
            </w:r>
            <w:r>
              <w:t xml:space="preserve"> и в съответствие с ръководните принципи за радиационна защита на персонала, посочени в 10 CFR 20, 10 CFR 50 и 10 CFR 70 (Вътрешно лицензиране на специални ядрени материали), както и в Регулаторните ръководства 1.97 (Критерии за контролно-измервателни </w:t>
            </w:r>
            <w:r w:rsidR="00E85EAF">
              <w:t>прибори</w:t>
            </w:r>
            <w:r>
              <w:t xml:space="preserve"> за мониторинг на аварии в </w:t>
            </w:r>
            <w:r w:rsidR="00E85EAF">
              <w:t>ядрени</w:t>
            </w:r>
            <w:r>
              <w:t xml:space="preserve"> електроцентрали) и 8.8 (Информация, свързана с осигуряването на това, че професионалното облъчване в </w:t>
            </w:r>
            <w:r w:rsidR="00E85EAF">
              <w:t>ядрените</w:t>
            </w:r>
            <w:r>
              <w:t xml:space="preserve"> електроцентрали ще бъде толкова ниско, колкото е разумно постижимо). По време на операциите по </w:t>
            </w:r>
            <w:r w:rsidR="00E85EAF">
              <w:t>презарядка</w:t>
            </w:r>
            <w:r>
              <w:t xml:space="preserve"> в херметичн</w:t>
            </w:r>
            <w:r w:rsidR="00E85EAF">
              <w:t>ия</w:t>
            </w:r>
            <w:r>
              <w:t xml:space="preserve"> </w:t>
            </w:r>
            <w:r w:rsidR="00E85EAF">
              <w:t>обем</w:t>
            </w:r>
            <w:r>
              <w:t xml:space="preserve"> и в </w:t>
            </w:r>
            <w:r>
              <w:lastRenderedPageBreak/>
              <w:t xml:space="preserve">зоната за </w:t>
            </w:r>
            <w:r w:rsidR="00E85EAF">
              <w:t>презарядка</w:t>
            </w:r>
            <w:r>
              <w:t xml:space="preserve"> функциите за контрол на критичността се изпълняват от зонални радиационни монитори в комбинация с преносими монитори, както се изисква от ръководните принципи на 10 CFR 70.24.</w:t>
            </w:r>
          </w:p>
          <w:p w14:paraId="35289162" w14:textId="4BFA9975" w:rsidR="00864441" w:rsidRPr="00862946" w:rsidRDefault="00101387" w:rsidP="00864441">
            <w:pPr>
              <w:tabs>
                <w:tab w:val="clear" w:pos="720"/>
                <w:tab w:val="clear" w:pos="1296"/>
                <w:tab w:val="clear" w:pos="1872"/>
                <w:tab w:val="clear" w:pos="2448"/>
              </w:tabs>
              <w:autoSpaceDE w:val="0"/>
              <w:autoSpaceDN w:val="0"/>
              <w:adjustRightInd w:val="0"/>
              <w:spacing w:after="0" w:line="240" w:lineRule="auto"/>
              <w:rPr>
                <w:rFonts w:eastAsiaTheme="minorEastAsia" w:cstheme="minorBidi"/>
                <w:kern w:val="0"/>
              </w:rPr>
            </w:pPr>
            <w:r>
              <w:t xml:space="preserve">Стандартите за безопасност на МААЕ № GSR, Част 3 [1] са в съответствие с 2013/59/Евратом [10] и с Препоръките на Публикация 103 на </w:t>
            </w:r>
            <w:r w:rsidR="00320A5C">
              <w:t xml:space="preserve">МКРЗ </w:t>
            </w:r>
            <w:r>
              <w:t>от 2007 г. [9], които еволюират от предишния, основан на процеси подход за защита с използване практики и вмешателства, към подход, основан на ситуацията на облъчване.</w:t>
            </w:r>
          </w:p>
          <w:p w14:paraId="6EBB6196" w14:textId="4C88C406" w:rsidR="00864441" w:rsidRPr="00862946" w:rsidRDefault="00864441" w:rsidP="00864441">
            <w:pPr>
              <w:tabs>
                <w:tab w:val="clear" w:pos="720"/>
                <w:tab w:val="clear" w:pos="1296"/>
                <w:tab w:val="clear" w:pos="1872"/>
                <w:tab w:val="clear" w:pos="2448"/>
              </w:tabs>
              <w:autoSpaceDE w:val="0"/>
              <w:autoSpaceDN w:val="0"/>
              <w:adjustRightInd w:val="0"/>
              <w:spacing w:after="0" w:line="240" w:lineRule="auto"/>
              <w:rPr>
                <w:rFonts w:eastAsiaTheme="minorEastAsia" w:cstheme="minorBidi"/>
                <w:kern w:val="0"/>
              </w:rPr>
            </w:pPr>
            <w:r>
              <w:t xml:space="preserve">Те разпознават ситуации на планирано, аварийно и съществуващо облъчване и прилагат фундаменталните принципи на обосноваване и оптимизиране на защитата във всички тези ситуации. Те поддържат действащите индивидуални </w:t>
            </w:r>
            <w:r w:rsidR="00034AD2">
              <w:t>дозови ограничения</w:t>
            </w:r>
            <w:r>
              <w:t xml:space="preserve"> на Комисията за ефективната доза и еквивалентната доза от всички регулирани източници в ситуации на планирано облъчване. Те укрепват принципа за оптимизация на защитата, който трябва да се прилага</w:t>
            </w:r>
          </w:p>
          <w:p w14:paraId="3CFB6526" w14:textId="6E4BD36D" w:rsidR="00864441" w:rsidRPr="00C2145F" w:rsidRDefault="00864441" w:rsidP="00A75F45">
            <w:pPr>
              <w:tabs>
                <w:tab w:val="clear" w:pos="720"/>
                <w:tab w:val="clear" w:pos="1296"/>
                <w:tab w:val="clear" w:pos="1872"/>
                <w:tab w:val="clear" w:pos="2448"/>
              </w:tabs>
              <w:autoSpaceDE w:val="0"/>
              <w:autoSpaceDN w:val="0"/>
              <w:adjustRightInd w:val="0"/>
              <w:spacing w:line="240" w:lineRule="auto"/>
            </w:pPr>
            <w:r>
              <w:t>по подобен начин за всички ситуации на облъчване при спазване на ограниченията за индивидуалните дози и рисковете, ограниченията за дозите и рисковете за ситуации на планирано облъчване и референтните нива за ситуации на аварийно и съществуващо облъчване</w:t>
            </w:r>
            <w:r>
              <w:rPr>
                <w:rFonts w:ascii="CIDFont+F1" w:hAnsi="CIDFont+F1"/>
              </w:rPr>
              <w:t>.</w:t>
            </w:r>
          </w:p>
        </w:tc>
      </w:tr>
      <w:tr w:rsidR="00620ECE" w14:paraId="10FF09A3" w14:textId="77777777" w:rsidTr="00B723E1">
        <w:tc>
          <w:tcPr>
            <w:tcW w:w="797" w:type="dxa"/>
          </w:tcPr>
          <w:p w14:paraId="067318B8" w14:textId="1ACB6B0A" w:rsidR="00620ECE" w:rsidRDefault="00620ECE" w:rsidP="00620ECE">
            <w:r>
              <w:lastRenderedPageBreak/>
              <w:t>3.44.</w:t>
            </w:r>
          </w:p>
        </w:tc>
        <w:tc>
          <w:tcPr>
            <w:tcW w:w="5260" w:type="dxa"/>
          </w:tcPr>
          <w:p w14:paraId="0887EEF7" w14:textId="35D4ECAD" w:rsidR="00620ECE" w:rsidRDefault="00620ECE" w:rsidP="00A75F45">
            <w:r>
              <w:t xml:space="preserve">Регистрираните лица и лицензиантите носят отговорност за изпълнението на своите планове за действие при извънредни ситуации и трябва да са подготвени да предприемат всякакви необходими действия за ефективно реагиране. За да предотвратят възникването на условия, които могат </w:t>
            </w:r>
            <w:r>
              <w:lastRenderedPageBreak/>
              <w:t xml:space="preserve">да доведат до загуба на контрол върху източника или до ескалация на такива условия, регистрираните лица и лицензиантите, ако е необходимо: </w:t>
            </w:r>
            <w:r>
              <w:br/>
              <w:t xml:space="preserve">(а) разработват, поддържат и осъществяват процедури за осигуряване на средства за предотвратяване загубата на контрол върху източника и за възстановяване на контрола върху източника, когато това е необходимо; </w:t>
            </w:r>
            <w:r>
              <w:br/>
              <w:t xml:space="preserve">(б) осигуряват наличие на оборудване, контролно-измервателни </w:t>
            </w:r>
            <w:r w:rsidR="00320A5C">
              <w:t>прибори</w:t>
            </w:r>
            <w:r>
              <w:t xml:space="preserve"> и диагностични средства, които могат да бъдат необходими; </w:t>
            </w:r>
            <w:r>
              <w:br/>
              <w:t>(в) осигуряват обучение и периодично преквалифициране на персонала по въпросите на прилагането и осъществяването на процедурите.</w:t>
            </w:r>
          </w:p>
        </w:tc>
        <w:tc>
          <w:tcPr>
            <w:tcW w:w="1286" w:type="dxa"/>
          </w:tcPr>
          <w:p w14:paraId="61E71BF9" w14:textId="595858D3" w:rsidR="00620ECE" w:rsidRDefault="00DE5355" w:rsidP="00304202">
            <w:pPr>
              <w:jc w:val="center"/>
            </w:pPr>
            <w:r>
              <w:lastRenderedPageBreak/>
              <w:t>OR</w:t>
            </w:r>
          </w:p>
        </w:tc>
        <w:tc>
          <w:tcPr>
            <w:tcW w:w="6152" w:type="dxa"/>
          </w:tcPr>
          <w:p w14:paraId="7A28F9AB" w14:textId="0398ABFE" w:rsidR="00DF1D8F" w:rsidRPr="000D6105" w:rsidRDefault="00DE5355" w:rsidP="00620ECE">
            <w:pPr>
              <w:rPr>
                <w:rFonts w:eastAsiaTheme="minorHAnsi" w:cstheme="minorBidi"/>
                <w:kern w:val="0"/>
              </w:rPr>
            </w:pPr>
            <w:r>
              <w:t>Това е отговорност на Собственика/Лицензианта.</w:t>
            </w:r>
          </w:p>
        </w:tc>
      </w:tr>
    </w:tbl>
    <w:p w14:paraId="5BA27525" w14:textId="6130EE9C" w:rsidR="00D96AF5" w:rsidRPr="00BF56EE" w:rsidRDefault="00BF56EE" w:rsidP="00190D0E">
      <w:pPr>
        <w:pStyle w:val="Heading3"/>
        <w:spacing w:before="240"/>
        <w:rPr>
          <w:caps/>
        </w:rPr>
      </w:pPr>
      <w:bookmarkStart w:id="46" w:name="_Toc155347793"/>
      <w:r>
        <w:t>Изискване 16: Разследвания и обратна връзка за информация по експлоатационния опит</w:t>
      </w:r>
      <w:bookmarkEnd w:id="46"/>
    </w:p>
    <w:tbl>
      <w:tblPr>
        <w:tblStyle w:val="TableGrid"/>
        <w:tblW w:w="13495" w:type="dxa"/>
        <w:tblLook w:val="04A0" w:firstRow="1" w:lastRow="0" w:firstColumn="1" w:lastColumn="0" w:noHBand="0" w:noVBand="1"/>
      </w:tblPr>
      <w:tblGrid>
        <w:gridCol w:w="793"/>
        <w:gridCol w:w="5167"/>
        <w:gridCol w:w="1482"/>
        <w:gridCol w:w="6053"/>
      </w:tblGrid>
      <w:tr w:rsidR="00426C07" w:rsidRPr="00F172DF" w14:paraId="509DF6DC" w14:textId="77777777" w:rsidTr="00C469CC">
        <w:trPr>
          <w:tblHeader/>
        </w:trPr>
        <w:tc>
          <w:tcPr>
            <w:tcW w:w="797" w:type="dxa"/>
          </w:tcPr>
          <w:p w14:paraId="697E7A9D" w14:textId="77777777" w:rsidR="00426C07" w:rsidRPr="00F172DF" w:rsidRDefault="00426C07" w:rsidP="00B723E1">
            <w:pPr>
              <w:rPr>
                <w:b/>
                <w:bCs/>
              </w:rPr>
            </w:pPr>
          </w:p>
        </w:tc>
        <w:tc>
          <w:tcPr>
            <w:tcW w:w="5260" w:type="dxa"/>
          </w:tcPr>
          <w:p w14:paraId="3432DB1D" w14:textId="77777777" w:rsidR="00426C07" w:rsidRPr="00F172DF" w:rsidRDefault="00426C07" w:rsidP="00B723E1">
            <w:pPr>
              <w:rPr>
                <w:b/>
                <w:bCs/>
              </w:rPr>
            </w:pPr>
            <w:r>
              <w:rPr>
                <w:b/>
              </w:rPr>
              <w:t>Описание</w:t>
            </w:r>
          </w:p>
        </w:tc>
        <w:tc>
          <w:tcPr>
            <w:tcW w:w="1286" w:type="dxa"/>
          </w:tcPr>
          <w:p w14:paraId="1E0CA79A" w14:textId="77777777" w:rsidR="00426C07" w:rsidRPr="00F172DF" w:rsidRDefault="00426C07" w:rsidP="00B723E1">
            <w:pPr>
              <w:rPr>
                <w:b/>
                <w:bCs/>
              </w:rPr>
            </w:pPr>
            <w:r>
              <w:rPr>
                <w:b/>
              </w:rPr>
              <w:t>Съответствие</w:t>
            </w:r>
          </w:p>
        </w:tc>
        <w:tc>
          <w:tcPr>
            <w:tcW w:w="6152" w:type="dxa"/>
          </w:tcPr>
          <w:p w14:paraId="66867E08" w14:textId="77777777" w:rsidR="00426C07" w:rsidRPr="00F172DF" w:rsidRDefault="00426C07" w:rsidP="00B723E1">
            <w:pPr>
              <w:rPr>
                <w:b/>
                <w:bCs/>
              </w:rPr>
            </w:pPr>
            <w:r>
              <w:rPr>
                <w:b/>
              </w:rPr>
              <w:t>Обосновка</w:t>
            </w:r>
          </w:p>
        </w:tc>
      </w:tr>
      <w:tr w:rsidR="001A2D86" w14:paraId="2D02BD23" w14:textId="77777777" w:rsidTr="00B723E1">
        <w:tc>
          <w:tcPr>
            <w:tcW w:w="797" w:type="dxa"/>
          </w:tcPr>
          <w:p w14:paraId="66A220CD" w14:textId="77777777" w:rsidR="001A2D86" w:rsidRDefault="001A2D86" w:rsidP="001A2D86"/>
        </w:tc>
        <w:tc>
          <w:tcPr>
            <w:tcW w:w="5260" w:type="dxa"/>
          </w:tcPr>
          <w:p w14:paraId="74D13A7A" w14:textId="4488822A" w:rsidR="001A2D86" w:rsidRDefault="001A2D86" w:rsidP="001A2D86">
            <w:r>
              <w:rPr>
                <w:b/>
              </w:rPr>
              <w:t xml:space="preserve">Регистрираните лица и лицензиантите провеждат официални разследвания на </w:t>
            </w:r>
            <w:r w:rsidR="002A3CDF">
              <w:rPr>
                <w:b/>
              </w:rPr>
              <w:t>нарушени нормални</w:t>
            </w:r>
            <w:r>
              <w:rPr>
                <w:b/>
              </w:rPr>
              <w:t xml:space="preserve"> условия, възникнали при експлоатацията на съоръженията или при извършването на дейностите, и разпространяват информация, която е от значение за защитата и безопасността.</w:t>
            </w:r>
          </w:p>
        </w:tc>
        <w:tc>
          <w:tcPr>
            <w:tcW w:w="1286" w:type="dxa"/>
          </w:tcPr>
          <w:p w14:paraId="19BD4AA4" w14:textId="0DCE2970" w:rsidR="001A2D86" w:rsidRDefault="00DE5355" w:rsidP="001A2D86">
            <w:pPr>
              <w:jc w:val="center"/>
            </w:pPr>
            <w:r>
              <w:t>OR</w:t>
            </w:r>
          </w:p>
        </w:tc>
        <w:tc>
          <w:tcPr>
            <w:tcW w:w="6152" w:type="dxa"/>
          </w:tcPr>
          <w:p w14:paraId="0DE533D9" w14:textId="2647734A" w:rsidR="001A2D86" w:rsidRDefault="00DE5355" w:rsidP="001A2D86">
            <w:pPr>
              <w:rPr>
                <w:rFonts w:eastAsiaTheme="minorHAnsi" w:cstheme="minorBidi"/>
                <w:kern w:val="0"/>
              </w:rPr>
            </w:pPr>
            <w:r>
              <w:t>Това е отговорност на Собственика/Лицензианта.</w:t>
            </w:r>
          </w:p>
        </w:tc>
      </w:tr>
      <w:tr w:rsidR="001A2D86" w14:paraId="74EEFD15" w14:textId="77777777" w:rsidTr="00B723E1">
        <w:tc>
          <w:tcPr>
            <w:tcW w:w="797" w:type="dxa"/>
          </w:tcPr>
          <w:p w14:paraId="13039311" w14:textId="6D912782" w:rsidR="001A2D86" w:rsidRDefault="001A2D86" w:rsidP="001A2D86">
            <w:r>
              <w:t>3.45.</w:t>
            </w:r>
          </w:p>
        </w:tc>
        <w:tc>
          <w:tcPr>
            <w:tcW w:w="5260" w:type="dxa"/>
          </w:tcPr>
          <w:p w14:paraId="0B2DB57E" w14:textId="43F64C84" w:rsidR="001A2D86" w:rsidRDefault="001A2D86" w:rsidP="001A2D86">
            <w:r>
              <w:t xml:space="preserve">Регистрираните лица и лицензиантите гарантират, че информацията както за нормалната експлоатация, така и за </w:t>
            </w:r>
            <w:r w:rsidR="002A3CDF">
              <w:t>нарушените нормални</w:t>
            </w:r>
            <w:r>
              <w:t xml:space="preserve"> </w:t>
            </w:r>
            <w:r>
              <w:lastRenderedPageBreak/>
              <w:t>условия, които са от значение за защитата и безопасността, се разпространява или предоставя, според случая, на регулаторния орган и на съответните страни, както е определено от регулаторния орган. Тази информация ще включва, например, подробности за дозите, свързани с дадени дейности, данни за поддръжката, описания на събития и информация за коригиращи действия, както и информация за експлоатационния опит от други съответни съоръжения и дейности.</w:t>
            </w:r>
          </w:p>
        </w:tc>
        <w:tc>
          <w:tcPr>
            <w:tcW w:w="1286" w:type="dxa"/>
          </w:tcPr>
          <w:p w14:paraId="73984CBB" w14:textId="22D87A5D" w:rsidR="001A2D86" w:rsidRDefault="00DE5355" w:rsidP="001A2D86">
            <w:pPr>
              <w:jc w:val="center"/>
            </w:pPr>
            <w:r>
              <w:lastRenderedPageBreak/>
              <w:t>OR</w:t>
            </w:r>
          </w:p>
        </w:tc>
        <w:tc>
          <w:tcPr>
            <w:tcW w:w="6152" w:type="dxa"/>
          </w:tcPr>
          <w:p w14:paraId="34C49759" w14:textId="1B3EA899" w:rsidR="005E476C" w:rsidRPr="005E476C" w:rsidRDefault="00DE5355" w:rsidP="001A2D86">
            <w:pPr>
              <w:rPr>
                <w:rFonts w:eastAsiaTheme="minorHAnsi" w:cstheme="minorBidi"/>
                <w:kern w:val="0"/>
              </w:rPr>
            </w:pPr>
            <w:r>
              <w:t>Това е отговорност на Собственика/Лицензианта.</w:t>
            </w:r>
          </w:p>
        </w:tc>
      </w:tr>
      <w:tr w:rsidR="001A2D86" w14:paraId="376E1253" w14:textId="77777777" w:rsidTr="00C469CC">
        <w:tc>
          <w:tcPr>
            <w:tcW w:w="797" w:type="dxa"/>
          </w:tcPr>
          <w:p w14:paraId="581F713E" w14:textId="69333BFC" w:rsidR="001A2D86" w:rsidRDefault="001A2D86" w:rsidP="001A2D86">
            <w:r>
              <w:t>3.46.</w:t>
            </w:r>
          </w:p>
        </w:tc>
        <w:tc>
          <w:tcPr>
            <w:tcW w:w="5260" w:type="dxa"/>
          </w:tcPr>
          <w:p w14:paraId="49483449" w14:textId="385E500B" w:rsidR="001A2D86" w:rsidRDefault="001A2D86" w:rsidP="001A2D86">
            <w:r>
              <w:t xml:space="preserve">Регистрираните лица и лицензиантите провеждат разследване, както е определено от регулаторния орган, в случай че: </w:t>
            </w:r>
            <w:r>
              <w:br/>
              <w:t xml:space="preserve">(а) величина или експлоатационен параметър, свързан със защитата и безопасността, превишава нивото за разследване или е извън предвидения диапазон на експлоатационните условия; или </w:t>
            </w:r>
            <w:r>
              <w:br/>
              <w:t>(б) възниква отказ на оборудване, авария, грешка, неизправност или друго необичайно събитие или състояние, което има потенциал да доведе до превишаване на една величина над съответната граница или експлоатационно ограничение.</w:t>
            </w:r>
          </w:p>
        </w:tc>
        <w:tc>
          <w:tcPr>
            <w:tcW w:w="1286" w:type="dxa"/>
          </w:tcPr>
          <w:p w14:paraId="720AA969" w14:textId="71C08198" w:rsidR="001A2D86" w:rsidRDefault="00DE5355" w:rsidP="001A2D86">
            <w:pPr>
              <w:jc w:val="center"/>
            </w:pPr>
            <w:r>
              <w:t>OR</w:t>
            </w:r>
          </w:p>
        </w:tc>
        <w:tc>
          <w:tcPr>
            <w:tcW w:w="6152" w:type="dxa"/>
          </w:tcPr>
          <w:p w14:paraId="1E1219A2" w14:textId="4087C5F5" w:rsidR="001A2D86" w:rsidRDefault="00DE5355" w:rsidP="001A2D86">
            <w:r>
              <w:t>Това е отговорност на Собственика/Лицензианта.</w:t>
            </w:r>
          </w:p>
        </w:tc>
      </w:tr>
      <w:tr w:rsidR="001A2D86" w14:paraId="10944A1B" w14:textId="77777777" w:rsidTr="00C469CC">
        <w:tc>
          <w:tcPr>
            <w:tcW w:w="797" w:type="dxa"/>
          </w:tcPr>
          <w:p w14:paraId="14C1D604" w14:textId="31B2C5E1" w:rsidR="001A2D86" w:rsidRDefault="001A2D86" w:rsidP="001A2D86">
            <w:r>
              <w:t>3.47.</w:t>
            </w:r>
          </w:p>
        </w:tc>
        <w:tc>
          <w:tcPr>
            <w:tcW w:w="5260" w:type="dxa"/>
          </w:tcPr>
          <w:p w14:paraId="6B3C2573" w14:textId="30EC388C" w:rsidR="001A2D86" w:rsidRDefault="001A2D86" w:rsidP="001A2D86">
            <w:r>
              <w:t xml:space="preserve">Регистрираното лице или лицензиантът провежда разследване във възможно най-кратък срок след събитието и изготвя писмен отчет за фактическите или предполагаемите причини за неговото възникване, включително проверка или определяне на всички получени или очаквани дози и препоръки </w:t>
            </w:r>
            <w:r>
              <w:lastRenderedPageBreak/>
              <w:t>за предотвратяване на повторното възникване на това и подобни събития.</w:t>
            </w:r>
          </w:p>
        </w:tc>
        <w:tc>
          <w:tcPr>
            <w:tcW w:w="1286" w:type="dxa"/>
          </w:tcPr>
          <w:p w14:paraId="7D75B059" w14:textId="2C2350CD" w:rsidR="001A2D86" w:rsidRDefault="00DE5355" w:rsidP="001A2D86">
            <w:pPr>
              <w:jc w:val="center"/>
            </w:pPr>
            <w:r>
              <w:lastRenderedPageBreak/>
              <w:t>OR</w:t>
            </w:r>
          </w:p>
        </w:tc>
        <w:tc>
          <w:tcPr>
            <w:tcW w:w="6152" w:type="dxa"/>
          </w:tcPr>
          <w:p w14:paraId="26FB450A" w14:textId="37126A3D" w:rsidR="001A2D86" w:rsidRDefault="00DE5355" w:rsidP="001A2D86">
            <w:r>
              <w:t>Това е отговорност на Собственика/Лицензианта.</w:t>
            </w:r>
          </w:p>
        </w:tc>
      </w:tr>
      <w:tr w:rsidR="001A2D86" w14:paraId="3E9AFE31" w14:textId="77777777" w:rsidTr="00B723E1">
        <w:tc>
          <w:tcPr>
            <w:tcW w:w="797" w:type="dxa"/>
          </w:tcPr>
          <w:p w14:paraId="01DE086E" w14:textId="6B11F48D" w:rsidR="001A2D86" w:rsidRDefault="001A2D86" w:rsidP="001A2D86">
            <w:r>
              <w:t>3.48.</w:t>
            </w:r>
          </w:p>
        </w:tc>
        <w:tc>
          <w:tcPr>
            <w:tcW w:w="5260" w:type="dxa"/>
          </w:tcPr>
          <w:p w14:paraId="3DF62526" w14:textId="32EB179F" w:rsidR="001A2D86" w:rsidRPr="00B05556" w:rsidRDefault="001A2D86" w:rsidP="001A2D86">
            <w:pPr>
              <w:rPr>
                <w:b/>
                <w:bCs/>
              </w:rPr>
            </w:pPr>
            <w:r>
              <w:t xml:space="preserve">Регистрираното лице или лицензиантът предава на регулаторния орган и на всички други съответни страни, според случая, писмен отчет за всяко официално разследване, свързано със събития, както е предписано от регулаторния орган, включително облъчвания, водещи до дози, превишаващи </w:t>
            </w:r>
            <w:r w:rsidR="002A3CDF">
              <w:t>граничната</w:t>
            </w:r>
            <w:r>
              <w:t xml:space="preserve"> доза. Регистрираното лице или лицензиантът също така незабавно съобщава на регулаторния орган за всяко събитие, при което е превишена </w:t>
            </w:r>
            <w:r w:rsidR="002A3CDF">
              <w:t>граничната</w:t>
            </w:r>
            <w:r>
              <w:t xml:space="preserve"> доза.</w:t>
            </w:r>
          </w:p>
        </w:tc>
        <w:tc>
          <w:tcPr>
            <w:tcW w:w="1286" w:type="dxa"/>
          </w:tcPr>
          <w:p w14:paraId="26FBFDB2" w14:textId="570C960E" w:rsidR="001A2D86" w:rsidRDefault="00DE5355" w:rsidP="001A2D86">
            <w:pPr>
              <w:jc w:val="center"/>
            </w:pPr>
            <w:r>
              <w:t>OR</w:t>
            </w:r>
          </w:p>
        </w:tc>
        <w:tc>
          <w:tcPr>
            <w:tcW w:w="6152" w:type="dxa"/>
          </w:tcPr>
          <w:p w14:paraId="2C406CCF" w14:textId="225E2733" w:rsidR="001A2D86" w:rsidRDefault="00DE5355" w:rsidP="001A2D86">
            <w:r>
              <w:t>Това е отговорност на Собственика/Лицензианта.</w:t>
            </w:r>
          </w:p>
        </w:tc>
      </w:tr>
    </w:tbl>
    <w:p w14:paraId="41151B68" w14:textId="7FF5ECCC" w:rsidR="00B05556" w:rsidRPr="00A936C2" w:rsidRDefault="00B05556" w:rsidP="00190D0E">
      <w:pPr>
        <w:pStyle w:val="Heading3"/>
        <w:spacing w:before="240"/>
      </w:pPr>
      <w:bookmarkStart w:id="47" w:name="_Toc155347794"/>
      <w:r>
        <w:t xml:space="preserve">Изискване 17: Генератори на </w:t>
      </w:r>
      <w:r w:rsidR="00C03E6B">
        <w:t>йонизиращи лъчения</w:t>
      </w:r>
      <w:r>
        <w:t xml:space="preserve"> и радиоактивни източници</w:t>
      </w:r>
      <w:bookmarkEnd w:id="47"/>
    </w:p>
    <w:tbl>
      <w:tblPr>
        <w:tblStyle w:val="TableGrid"/>
        <w:tblW w:w="13495" w:type="dxa"/>
        <w:tblLayout w:type="fixed"/>
        <w:tblLook w:val="04A0" w:firstRow="1" w:lastRow="0" w:firstColumn="1" w:lastColumn="0" w:noHBand="0" w:noVBand="1"/>
      </w:tblPr>
      <w:tblGrid>
        <w:gridCol w:w="797"/>
        <w:gridCol w:w="5152"/>
        <w:gridCol w:w="1559"/>
        <w:gridCol w:w="5987"/>
      </w:tblGrid>
      <w:tr w:rsidR="00B05556" w:rsidRPr="00F172DF" w14:paraId="7A141562" w14:textId="77777777" w:rsidTr="00716CE0">
        <w:trPr>
          <w:tblHeader/>
        </w:trPr>
        <w:tc>
          <w:tcPr>
            <w:tcW w:w="797" w:type="dxa"/>
          </w:tcPr>
          <w:p w14:paraId="61C9474F" w14:textId="77777777" w:rsidR="00B05556" w:rsidRPr="00F172DF" w:rsidRDefault="00B05556" w:rsidP="00B723E1">
            <w:pPr>
              <w:rPr>
                <w:b/>
                <w:bCs/>
              </w:rPr>
            </w:pPr>
          </w:p>
        </w:tc>
        <w:tc>
          <w:tcPr>
            <w:tcW w:w="5152" w:type="dxa"/>
          </w:tcPr>
          <w:p w14:paraId="01C19C70" w14:textId="77777777" w:rsidR="00B05556" w:rsidRPr="00F172DF" w:rsidRDefault="00B05556" w:rsidP="00B723E1">
            <w:pPr>
              <w:rPr>
                <w:b/>
                <w:bCs/>
              </w:rPr>
            </w:pPr>
            <w:r>
              <w:rPr>
                <w:b/>
              </w:rPr>
              <w:t>Описание</w:t>
            </w:r>
          </w:p>
        </w:tc>
        <w:tc>
          <w:tcPr>
            <w:tcW w:w="1559" w:type="dxa"/>
          </w:tcPr>
          <w:p w14:paraId="7B9B1607" w14:textId="77777777" w:rsidR="00B05556" w:rsidRPr="00F172DF" w:rsidRDefault="00B05556" w:rsidP="00B723E1">
            <w:pPr>
              <w:rPr>
                <w:b/>
                <w:bCs/>
              </w:rPr>
            </w:pPr>
            <w:r>
              <w:rPr>
                <w:b/>
              </w:rPr>
              <w:t>Съответствие</w:t>
            </w:r>
          </w:p>
        </w:tc>
        <w:tc>
          <w:tcPr>
            <w:tcW w:w="5987" w:type="dxa"/>
          </w:tcPr>
          <w:p w14:paraId="07A9043C" w14:textId="77777777" w:rsidR="00B05556" w:rsidRPr="00F172DF" w:rsidRDefault="00B05556" w:rsidP="00B723E1">
            <w:pPr>
              <w:rPr>
                <w:b/>
                <w:bCs/>
              </w:rPr>
            </w:pPr>
            <w:r>
              <w:rPr>
                <w:b/>
              </w:rPr>
              <w:t>Обосновка</w:t>
            </w:r>
          </w:p>
        </w:tc>
      </w:tr>
      <w:tr w:rsidR="008A24BA" w14:paraId="5859F05B" w14:textId="77777777" w:rsidTr="00716CE0">
        <w:tc>
          <w:tcPr>
            <w:tcW w:w="797" w:type="dxa"/>
          </w:tcPr>
          <w:p w14:paraId="69D44F85" w14:textId="77777777" w:rsidR="008A24BA" w:rsidRDefault="008A24BA" w:rsidP="008A24BA"/>
        </w:tc>
        <w:tc>
          <w:tcPr>
            <w:tcW w:w="5152" w:type="dxa"/>
          </w:tcPr>
          <w:p w14:paraId="10FB7FF4" w14:textId="69675D59" w:rsidR="008A24BA" w:rsidRPr="00A936C2" w:rsidRDefault="008A24BA" w:rsidP="008A24BA">
            <w:r>
              <w:rPr>
                <w:b/>
              </w:rPr>
              <w:t xml:space="preserve">Регистрираните лица и лицензиантите осигуряват безопасността на генераторите на </w:t>
            </w:r>
            <w:r w:rsidR="00C03E6B">
              <w:rPr>
                <w:b/>
              </w:rPr>
              <w:t>йонизиращи лъчения</w:t>
            </w:r>
            <w:r>
              <w:rPr>
                <w:b/>
              </w:rPr>
              <w:t xml:space="preserve"> и радиоактивните източници.</w:t>
            </w:r>
          </w:p>
        </w:tc>
        <w:tc>
          <w:tcPr>
            <w:tcW w:w="1559" w:type="dxa"/>
          </w:tcPr>
          <w:p w14:paraId="1B6876EE" w14:textId="3DDFED31" w:rsidR="008A24BA" w:rsidRDefault="00DE0158" w:rsidP="008A24BA">
            <w:pPr>
              <w:jc w:val="center"/>
            </w:pPr>
            <w:r>
              <w:t>NAP</w:t>
            </w:r>
          </w:p>
        </w:tc>
        <w:tc>
          <w:tcPr>
            <w:tcW w:w="5987" w:type="dxa"/>
          </w:tcPr>
          <w:p w14:paraId="11A74049" w14:textId="4D86691B" w:rsidR="00E173EB" w:rsidRPr="007E4300" w:rsidRDefault="00DE0158" w:rsidP="008A24BA">
            <w:pPr>
              <w:rPr>
                <w:rFonts w:eastAsiaTheme="minorHAnsi" w:cstheme="minorBidi"/>
                <w:kern w:val="0"/>
              </w:rPr>
            </w:pPr>
            <w:r>
              <w:t>Това изискване не е приложимо към технологията.</w:t>
            </w:r>
          </w:p>
        </w:tc>
      </w:tr>
      <w:tr w:rsidR="008A24BA" w14:paraId="5C89FFA1" w14:textId="77777777" w:rsidTr="00716CE0">
        <w:tc>
          <w:tcPr>
            <w:tcW w:w="797" w:type="dxa"/>
          </w:tcPr>
          <w:p w14:paraId="3B35FACC" w14:textId="4682039A" w:rsidR="008A24BA" w:rsidRDefault="008A24BA" w:rsidP="008A24BA">
            <w:r>
              <w:t>3.49.</w:t>
            </w:r>
          </w:p>
        </w:tc>
        <w:tc>
          <w:tcPr>
            <w:tcW w:w="5152" w:type="dxa"/>
          </w:tcPr>
          <w:p w14:paraId="7E9DF506" w14:textId="2E00506B" w:rsidR="00831B76" w:rsidRPr="00A936C2" w:rsidRDefault="008A24BA" w:rsidP="00831B76">
            <w:pPr>
              <w:spacing w:after="0"/>
            </w:pPr>
            <w:r>
              <w:t xml:space="preserve">Регистрираните лица и лицензиантите, които са производители или други доставчици на генератори на </w:t>
            </w:r>
            <w:r w:rsidR="00C03E6B">
              <w:t>йонизиращи лъчения</w:t>
            </w:r>
            <w:r>
              <w:t xml:space="preserve"> и радиоактивни източници, в съответните случаи носят отговорност за: </w:t>
            </w:r>
            <w:r>
              <w:br/>
              <w:t xml:space="preserve">(а) доставка на добре проектиран, добре произведен и добре конструиран генератор на </w:t>
            </w:r>
            <w:r w:rsidR="00C03E6B">
              <w:t>йонизиращи лъчения</w:t>
            </w:r>
            <w:r>
              <w:t xml:space="preserve"> или радиоактивен източник и </w:t>
            </w:r>
            <w:r>
              <w:lastRenderedPageBreak/>
              <w:t xml:space="preserve">устройство, в което се използва генераторът на </w:t>
            </w:r>
            <w:r w:rsidR="00C03E6B">
              <w:t>йонизиращи лъчения</w:t>
            </w:r>
            <w:r>
              <w:t xml:space="preserve"> или радиоактивният източник и което:</w:t>
            </w:r>
          </w:p>
          <w:p w14:paraId="2B6C203A" w14:textId="5D19E885" w:rsidR="00831B76" w:rsidRPr="00A936C2" w:rsidRDefault="008A24BA" w:rsidP="00831B76">
            <w:pPr>
              <w:spacing w:after="0"/>
              <w:ind w:left="616"/>
            </w:pPr>
            <w:r>
              <w:t xml:space="preserve">(i) осигурява защита и безопасност в съответствие с изискванията на настоящите стандарти; </w:t>
            </w:r>
            <w:r>
              <w:br/>
              <w:t xml:space="preserve">(ii) отговаря на техническите, експлоатационните и функционалните спецификации; </w:t>
            </w:r>
            <w:r>
              <w:br/>
              <w:t xml:space="preserve">(iii) отговаря на стандарти за качество, съответстващи на значимостта от гледна точка на защитата и безопасността на системите и компонентите, включително софтуера; </w:t>
            </w:r>
            <w:r>
              <w:br/>
              <w:t xml:space="preserve">(iv) осигурява ясни дисплеи, измервателни </w:t>
            </w:r>
            <w:r w:rsidR="00C03E6B">
              <w:t>прибори</w:t>
            </w:r>
            <w:r>
              <w:t xml:space="preserve"> и инструкции на пултовете за управление на подходящ език, разбираем за ползвателите;</w:t>
            </w:r>
          </w:p>
          <w:p w14:paraId="20E34046" w14:textId="25C63AA5" w:rsidR="008A24BA" w:rsidRPr="00E767BE" w:rsidRDefault="008A24BA" w:rsidP="008A24BA">
            <w:pPr>
              <w:rPr>
                <w:highlight w:val="red"/>
              </w:rPr>
            </w:pPr>
            <w:r>
              <w:t xml:space="preserve">(б) гарантиране, че генераторите на </w:t>
            </w:r>
            <w:r w:rsidR="00C03E6B">
              <w:t>йонизиращи лъчения</w:t>
            </w:r>
            <w:r>
              <w:t xml:space="preserve"> и радиоактивните източници се изпитват, за да се демонстрира спазването на съответните спецификации; </w:t>
            </w:r>
            <w:r>
              <w:br/>
              <w:t xml:space="preserve">(в) предоставяне на информация на подходящ език, разбираем за ползвателите, относно правилния монтаж и използване на генератора на </w:t>
            </w:r>
            <w:r w:rsidR="00C03E6B">
              <w:t>йонизиращи лъчения</w:t>
            </w:r>
            <w:r>
              <w:t xml:space="preserve"> или радиоактивния източник и свързаните с тях радиационни рискове, включително експлоатационни спецификации, инструкции за експлоатация и поддръжка, както и инструкции за защита и безопасност; </w:t>
            </w:r>
            <w:r>
              <w:br/>
            </w:r>
            <w:r>
              <w:lastRenderedPageBreak/>
              <w:t>(г) осигуряване на оптимизация на защитата чрез екраниране и други защитни устройства.</w:t>
            </w:r>
          </w:p>
        </w:tc>
        <w:tc>
          <w:tcPr>
            <w:tcW w:w="1559" w:type="dxa"/>
          </w:tcPr>
          <w:p w14:paraId="492580F1" w14:textId="21BADD30" w:rsidR="008A24BA" w:rsidRDefault="00747030" w:rsidP="008A24BA">
            <w:pPr>
              <w:jc w:val="center"/>
            </w:pPr>
            <w:r>
              <w:lastRenderedPageBreak/>
              <w:t>NAP</w:t>
            </w:r>
          </w:p>
        </w:tc>
        <w:tc>
          <w:tcPr>
            <w:tcW w:w="5987" w:type="dxa"/>
          </w:tcPr>
          <w:p w14:paraId="3ED06A47" w14:textId="3CEDD922" w:rsidR="008A24BA" w:rsidRDefault="00425360" w:rsidP="008A24BA">
            <w:r>
              <w:t>Това изискване не е приложимо към технологията.</w:t>
            </w:r>
          </w:p>
        </w:tc>
      </w:tr>
      <w:tr w:rsidR="00A936C2" w14:paraId="42F495FB" w14:textId="77777777" w:rsidTr="00716CE0">
        <w:tc>
          <w:tcPr>
            <w:tcW w:w="797" w:type="dxa"/>
          </w:tcPr>
          <w:p w14:paraId="3520BB86" w14:textId="000E3F62" w:rsidR="00A936C2" w:rsidRDefault="00A936C2" w:rsidP="00A936C2">
            <w:r>
              <w:lastRenderedPageBreak/>
              <w:t>3.50.</w:t>
            </w:r>
          </w:p>
        </w:tc>
        <w:tc>
          <w:tcPr>
            <w:tcW w:w="5152" w:type="dxa"/>
          </w:tcPr>
          <w:p w14:paraId="43C6DD12" w14:textId="4F78451A" w:rsidR="00A936C2" w:rsidRDefault="00A936C2" w:rsidP="00A936C2">
            <w:r>
              <w:t xml:space="preserve">Когато е приложимо, регистрираните лица и лицензиантите сключват подходящи споразумения с доставчици на генератори на </w:t>
            </w:r>
            <w:r w:rsidR="00C03E6B">
              <w:t>йонизиращи лъчения</w:t>
            </w:r>
            <w:r>
              <w:t xml:space="preserve"> и радиоактивни източници, регулаторния орган и съответните страни за целите на: </w:t>
            </w:r>
            <w:r>
              <w:br/>
              <w:t xml:space="preserve">(а) получаване на информация за условията на използване и експлоатационния опит, които могат да бъдат важни за защитата и безопасността; </w:t>
            </w:r>
            <w:r>
              <w:br/>
              <w:t xml:space="preserve">(б) предоставяне на обратна връзка и информация, която може да има значение за защитата и безопасността за други ползватели или която може да има значение от гледна точка на възможността за подобряване на защитата и безопасността за генераторите на </w:t>
            </w:r>
            <w:r w:rsidR="00C03E6B">
              <w:t>йонизиращи лъчения</w:t>
            </w:r>
            <w:r>
              <w:t xml:space="preserve"> и радиоактивните източници.</w:t>
            </w:r>
          </w:p>
        </w:tc>
        <w:tc>
          <w:tcPr>
            <w:tcW w:w="1559" w:type="dxa"/>
          </w:tcPr>
          <w:p w14:paraId="3F1BC9C4" w14:textId="7F41D496" w:rsidR="00A936C2" w:rsidRDefault="00A936C2" w:rsidP="00A936C2">
            <w:pPr>
              <w:jc w:val="center"/>
            </w:pPr>
            <w:r>
              <w:t>NAP</w:t>
            </w:r>
          </w:p>
        </w:tc>
        <w:tc>
          <w:tcPr>
            <w:tcW w:w="5987" w:type="dxa"/>
          </w:tcPr>
          <w:p w14:paraId="28182FF5" w14:textId="1E97A2D7" w:rsidR="00A936C2" w:rsidRDefault="00A936C2" w:rsidP="00A936C2">
            <w:r>
              <w:t>Това изискване не е приложимо към технологията.</w:t>
            </w:r>
          </w:p>
        </w:tc>
      </w:tr>
      <w:tr w:rsidR="00A936C2" w:rsidRPr="007224EB" w14:paraId="6513EA48" w14:textId="77777777" w:rsidTr="00716CE0">
        <w:tc>
          <w:tcPr>
            <w:tcW w:w="797" w:type="dxa"/>
          </w:tcPr>
          <w:p w14:paraId="3C2A9F11" w14:textId="2B987AD0" w:rsidR="00A936C2" w:rsidRDefault="00A936C2" w:rsidP="00A936C2">
            <w:r>
              <w:t>3.51.</w:t>
            </w:r>
          </w:p>
        </w:tc>
        <w:tc>
          <w:tcPr>
            <w:tcW w:w="5152" w:type="dxa"/>
          </w:tcPr>
          <w:p w14:paraId="4A2523B2" w14:textId="1FA362CC" w:rsidR="00A936C2" w:rsidRDefault="00A936C2" w:rsidP="00A936C2">
            <w:r>
              <w:t xml:space="preserve">При избора на място за използване или съхранение на генератор на </w:t>
            </w:r>
            <w:r w:rsidR="00C03E6B">
              <w:t>йонизиращи лъчения</w:t>
            </w:r>
            <w:r>
              <w:t xml:space="preserve"> или радиоактивен източник регистрираните лица и лицензиантите вземат предвид: </w:t>
            </w:r>
            <w:r>
              <w:br/>
              <w:t xml:space="preserve">(а) фактори, които биха могли да повлияят на безопасното управление и контрол на генератора на </w:t>
            </w:r>
            <w:r w:rsidR="00C03E6B">
              <w:t>йонизиращи лъчения</w:t>
            </w:r>
            <w:r>
              <w:t xml:space="preserve"> или радиоактивния източник; </w:t>
            </w:r>
            <w:r>
              <w:br/>
              <w:t xml:space="preserve">(б) фактори, които биха могли да повлияят на професионалното облъчване и облъчването на населението, дължащо се на генератора на </w:t>
            </w:r>
            <w:r w:rsidR="002943FC">
              <w:t>йонизиращи лъчения</w:t>
            </w:r>
            <w:r>
              <w:t xml:space="preserve"> или радиоактивния източник; </w:t>
            </w:r>
            <w:r>
              <w:br/>
            </w:r>
            <w:r>
              <w:lastRenderedPageBreak/>
              <w:t>(в) възможността за отчитане на горепосочените фактори при инженерното проектиране.</w:t>
            </w:r>
          </w:p>
        </w:tc>
        <w:tc>
          <w:tcPr>
            <w:tcW w:w="1559" w:type="dxa"/>
          </w:tcPr>
          <w:p w14:paraId="0DD7394F" w14:textId="272468E2" w:rsidR="00A936C2" w:rsidRDefault="00A936C2" w:rsidP="00A936C2">
            <w:pPr>
              <w:jc w:val="center"/>
            </w:pPr>
            <w:r>
              <w:lastRenderedPageBreak/>
              <w:t>NAP</w:t>
            </w:r>
          </w:p>
        </w:tc>
        <w:tc>
          <w:tcPr>
            <w:tcW w:w="5987" w:type="dxa"/>
          </w:tcPr>
          <w:p w14:paraId="14BE56C8" w14:textId="1D735F94" w:rsidR="00A936C2" w:rsidRPr="007224EB" w:rsidRDefault="00A936C2" w:rsidP="00A936C2">
            <w:pPr>
              <w:rPr>
                <w:rFonts w:eastAsiaTheme="minorHAnsi" w:cstheme="minorBidi"/>
                <w:kern w:val="0"/>
              </w:rPr>
            </w:pPr>
            <w:r>
              <w:t>Това изискване не е приложимо към технологията.</w:t>
            </w:r>
          </w:p>
        </w:tc>
      </w:tr>
      <w:tr w:rsidR="00A936C2" w14:paraId="66A5345E" w14:textId="77777777" w:rsidTr="00716CE0">
        <w:tc>
          <w:tcPr>
            <w:tcW w:w="797" w:type="dxa"/>
          </w:tcPr>
          <w:p w14:paraId="480FABC4" w14:textId="2B0029BE" w:rsidR="00A936C2" w:rsidRDefault="00A936C2" w:rsidP="00A936C2">
            <w:r>
              <w:t>3.52.</w:t>
            </w:r>
          </w:p>
        </w:tc>
        <w:tc>
          <w:tcPr>
            <w:tcW w:w="5152" w:type="dxa"/>
          </w:tcPr>
          <w:p w14:paraId="1C3D4F5A" w14:textId="2E297C4F" w:rsidR="00A936C2" w:rsidRPr="00B05556" w:rsidRDefault="00A936C2" w:rsidP="00A936C2">
            <w:pPr>
              <w:rPr>
                <w:b/>
                <w:bCs/>
              </w:rPr>
            </w:pPr>
            <w:r>
              <w:t>При избора на площадка за съоръжение, което ще съдържа голямо количество радиоактивен материал и което има потенциал за изхвърляне на значителни количества радиоактивен материал, регистрираните лица и лицензиантите трябва да вземат предвид параметрите, които могат да повлияят на защитата и безопасността, параметрите, които могат да повлияят на целостта или функционирането на съоръжението, както и възможността за извършване на защитни действия извън площадката, ако те станат необходими.</w:t>
            </w:r>
          </w:p>
        </w:tc>
        <w:tc>
          <w:tcPr>
            <w:tcW w:w="1559" w:type="dxa"/>
          </w:tcPr>
          <w:p w14:paraId="7719FEAB" w14:textId="568D185C" w:rsidR="00A936C2" w:rsidRDefault="00A936C2" w:rsidP="00A936C2">
            <w:pPr>
              <w:jc w:val="center"/>
            </w:pPr>
            <w:r>
              <w:t>NAP</w:t>
            </w:r>
          </w:p>
        </w:tc>
        <w:tc>
          <w:tcPr>
            <w:tcW w:w="5987" w:type="dxa"/>
          </w:tcPr>
          <w:p w14:paraId="3B4BD132" w14:textId="0F80A4F7" w:rsidR="00A936C2" w:rsidRDefault="00A936C2" w:rsidP="00A936C2">
            <w:r>
              <w:t>Това изискване не е приложимо към технологията.</w:t>
            </w:r>
          </w:p>
        </w:tc>
      </w:tr>
      <w:tr w:rsidR="00A936C2" w14:paraId="2635719F" w14:textId="77777777" w:rsidTr="00716CE0">
        <w:tc>
          <w:tcPr>
            <w:tcW w:w="797" w:type="dxa"/>
          </w:tcPr>
          <w:p w14:paraId="1910DFDC" w14:textId="39CD7293" w:rsidR="00A936C2" w:rsidRDefault="00A936C2" w:rsidP="00A936C2">
            <w:r>
              <w:t>3.53.</w:t>
            </w:r>
          </w:p>
        </w:tc>
        <w:tc>
          <w:tcPr>
            <w:tcW w:w="5152" w:type="dxa"/>
          </w:tcPr>
          <w:p w14:paraId="3768BF68" w14:textId="5A11E461" w:rsidR="00A936C2" w:rsidRDefault="00A936C2" w:rsidP="00035179">
            <w:pPr>
              <w:spacing w:after="0"/>
            </w:pPr>
            <w:r>
              <w:t xml:space="preserve">Регистрираните лица и лицензиантите поддържат инвентарен опис, който включва записи за: </w:t>
            </w:r>
            <w:r>
              <w:br/>
              <w:t xml:space="preserve">(а) местоположението и описанието на всеки генератор на </w:t>
            </w:r>
            <w:r w:rsidR="00C070AC">
              <w:t>йонизиращи лъчения</w:t>
            </w:r>
            <w:r>
              <w:t xml:space="preserve"> или радиоактивен източник, за който отговарят; </w:t>
            </w:r>
            <w:r>
              <w:br/>
              <w:t>(б) активността и формата на всеки радиоактивен източник, за който отговарят.</w:t>
            </w:r>
          </w:p>
        </w:tc>
        <w:tc>
          <w:tcPr>
            <w:tcW w:w="1559" w:type="dxa"/>
          </w:tcPr>
          <w:p w14:paraId="4883D35F" w14:textId="52C0CE4A" w:rsidR="00A936C2" w:rsidRDefault="00A936C2" w:rsidP="00A936C2">
            <w:pPr>
              <w:jc w:val="center"/>
            </w:pPr>
            <w:r>
              <w:t>NAP</w:t>
            </w:r>
          </w:p>
        </w:tc>
        <w:tc>
          <w:tcPr>
            <w:tcW w:w="5987" w:type="dxa"/>
          </w:tcPr>
          <w:p w14:paraId="0450AE25" w14:textId="1ACFFA84" w:rsidR="00A936C2" w:rsidRPr="008B4B78" w:rsidRDefault="00A936C2" w:rsidP="00A936C2">
            <w:pPr>
              <w:rPr>
                <w:rFonts w:eastAsiaTheme="minorHAnsi" w:cstheme="minorBidi"/>
                <w:kern w:val="0"/>
              </w:rPr>
            </w:pPr>
            <w:r>
              <w:t>Това изискване не е приложимо към технологията.</w:t>
            </w:r>
          </w:p>
        </w:tc>
      </w:tr>
      <w:tr w:rsidR="00A936C2" w14:paraId="15A14711" w14:textId="77777777" w:rsidTr="00716CE0">
        <w:tc>
          <w:tcPr>
            <w:tcW w:w="797" w:type="dxa"/>
          </w:tcPr>
          <w:p w14:paraId="2B715BE5" w14:textId="3F3145A6" w:rsidR="00A936C2" w:rsidRDefault="00A936C2" w:rsidP="00A936C2">
            <w:r>
              <w:t>3.54.</w:t>
            </w:r>
          </w:p>
        </w:tc>
        <w:tc>
          <w:tcPr>
            <w:tcW w:w="5152" w:type="dxa"/>
          </w:tcPr>
          <w:p w14:paraId="36DF378F" w14:textId="7B7346E2" w:rsidR="00A936C2" w:rsidRDefault="00A936C2" w:rsidP="00A936C2">
            <w:r>
              <w:t xml:space="preserve">Регистрираните лица и лицензиантите предоставят на регулаторния орган при поискване съответната информация от своите инвентарни записи за генераторите на </w:t>
            </w:r>
            <w:r w:rsidR="00C070AC">
              <w:t>йонизиращи лъчения</w:t>
            </w:r>
            <w:r>
              <w:t xml:space="preserve"> и радиоактивните източници.</w:t>
            </w:r>
          </w:p>
        </w:tc>
        <w:tc>
          <w:tcPr>
            <w:tcW w:w="1559" w:type="dxa"/>
          </w:tcPr>
          <w:p w14:paraId="2C633AD9" w14:textId="7D095CAF" w:rsidR="00A936C2" w:rsidRDefault="00A936C2" w:rsidP="00A936C2">
            <w:pPr>
              <w:jc w:val="center"/>
            </w:pPr>
            <w:r>
              <w:t>NAP</w:t>
            </w:r>
          </w:p>
        </w:tc>
        <w:tc>
          <w:tcPr>
            <w:tcW w:w="5987" w:type="dxa"/>
          </w:tcPr>
          <w:p w14:paraId="75D55EC3" w14:textId="1FE14717" w:rsidR="00A936C2" w:rsidRDefault="00A936C2" w:rsidP="00A936C2">
            <w:r>
              <w:t>Това изискване не е приложимо към технологията.</w:t>
            </w:r>
          </w:p>
        </w:tc>
      </w:tr>
      <w:tr w:rsidR="00A936C2" w14:paraId="24B17296" w14:textId="77777777" w:rsidTr="00716CE0">
        <w:tc>
          <w:tcPr>
            <w:tcW w:w="797" w:type="dxa"/>
          </w:tcPr>
          <w:p w14:paraId="50D43B7F" w14:textId="374D9CBD" w:rsidR="00A936C2" w:rsidRDefault="00A936C2" w:rsidP="00A936C2">
            <w:r>
              <w:t>3.55.</w:t>
            </w:r>
          </w:p>
        </w:tc>
        <w:tc>
          <w:tcPr>
            <w:tcW w:w="5152" w:type="dxa"/>
          </w:tcPr>
          <w:p w14:paraId="78FB51CC" w14:textId="76A617FB" w:rsidR="00A936C2" w:rsidRPr="00815E9C" w:rsidRDefault="00A936C2" w:rsidP="00A936C2">
            <w:r>
              <w:t xml:space="preserve">Регистрираните лица и лицензиантите осъществяват контрол над генераторите на </w:t>
            </w:r>
            <w:r w:rsidR="00C070AC">
              <w:t>йонизиращи лъчения</w:t>
            </w:r>
            <w:r>
              <w:t xml:space="preserve"> и радиоактивните източници </w:t>
            </w:r>
            <w:r>
              <w:lastRenderedPageBreak/>
              <w:t xml:space="preserve">с цел предотвратяване на тяхна загуба или повреда, както и предотвратяване на всякакви действия посочени в т. 3.5, от лице, което няма официално разрешение, като гарантират, че: </w:t>
            </w:r>
            <w:r>
              <w:br/>
              <w:t xml:space="preserve">(а) контролът над генератор на </w:t>
            </w:r>
            <w:r w:rsidR="00C070AC">
              <w:t>йонизиращи лъчения</w:t>
            </w:r>
            <w:r>
              <w:t xml:space="preserve"> или радиоактивен източник се прекратява само при спазване на всички съответни изисквания, посочени в регистрацията или лиценза;</w:t>
            </w:r>
            <w:r>
              <w:br/>
              <w:t xml:space="preserve">(б) на регулаторния орган незабавно се предава информация за генератор на </w:t>
            </w:r>
            <w:r w:rsidR="00C070AC">
              <w:t>йонизиращи лъчения</w:t>
            </w:r>
            <w:r>
              <w:t xml:space="preserve"> или радиоактивен източник, който е изгубен, липсва или не е под контрол;</w:t>
            </w:r>
            <w:r>
              <w:br/>
              <w:t xml:space="preserve">(в) генератор на </w:t>
            </w:r>
            <w:r w:rsidR="00C070AC">
              <w:t>йонизиращи лъчения</w:t>
            </w:r>
            <w:r>
              <w:t xml:space="preserve"> или радиоактивен източник се предава, само ако получателят притежава необходимото официално разрешение;</w:t>
            </w:r>
            <w:r>
              <w:br/>
              <w:t xml:space="preserve">(г) периодично се извършва изискваната по т. 3.53 инвентаризация на генераторите на </w:t>
            </w:r>
            <w:r w:rsidR="00C070AC">
              <w:t>йонизиращи лъчения</w:t>
            </w:r>
            <w:r>
              <w:t xml:space="preserve"> или радиоактивните източници за потвърждаване на това, че те са на определените им места и под контрол.</w:t>
            </w:r>
          </w:p>
        </w:tc>
        <w:tc>
          <w:tcPr>
            <w:tcW w:w="1559" w:type="dxa"/>
          </w:tcPr>
          <w:p w14:paraId="5C7DF711" w14:textId="3C2FBB2A" w:rsidR="00A936C2" w:rsidRDefault="00A936C2" w:rsidP="00A936C2">
            <w:pPr>
              <w:jc w:val="center"/>
            </w:pPr>
            <w:r>
              <w:lastRenderedPageBreak/>
              <w:t>NAP</w:t>
            </w:r>
          </w:p>
        </w:tc>
        <w:tc>
          <w:tcPr>
            <w:tcW w:w="5987" w:type="dxa"/>
          </w:tcPr>
          <w:p w14:paraId="677C4008" w14:textId="6BD60A07" w:rsidR="00A936C2" w:rsidRDefault="00A936C2" w:rsidP="00A936C2">
            <w:r>
              <w:t>Това изискване не е приложимо към технологията.</w:t>
            </w:r>
          </w:p>
        </w:tc>
      </w:tr>
      <w:tr w:rsidR="00A936C2" w14:paraId="210D55BC" w14:textId="77777777" w:rsidTr="00716CE0">
        <w:tc>
          <w:tcPr>
            <w:tcW w:w="797" w:type="dxa"/>
          </w:tcPr>
          <w:p w14:paraId="4CBF31B9" w14:textId="2EFFFABD" w:rsidR="00A936C2" w:rsidRDefault="00A936C2" w:rsidP="00A936C2">
            <w:r>
              <w:t>3.56.</w:t>
            </w:r>
          </w:p>
        </w:tc>
        <w:tc>
          <w:tcPr>
            <w:tcW w:w="5152" w:type="dxa"/>
          </w:tcPr>
          <w:p w14:paraId="5DE357E1" w14:textId="276DAC49" w:rsidR="00A936C2" w:rsidRPr="003C0232" w:rsidRDefault="00A936C2" w:rsidP="00035179">
            <w:pPr>
              <w:spacing w:after="0"/>
            </w:pPr>
            <w:r>
              <w:t>Регистрираните лица и лицензиантите гарантират, че закритите източници са категоризирани в съответствие със схемата за категоризация, посочена в Приложение II, и в съответствие с изискванията на регулаторния орган.</w:t>
            </w:r>
          </w:p>
        </w:tc>
        <w:tc>
          <w:tcPr>
            <w:tcW w:w="1559" w:type="dxa"/>
          </w:tcPr>
          <w:p w14:paraId="75AF2C20" w14:textId="4531AC18" w:rsidR="00A936C2" w:rsidRDefault="00A936C2" w:rsidP="00A936C2">
            <w:pPr>
              <w:jc w:val="center"/>
            </w:pPr>
            <w:r>
              <w:t>NAP</w:t>
            </w:r>
          </w:p>
        </w:tc>
        <w:tc>
          <w:tcPr>
            <w:tcW w:w="5987" w:type="dxa"/>
          </w:tcPr>
          <w:p w14:paraId="5C3CBC36" w14:textId="3BF3DF13" w:rsidR="00A936C2" w:rsidRPr="00C439B1" w:rsidRDefault="00A936C2" w:rsidP="00A936C2">
            <w:pPr>
              <w:rPr>
                <w:rFonts w:eastAsiaTheme="minorHAnsi" w:cstheme="minorBidi"/>
                <w:kern w:val="0"/>
              </w:rPr>
            </w:pPr>
            <w:r>
              <w:t>Това изискване не е приложимо към технологията.</w:t>
            </w:r>
          </w:p>
        </w:tc>
      </w:tr>
      <w:tr w:rsidR="008A310F" w14:paraId="55A2EA0A" w14:textId="77777777" w:rsidTr="00716CE0">
        <w:tc>
          <w:tcPr>
            <w:tcW w:w="797" w:type="dxa"/>
          </w:tcPr>
          <w:p w14:paraId="31E966DA" w14:textId="70489FDA" w:rsidR="008A310F" w:rsidRDefault="008A310F" w:rsidP="008A310F">
            <w:r>
              <w:t>3.57.</w:t>
            </w:r>
          </w:p>
        </w:tc>
        <w:tc>
          <w:tcPr>
            <w:tcW w:w="5152" w:type="dxa"/>
          </w:tcPr>
          <w:p w14:paraId="621B89E4" w14:textId="28B5FAC7" w:rsidR="008A310F" w:rsidRPr="00A936C2" w:rsidRDefault="008A310F" w:rsidP="00E038B5">
            <w:r>
              <w:t xml:space="preserve">Производителят на радиоактивен източник или устройство, съдържащо радиоактивен източник, гарантира, че когато това е практически възможно, самият източник и неговият контейнер са </w:t>
            </w:r>
            <w:r>
              <w:lastRenderedPageBreak/>
              <w:t>маркирани със символа, препоръчан от Международната организация по стандартизация [21]</w:t>
            </w:r>
            <w:r>
              <w:rPr>
                <w:vertAlign w:val="superscript"/>
              </w:rPr>
              <w:t>30</w:t>
            </w:r>
            <w:r>
              <w:t>.</w:t>
            </w:r>
          </w:p>
        </w:tc>
        <w:tc>
          <w:tcPr>
            <w:tcW w:w="1559" w:type="dxa"/>
          </w:tcPr>
          <w:p w14:paraId="5585E1B8" w14:textId="1F497BD2" w:rsidR="008A310F" w:rsidRDefault="00DE0158" w:rsidP="008A310F">
            <w:pPr>
              <w:jc w:val="center"/>
            </w:pPr>
            <w:r>
              <w:lastRenderedPageBreak/>
              <w:t>NAP</w:t>
            </w:r>
          </w:p>
        </w:tc>
        <w:tc>
          <w:tcPr>
            <w:tcW w:w="5987" w:type="dxa"/>
          </w:tcPr>
          <w:p w14:paraId="0C312D48" w14:textId="37A1D168" w:rsidR="008A310F" w:rsidRDefault="00DE0158" w:rsidP="008A310F">
            <w:r>
              <w:t>Това изискване не е приложимо към технологията.</w:t>
            </w:r>
          </w:p>
        </w:tc>
      </w:tr>
      <w:tr w:rsidR="008A310F" w14:paraId="3C9A6E24" w14:textId="77777777" w:rsidTr="00716CE0">
        <w:tc>
          <w:tcPr>
            <w:tcW w:w="797" w:type="dxa"/>
          </w:tcPr>
          <w:p w14:paraId="3BDB9C91" w14:textId="78E013CE" w:rsidR="008A310F" w:rsidRDefault="008A310F" w:rsidP="008A310F">
            <w:r>
              <w:t>3.58.</w:t>
            </w:r>
          </w:p>
        </w:tc>
        <w:tc>
          <w:tcPr>
            <w:tcW w:w="5152" w:type="dxa"/>
          </w:tcPr>
          <w:p w14:paraId="73124682" w14:textId="5CF2E14E" w:rsidR="008A310F" w:rsidRPr="00A936C2" w:rsidRDefault="008A310F" w:rsidP="00E038B5">
            <w:r>
              <w:t xml:space="preserve">Регистрираните лица и лицензиантите, в сътрудничество с производителите, гарантират, че когато е практически възможно, </w:t>
            </w:r>
            <w:r w:rsidR="0040137B">
              <w:t xml:space="preserve">закритите </w:t>
            </w:r>
            <w:r>
              <w:t>източници са идентифицируеми и проследими.</w:t>
            </w:r>
          </w:p>
        </w:tc>
        <w:tc>
          <w:tcPr>
            <w:tcW w:w="1559" w:type="dxa"/>
          </w:tcPr>
          <w:p w14:paraId="1F27CF48" w14:textId="7CD97848" w:rsidR="008A310F" w:rsidRDefault="00DE0158" w:rsidP="008A310F">
            <w:pPr>
              <w:jc w:val="center"/>
            </w:pPr>
            <w:r>
              <w:t>NAP</w:t>
            </w:r>
          </w:p>
        </w:tc>
        <w:tc>
          <w:tcPr>
            <w:tcW w:w="5987" w:type="dxa"/>
          </w:tcPr>
          <w:p w14:paraId="5547BFEB" w14:textId="467A0B05" w:rsidR="008A310F" w:rsidRDefault="00DE0158" w:rsidP="008A310F">
            <w:r>
              <w:t>Това изискване не е приложимо към технологията.</w:t>
            </w:r>
          </w:p>
        </w:tc>
      </w:tr>
      <w:tr w:rsidR="008A310F" w14:paraId="5C111F45" w14:textId="77777777" w:rsidTr="00716CE0">
        <w:tc>
          <w:tcPr>
            <w:tcW w:w="797" w:type="dxa"/>
          </w:tcPr>
          <w:p w14:paraId="300A07BA" w14:textId="3A13BAD9" w:rsidR="008A310F" w:rsidRDefault="008A310F" w:rsidP="008A310F">
            <w:r>
              <w:t>3.59.</w:t>
            </w:r>
          </w:p>
        </w:tc>
        <w:tc>
          <w:tcPr>
            <w:tcW w:w="5152" w:type="dxa"/>
          </w:tcPr>
          <w:p w14:paraId="0BD734C1" w14:textId="06C1A645" w:rsidR="008A310F" w:rsidRPr="00A936C2" w:rsidRDefault="008A310F" w:rsidP="00E038B5">
            <w:pPr>
              <w:rPr>
                <w:b/>
                <w:bCs/>
              </w:rPr>
            </w:pPr>
            <w:r>
              <w:t>Регистрираните лица и лицензиантите гарантират, че когато радиоактивните източници не се използват, те се съхраняват по подходящ начин за осигуряване на защита и безопасност.</w:t>
            </w:r>
          </w:p>
        </w:tc>
        <w:tc>
          <w:tcPr>
            <w:tcW w:w="1559" w:type="dxa"/>
          </w:tcPr>
          <w:p w14:paraId="5A0F7CD8" w14:textId="6649DDF9" w:rsidR="008A310F" w:rsidRDefault="00DE0158" w:rsidP="008A310F">
            <w:pPr>
              <w:jc w:val="center"/>
            </w:pPr>
            <w:r>
              <w:t>NAP</w:t>
            </w:r>
          </w:p>
        </w:tc>
        <w:tc>
          <w:tcPr>
            <w:tcW w:w="5987" w:type="dxa"/>
          </w:tcPr>
          <w:p w14:paraId="1F35552B" w14:textId="133B4845" w:rsidR="008A310F" w:rsidRPr="005D7B47" w:rsidRDefault="00DE0158" w:rsidP="005D7B47">
            <w:pPr>
              <w:rPr>
                <w:rFonts w:eastAsiaTheme="minorHAnsi" w:cstheme="minorBidi"/>
                <w:kern w:val="0"/>
              </w:rPr>
            </w:pPr>
            <w:r>
              <w:t>Това изискване не е приложимо към технологията.</w:t>
            </w:r>
          </w:p>
        </w:tc>
      </w:tr>
      <w:tr w:rsidR="00A936C2" w14:paraId="3F49AE31" w14:textId="77777777" w:rsidTr="00716CE0">
        <w:tc>
          <w:tcPr>
            <w:tcW w:w="797" w:type="dxa"/>
          </w:tcPr>
          <w:p w14:paraId="1DCEC6CA" w14:textId="44F136A3" w:rsidR="00A936C2" w:rsidRDefault="00A936C2" w:rsidP="00A936C2">
            <w:r>
              <w:t>3.60.</w:t>
            </w:r>
          </w:p>
        </w:tc>
        <w:tc>
          <w:tcPr>
            <w:tcW w:w="5152" w:type="dxa"/>
          </w:tcPr>
          <w:p w14:paraId="20AD0488" w14:textId="46232327" w:rsidR="005C2A81" w:rsidRDefault="00A936C2" w:rsidP="00411024">
            <w:r>
              <w:t xml:space="preserve">Регистрираните лица и лицензиантите гарантират, че след като бъде взето решение за извеждането от </w:t>
            </w:r>
            <w:r w:rsidR="0040137B">
              <w:t>експлоатация</w:t>
            </w:r>
            <w:r>
              <w:t xml:space="preserve"> на генератори на </w:t>
            </w:r>
            <w:r w:rsidR="0040137B">
              <w:t>йонизиращи лъчения</w:t>
            </w:r>
            <w:r>
              <w:t xml:space="preserve"> и радиоактивни източници, незабавно се предприемат мерки за тяхното безопасно управление и контрол, включително подходящо финансово обезпечение.</w:t>
            </w:r>
          </w:p>
        </w:tc>
        <w:tc>
          <w:tcPr>
            <w:tcW w:w="1559" w:type="dxa"/>
          </w:tcPr>
          <w:p w14:paraId="2893A462" w14:textId="53DA8F81" w:rsidR="00A936C2" w:rsidRDefault="00A936C2" w:rsidP="00A936C2">
            <w:pPr>
              <w:jc w:val="center"/>
            </w:pPr>
            <w:r>
              <w:t>NAP</w:t>
            </w:r>
          </w:p>
        </w:tc>
        <w:tc>
          <w:tcPr>
            <w:tcW w:w="5987" w:type="dxa"/>
          </w:tcPr>
          <w:p w14:paraId="43160850" w14:textId="64A20770" w:rsidR="00A936C2" w:rsidRDefault="00A936C2" w:rsidP="00A936C2">
            <w:r>
              <w:t>Това изискване не е приложимо към технологията.</w:t>
            </w:r>
          </w:p>
        </w:tc>
      </w:tr>
    </w:tbl>
    <w:p w14:paraId="32701E00" w14:textId="4D08591F" w:rsidR="00815E9C" w:rsidRPr="00815E9C" w:rsidRDefault="00815E9C" w:rsidP="00190D0E">
      <w:pPr>
        <w:pStyle w:val="Heading3"/>
        <w:spacing w:before="240"/>
        <w:rPr>
          <w:caps/>
        </w:rPr>
      </w:pPr>
      <w:bookmarkStart w:id="48" w:name="_Toc155347795"/>
      <w:r>
        <w:t xml:space="preserve">Изискване 18: Образни изследвания с използване на </w:t>
      </w:r>
      <w:r w:rsidR="009D53D0">
        <w:t>йонизиращи лъчения</w:t>
      </w:r>
      <w:r>
        <w:t xml:space="preserve"> за цели, различни от медицинска диагностика, медицинско лечение или биомедицински изследвания</w:t>
      </w:r>
      <w:bookmarkEnd w:id="48"/>
    </w:p>
    <w:tbl>
      <w:tblPr>
        <w:tblStyle w:val="TableGrid"/>
        <w:tblW w:w="13495" w:type="dxa"/>
        <w:tblLayout w:type="fixed"/>
        <w:tblLook w:val="04A0" w:firstRow="1" w:lastRow="0" w:firstColumn="1" w:lastColumn="0" w:noHBand="0" w:noVBand="1"/>
      </w:tblPr>
      <w:tblGrid>
        <w:gridCol w:w="797"/>
        <w:gridCol w:w="5152"/>
        <w:gridCol w:w="1559"/>
        <w:gridCol w:w="5987"/>
      </w:tblGrid>
      <w:tr w:rsidR="00250A71" w:rsidRPr="00F172DF" w14:paraId="0198DC28" w14:textId="77777777" w:rsidTr="00716CE0">
        <w:trPr>
          <w:tblHeader/>
        </w:trPr>
        <w:tc>
          <w:tcPr>
            <w:tcW w:w="797" w:type="dxa"/>
          </w:tcPr>
          <w:p w14:paraId="123BC3E3" w14:textId="77777777" w:rsidR="00250A71" w:rsidRPr="00F172DF" w:rsidRDefault="00250A71" w:rsidP="00250A71">
            <w:pPr>
              <w:rPr>
                <w:b/>
                <w:bCs/>
              </w:rPr>
            </w:pPr>
          </w:p>
        </w:tc>
        <w:tc>
          <w:tcPr>
            <w:tcW w:w="5152" w:type="dxa"/>
          </w:tcPr>
          <w:p w14:paraId="19D6A5CC" w14:textId="046379AC" w:rsidR="00250A71" w:rsidRPr="00F172DF" w:rsidRDefault="00250A71" w:rsidP="00250A71">
            <w:pPr>
              <w:rPr>
                <w:b/>
                <w:bCs/>
              </w:rPr>
            </w:pPr>
            <w:r>
              <w:rPr>
                <w:b/>
              </w:rPr>
              <w:t>Описание</w:t>
            </w:r>
          </w:p>
        </w:tc>
        <w:tc>
          <w:tcPr>
            <w:tcW w:w="1559" w:type="dxa"/>
          </w:tcPr>
          <w:p w14:paraId="5AA33DC7" w14:textId="773F5DF3" w:rsidR="00250A71" w:rsidRPr="00F172DF" w:rsidRDefault="00250A71" w:rsidP="00250A71">
            <w:pPr>
              <w:rPr>
                <w:b/>
                <w:bCs/>
              </w:rPr>
            </w:pPr>
            <w:r>
              <w:rPr>
                <w:b/>
              </w:rPr>
              <w:t>Съответствие</w:t>
            </w:r>
          </w:p>
        </w:tc>
        <w:tc>
          <w:tcPr>
            <w:tcW w:w="5987" w:type="dxa"/>
          </w:tcPr>
          <w:p w14:paraId="4385DDC0" w14:textId="55042265" w:rsidR="00250A71" w:rsidRPr="00F172DF" w:rsidRDefault="00250A71" w:rsidP="00250A71">
            <w:pPr>
              <w:rPr>
                <w:b/>
                <w:bCs/>
              </w:rPr>
            </w:pPr>
            <w:r>
              <w:rPr>
                <w:b/>
              </w:rPr>
              <w:t>Обосновка</w:t>
            </w:r>
          </w:p>
        </w:tc>
      </w:tr>
      <w:tr w:rsidR="00250A71" w14:paraId="614B2B1B" w14:textId="77777777" w:rsidTr="00716CE0">
        <w:tc>
          <w:tcPr>
            <w:tcW w:w="797" w:type="dxa"/>
          </w:tcPr>
          <w:p w14:paraId="78D8C85A" w14:textId="35604737" w:rsidR="00250A71" w:rsidRDefault="00250A71" w:rsidP="00250A71"/>
        </w:tc>
        <w:tc>
          <w:tcPr>
            <w:tcW w:w="5152" w:type="dxa"/>
          </w:tcPr>
          <w:p w14:paraId="2F8B1803" w14:textId="2E2BE535" w:rsidR="00250A71" w:rsidRPr="00250A71" w:rsidRDefault="00250A71" w:rsidP="00035179">
            <w:pPr>
              <w:spacing w:after="0"/>
              <w:rPr>
                <w:b/>
                <w:bCs/>
              </w:rPr>
            </w:pPr>
            <w:r>
              <w:rPr>
                <w:b/>
              </w:rPr>
              <w:t xml:space="preserve">Правителството гарантира, че върху използването на йонизиращи лъчения за образни изследвания за цели, различни от медицинска диагностика, </w:t>
            </w:r>
            <w:r>
              <w:rPr>
                <w:b/>
              </w:rPr>
              <w:lastRenderedPageBreak/>
              <w:t>медицинско лечение или биомедицински изследвания, се разпространява действието на системата за защита и безопасност.</w:t>
            </w:r>
          </w:p>
        </w:tc>
        <w:tc>
          <w:tcPr>
            <w:tcW w:w="1559" w:type="dxa"/>
          </w:tcPr>
          <w:p w14:paraId="0624F38D" w14:textId="21DBB034" w:rsidR="00250A71" w:rsidRDefault="00E32BD7" w:rsidP="00D27590">
            <w:pPr>
              <w:jc w:val="center"/>
            </w:pPr>
            <w:r>
              <w:lastRenderedPageBreak/>
              <w:t>NAP</w:t>
            </w:r>
          </w:p>
        </w:tc>
        <w:tc>
          <w:tcPr>
            <w:tcW w:w="5987" w:type="dxa"/>
          </w:tcPr>
          <w:p w14:paraId="52A00E23" w14:textId="3DB089B1" w:rsidR="000577CC" w:rsidRPr="00966AE4" w:rsidRDefault="00E32BD7" w:rsidP="00250A71">
            <w:r>
              <w:t>Това изискване не е приложимо към технологията.</w:t>
            </w:r>
          </w:p>
        </w:tc>
      </w:tr>
      <w:tr w:rsidR="00250A71" w14:paraId="56501082" w14:textId="77777777" w:rsidTr="00716CE0">
        <w:tc>
          <w:tcPr>
            <w:tcW w:w="797" w:type="dxa"/>
          </w:tcPr>
          <w:p w14:paraId="1BC19536" w14:textId="34053234" w:rsidR="00250A71" w:rsidRDefault="00250A71" w:rsidP="00250A71">
            <w:r>
              <w:t>3.61.</w:t>
            </w:r>
          </w:p>
        </w:tc>
        <w:tc>
          <w:tcPr>
            <w:tcW w:w="5152" w:type="dxa"/>
          </w:tcPr>
          <w:p w14:paraId="6C85E965" w14:textId="6E0D34DF" w:rsidR="00250A71" w:rsidRDefault="00250A71" w:rsidP="00250A71">
            <w:r>
              <w:t>Правителството, ако вземе решение в съответствие с т. 3.18, 3.20 и 3.21, гарантира, че изискванията на т. 3.16 по отношение на обосновката на практическите дейности се прилагат за всеки вид процедура за образни изследвания, при които се използва</w:t>
            </w:r>
            <w:r w:rsidR="009D53D0">
              <w:t>т</w:t>
            </w:r>
            <w:r>
              <w:t xml:space="preserve"> </w:t>
            </w:r>
            <w:r w:rsidR="009D53D0">
              <w:t>йонизиращи лъчения</w:t>
            </w:r>
            <w:r>
              <w:t xml:space="preserve"> за цели, различни от медицинска диагностика или медицинско лечение или различни от тези, които са част от програма за биомедицински изследвания. Процесът на обосноваване включва разглеждането на: </w:t>
            </w:r>
            <w:r>
              <w:br/>
              <w:t xml:space="preserve">(а) ползите и вредите от осъществяването на конкретен тип процедура за образно изследване; </w:t>
            </w:r>
            <w:r>
              <w:br/>
              <w:t xml:space="preserve">(б) ползите и вредите, свързани с отказа от осъществяване на даден тип процедура за образно изследване; </w:t>
            </w:r>
            <w:r>
              <w:br/>
              <w:t xml:space="preserve">(в) всякакви правни или етични въпроси, свързани с въвеждането на даден тип процедура за образно изследване; </w:t>
            </w:r>
            <w:r>
              <w:br/>
              <w:t xml:space="preserve">(г) ефективността и пригодността на даден тип процедура за образно изследване, включително пригодността на радиационното оборудване за предвидената употреба; </w:t>
            </w:r>
            <w:r>
              <w:br/>
              <w:t>(д) наличието на достатъчно ресурси за безопасно провеждане на процедурата за образно изследване през целия предвиден период на практическата дейност.</w:t>
            </w:r>
          </w:p>
        </w:tc>
        <w:tc>
          <w:tcPr>
            <w:tcW w:w="1559" w:type="dxa"/>
          </w:tcPr>
          <w:p w14:paraId="6857AB0B" w14:textId="49F07BBA" w:rsidR="00250A71" w:rsidRDefault="00E32BD7" w:rsidP="00D27590">
            <w:pPr>
              <w:jc w:val="center"/>
            </w:pPr>
            <w:r>
              <w:t>NAP</w:t>
            </w:r>
          </w:p>
        </w:tc>
        <w:tc>
          <w:tcPr>
            <w:tcW w:w="5987" w:type="dxa"/>
          </w:tcPr>
          <w:p w14:paraId="0649BFCF" w14:textId="7EC4996C" w:rsidR="00250A71" w:rsidRDefault="00E32BD7" w:rsidP="00250A71">
            <w:r>
              <w:t>Това изискване не е приложимо към технологията.</w:t>
            </w:r>
          </w:p>
        </w:tc>
      </w:tr>
      <w:tr w:rsidR="00250A71" w14:paraId="32E9AF1B" w14:textId="77777777" w:rsidTr="00716CE0">
        <w:tc>
          <w:tcPr>
            <w:tcW w:w="797" w:type="dxa"/>
          </w:tcPr>
          <w:p w14:paraId="589640CA" w14:textId="0EA5045F" w:rsidR="00250A71" w:rsidRDefault="00473FB2" w:rsidP="00250A71">
            <w:r>
              <w:lastRenderedPageBreak/>
              <w:t>3.62.</w:t>
            </w:r>
          </w:p>
        </w:tc>
        <w:tc>
          <w:tcPr>
            <w:tcW w:w="5152" w:type="dxa"/>
          </w:tcPr>
          <w:p w14:paraId="17405F00" w14:textId="0BB2318C" w:rsidR="00250A71" w:rsidRDefault="00473FB2" w:rsidP="00473FB2">
            <w:r>
              <w:t xml:space="preserve">Ако посредством процеса, посочен в т. 3.61, е определено, че конкретна практическа дейност за образни изследвания с използване на </w:t>
            </w:r>
            <w:r w:rsidR="009D53D0">
              <w:t>йонизиращи лъчения</w:t>
            </w:r>
            <w:r>
              <w:t xml:space="preserve"> е обоснована, то такава практическа дейност подлежи на регулаторен контрол.</w:t>
            </w:r>
          </w:p>
        </w:tc>
        <w:tc>
          <w:tcPr>
            <w:tcW w:w="1559" w:type="dxa"/>
          </w:tcPr>
          <w:p w14:paraId="1B893FC5" w14:textId="7B1CD919" w:rsidR="00250A71" w:rsidRDefault="00E32BD7" w:rsidP="00D27590">
            <w:pPr>
              <w:jc w:val="center"/>
            </w:pPr>
            <w:r>
              <w:t>NAP</w:t>
            </w:r>
          </w:p>
        </w:tc>
        <w:tc>
          <w:tcPr>
            <w:tcW w:w="5987" w:type="dxa"/>
          </w:tcPr>
          <w:p w14:paraId="7B6027F4" w14:textId="5EE8C7A7" w:rsidR="00250A71" w:rsidRDefault="00E32BD7" w:rsidP="00250A71">
            <w:r>
              <w:t>Това изискване не е приложимо към технологията.</w:t>
            </w:r>
          </w:p>
        </w:tc>
      </w:tr>
      <w:tr w:rsidR="00250A71" w14:paraId="1D39FC41" w14:textId="77777777" w:rsidTr="00716CE0">
        <w:tc>
          <w:tcPr>
            <w:tcW w:w="797" w:type="dxa"/>
          </w:tcPr>
          <w:p w14:paraId="49EF7533" w14:textId="5667E5D8" w:rsidR="00250A71" w:rsidRDefault="00473FB2" w:rsidP="00250A71">
            <w:r>
              <w:t>3.63.</w:t>
            </w:r>
          </w:p>
        </w:tc>
        <w:tc>
          <w:tcPr>
            <w:tcW w:w="5152" w:type="dxa"/>
          </w:tcPr>
          <w:p w14:paraId="02700FEE" w14:textId="7DB61BE8" w:rsidR="00250A71" w:rsidRPr="00B05556" w:rsidRDefault="00473FB2" w:rsidP="00473FB2">
            <w:pPr>
              <w:rPr>
                <w:b/>
                <w:bCs/>
              </w:rPr>
            </w:pPr>
            <w:r>
              <w:t>Регулаторният орган, в сътрудничество с други съответни органи, агенции и професионални организации, според случая, установява изискванията за регулаторен контрол на практическата дейност и за преглед на обосновката.</w:t>
            </w:r>
          </w:p>
        </w:tc>
        <w:tc>
          <w:tcPr>
            <w:tcW w:w="1559" w:type="dxa"/>
          </w:tcPr>
          <w:p w14:paraId="201FCE3E" w14:textId="762F9C31" w:rsidR="00250A71" w:rsidRDefault="00E32BD7" w:rsidP="00D27590">
            <w:pPr>
              <w:jc w:val="center"/>
            </w:pPr>
            <w:r>
              <w:t>NAP</w:t>
            </w:r>
          </w:p>
        </w:tc>
        <w:tc>
          <w:tcPr>
            <w:tcW w:w="5987" w:type="dxa"/>
          </w:tcPr>
          <w:p w14:paraId="7F37DD84" w14:textId="2497B14D" w:rsidR="00250A71" w:rsidRDefault="00E32BD7" w:rsidP="00250A71">
            <w:r>
              <w:t>Това изискване не е приложимо към технологията.</w:t>
            </w:r>
          </w:p>
        </w:tc>
      </w:tr>
      <w:tr w:rsidR="00250A71" w:rsidRPr="008A304A" w14:paraId="7A744C23" w14:textId="77777777" w:rsidTr="00716CE0">
        <w:tc>
          <w:tcPr>
            <w:tcW w:w="797" w:type="dxa"/>
          </w:tcPr>
          <w:p w14:paraId="548F0149" w14:textId="3586EB6E" w:rsidR="00250A71" w:rsidRDefault="00473FB2" w:rsidP="00250A71">
            <w:r>
              <w:t>3.64.</w:t>
            </w:r>
          </w:p>
        </w:tc>
        <w:tc>
          <w:tcPr>
            <w:tcW w:w="5152" w:type="dxa"/>
          </w:tcPr>
          <w:p w14:paraId="0D3125CA" w14:textId="111B1946" w:rsidR="00250A71" w:rsidRPr="00473FB2" w:rsidRDefault="00473FB2" w:rsidP="00473FB2">
            <w:pPr>
              <w:rPr>
                <w:b/>
                <w:bCs/>
              </w:rPr>
            </w:pPr>
            <w:r>
              <w:t xml:space="preserve">За образни изследвания с използване на </w:t>
            </w:r>
            <w:r w:rsidR="009D53D0">
              <w:t>йонизиращи лъчения</w:t>
            </w:r>
            <w:r>
              <w:t>, извършвана от медицински персонал с помощта на медицинско радиологично оборудване, при което хората се облъчват за цели, свързани с наемане за работа, за юридически цели или за здравноосигурителни</w:t>
            </w:r>
            <w:r>
              <w:rPr>
                <w:vertAlign w:val="superscript"/>
              </w:rPr>
              <w:t>31</w:t>
            </w:r>
            <w:r>
              <w:rPr>
                <w:sz w:val="14"/>
              </w:rPr>
              <w:t xml:space="preserve"> </w:t>
            </w:r>
            <w:r>
              <w:t xml:space="preserve">цели, без позоваване на клинични показания: </w:t>
            </w:r>
            <w:r>
              <w:br/>
              <w:t>(а) правителството трябва да гарантира, въз основа на консултации между съответните органи, професионални организации и регулаторния орган, че са установени дозови ограничения за такива образни изследвания;</w:t>
            </w:r>
            <w:r>
              <w:br/>
              <w:t>(б) регистрираното лице или лицензиантът осигурява прилагането на съответните изисквания за оптимизация на медицинското облъчване в т. 3.162-3.177, като вместо диагностичните референтни нива се използват дозовите ограничения, изисквани в буква а) по-горе.</w:t>
            </w:r>
          </w:p>
        </w:tc>
        <w:tc>
          <w:tcPr>
            <w:tcW w:w="1559" w:type="dxa"/>
          </w:tcPr>
          <w:p w14:paraId="318368D0" w14:textId="538BE5B2" w:rsidR="00250A71" w:rsidRDefault="00E32BD7" w:rsidP="00D27590">
            <w:pPr>
              <w:jc w:val="center"/>
            </w:pPr>
            <w:r>
              <w:t>NAP</w:t>
            </w:r>
          </w:p>
        </w:tc>
        <w:tc>
          <w:tcPr>
            <w:tcW w:w="5987" w:type="dxa"/>
          </w:tcPr>
          <w:p w14:paraId="1958B068" w14:textId="2D8DC460" w:rsidR="008A304A" w:rsidRPr="008A304A" w:rsidRDefault="00E32BD7" w:rsidP="00250A71">
            <w:r>
              <w:t>Това изискване не е приложимо към технологията.</w:t>
            </w:r>
          </w:p>
        </w:tc>
      </w:tr>
      <w:tr w:rsidR="00261136" w14:paraId="0D1FEBF0" w14:textId="77777777" w:rsidTr="00716CE0">
        <w:tc>
          <w:tcPr>
            <w:tcW w:w="797" w:type="dxa"/>
          </w:tcPr>
          <w:p w14:paraId="5A99CA0F" w14:textId="73AA539F" w:rsidR="00261136" w:rsidRDefault="00261136" w:rsidP="00261136">
            <w:r>
              <w:lastRenderedPageBreak/>
              <w:t>3.65.</w:t>
            </w:r>
          </w:p>
        </w:tc>
        <w:tc>
          <w:tcPr>
            <w:tcW w:w="5152" w:type="dxa"/>
          </w:tcPr>
          <w:p w14:paraId="58E9784A" w14:textId="1F57E8AD" w:rsidR="00261136" w:rsidRDefault="00261136" w:rsidP="00C53EB9">
            <w:r>
              <w:t>Процедурите с устройства за инспекционни образни изследвания, при които се използва</w:t>
            </w:r>
            <w:r w:rsidR="009D53D0">
              <w:t>т</w:t>
            </w:r>
            <w:r>
              <w:t xml:space="preserve"> </w:t>
            </w:r>
            <w:r w:rsidR="009D53D0">
              <w:t>йонизиращи лъчения</w:t>
            </w:r>
            <w:r>
              <w:t xml:space="preserve"> за облъчване на лица с цел откриване на скрити оръжия, контрабандни стоки или други предмети по тялото или в него, се смятат за </w:t>
            </w:r>
            <w:r w:rsidR="009D53D0">
              <w:t>повишаващи</w:t>
            </w:r>
            <w:r>
              <w:t xml:space="preserve"> облъчване</w:t>
            </w:r>
            <w:r w:rsidR="009D53D0">
              <w:t>то</w:t>
            </w:r>
            <w:r>
              <w:t xml:space="preserve"> на населението. Регистрираните лица и лицензиантите прилагат изискванията за облъчване на населението в ситуации на планирано облъчване. В частност, регистрираните лица и лицензиантите гарантират, че оптимизацията на защитата и безопасността е подчинена на всякакви ограничения на дозата на облъчване на населението, определени от правителството или регулаторния орган.</w:t>
            </w:r>
          </w:p>
        </w:tc>
        <w:tc>
          <w:tcPr>
            <w:tcW w:w="1559" w:type="dxa"/>
          </w:tcPr>
          <w:p w14:paraId="0FB89CBB" w14:textId="583E9F8C" w:rsidR="00261136" w:rsidRDefault="00E32BD7" w:rsidP="00261136">
            <w:pPr>
              <w:jc w:val="center"/>
            </w:pPr>
            <w:r>
              <w:t>NAP</w:t>
            </w:r>
          </w:p>
        </w:tc>
        <w:tc>
          <w:tcPr>
            <w:tcW w:w="5987" w:type="dxa"/>
          </w:tcPr>
          <w:p w14:paraId="3861705A" w14:textId="496D1D59" w:rsidR="00261136" w:rsidRDefault="00E32BD7" w:rsidP="00261136">
            <w:r>
              <w:t>Това изискване не е приложимо към технологията.</w:t>
            </w:r>
          </w:p>
        </w:tc>
      </w:tr>
      <w:tr w:rsidR="00261136" w14:paraId="5D1DD60C" w14:textId="77777777" w:rsidTr="00716CE0">
        <w:tc>
          <w:tcPr>
            <w:tcW w:w="797" w:type="dxa"/>
          </w:tcPr>
          <w:p w14:paraId="1CAB155B" w14:textId="2CB9FE90" w:rsidR="00261136" w:rsidRPr="005D7B47" w:rsidRDefault="00261136" w:rsidP="00261136">
            <w:r>
              <w:t>3.66.</w:t>
            </w:r>
          </w:p>
        </w:tc>
        <w:tc>
          <w:tcPr>
            <w:tcW w:w="5152" w:type="dxa"/>
          </w:tcPr>
          <w:p w14:paraId="6A5EFC41" w14:textId="12184388" w:rsidR="00261136" w:rsidRPr="005D7B47" w:rsidRDefault="00261136" w:rsidP="00261136">
            <w:r>
              <w:t>Регистрираните лица и лицензиантите гарантират, че всички лица, на които предстои да бъдат приложени процедури с устройства за инспекционни образни изследвания, при които се използва йонизиращо лъчение, са информирани за възможността да поискат използването на алтернативна инспекционна методика, при която не се използва йонизиращо лъчение, когато има такава възможност.</w:t>
            </w:r>
          </w:p>
        </w:tc>
        <w:tc>
          <w:tcPr>
            <w:tcW w:w="1559" w:type="dxa"/>
          </w:tcPr>
          <w:p w14:paraId="59002C4B" w14:textId="60D1718D" w:rsidR="00261136" w:rsidRDefault="00E32BD7" w:rsidP="00261136">
            <w:pPr>
              <w:jc w:val="center"/>
            </w:pPr>
            <w:r>
              <w:t>NAP</w:t>
            </w:r>
          </w:p>
        </w:tc>
        <w:tc>
          <w:tcPr>
            <w:tcW w:w="5987" w:type="dxa"/>
          </w:tcPr>
          <w:p w14:paraId="76B01B8D" w14:textId="61114638" w:rsidR="00261136" w:rsidRDefault="00E32BD7" w:rsidP="00261136">
            <w:r>
              <w:t>Това изискване не е приложимо към технологията.</w:t>
            </w:r>
          </w:p>
        </w:tc>
      </w:tr>
      <w:tr w:rsidR="00261136" w14:paraId="1FC14E17" w14:textId="77777777" w:rsidTr="00716CE0">
        <w:tc>
          <w:tcPr>
            <w:tcW w:w="797" w:type="dxa"/>
          </w:tcPr>
          <w:p w14:paraId="5CA984DE" w14:textId="69C687F8" w:rsidR="00261136" w:rsidRPr="005D7B47" w:rsidRDefault="00261136" w:rsidP="00261136">
            <w:r>
              <w:t>3.67.</w:t>
            </w:r>
          </w:p>
        </w:tc>
        <w:tc>
          <w:tcPr>
            <w:tcW w:w="5152" w:type="dxa"/>
          </w:tcPr>
          <w:p w14:paraId="6E5B11D0" w14:textId="0A85F2BE" w:rsidR="00261136" w:rsidRPr="005D7B47" w:rsidRDefault="00261136" w:rsidP="00E038B5">
            <w:r>
              <w:t>Регистрираното лице и лицензиантът гарантира</w:t>
            </w:r>
            <w:r w:rsidR="009D53D0">
              <w:t>т</w:t>
            </w:r>
            <w:r>
              <w:t xml:space="preserve">, че всяко устройство за инспекционни образни изследвания, използвано за откриване на скрити предмети по тялото или в него, независимо дали е произведено или внесено в държавата, в която се използва, отговаря на приложимите стандарти на </w:t>
            </w:r>
            <w:r>
              <w:lastRenderedPageBreak/>
              <w:t>Международната електротехническа комисия или на Международната организация по стандартизация, или на еквивалентни национални стандарти.</w:t>
            </w:r>
          </w:p>
        </w:tc>
        <w:tc>
          <w:tcPr>
            <w:tcW w:w="1559" w:type="dxa"/>
          </w:tcPr>
          <w:p w14:paraId="36C7383F" w14:textId="0BB6C65E" w:rsidR="00261136" w:rsidRDefault="00E32BD7" w:rsidP="00261136">
            <w:pPr>
              <w:jc w:val="center"/>
            </w:pPr>
            <w:r>
              <w:lastRenderedPageBreak/>
              <w:t>NAP</w:t>
            </w:r>
          </w:p>
        </w:tc>
        <w:tc>
          <w:tcPr>
            <w:tcW w:w="5987" w:type="dxa"/>
          </w:tcPr>
          <w:p w14:paraId="13C5A115" w14:textId="1F9E228B" w:rsidR="00261136" w:rsidRDefault="00E32BD7" w:rsidP="00261136">
            <w:r>
              <w:t>Това изискване не е приложимо към технологията.</w:t>
            </w:r>
          </w:p>
        </w:tc>
      </w:tr>
    </w:tbl>
    <w:p w14:paraId="205B1A5A" w14:textId="77777777" w:rsidR="00054441" w:rsidRPr="00054441" w:rsidRDefault="00054441" w:rsidP="005A14DB">
      <w:pPr>
        <w:spacing w:before="240" w:after="0"/>
        <w:rPr>
          <w:b/>
          <w:bCs/>
        </w:rPr>
      </w:pPr>
      <w:r>
        <w:tab/>
      </w:r>
      <w:r>
        <w:rPr>
          <w:b/>
          <w:sz w:val="24"/>
        </w:rPr>
        <w:t>ПРОФЕСИОНАЛНО ОБЛЪЧВАНЕ</w:t>
      </w:r>
    </w:p>
    <w:p w14:paraId="33B53D86" w14:textId="620EAB16" w:rsidR="00054441" w:rsidRDefault="00054441" w:rsidP="00054441">
      <w:r>
        <w:rPr>
          <w:b/>
        </w:rPr>
        <w:tab/>
      </w:r>
      <w:r>
        <w:rPr>
          <w:b/>
          <w:sz w:val="24"/>
        </w:rPr>
        <w:t>Обхват</w:t>
      </w:r>
    </w:p>
    <w:tbl>
      <w:tblPr>
        <w:tblStyle w:val="TableGrid"/>
        <w:tblW w:w="13495" w:type="dxa"/>
        <w:tblLayout w:type="fixed"/>
        <w:tblLook w:val="04A0" w:firstRow="1" w:lastRow="0" w:firstColumn="1" w:lastColumn="0" w:noHBand="0" w:noVBand="1"/>
      </w:tblPr>
      <w:tblGrid>
        <w:gridCol w:w="797"/>
        <w:gridCol w:w="5152"/>
        <w:gridCol w:w="1559"/>
        <w:gridCol w:w="5987"/>
      </w:tblGrid>
      <w:tr w:rsidR="00355630" w14:paraId="33D33165" w14:textId="77777777" w:rsidTr="00041CA2">
        <w:tc>
          <w:tcPr>
            <w:tcW w:w="797" w:type="dxa"/>
          </w:tcPr>
          <w:p w14:paraId="17F3965D" w14:textId="77777777" w:rsidR="00355630" w:rsidRDefault="00355630" w:rsidP="00355630"/>
        </w:tc>
        <w:tc>
          <w:tcPr>
            <w:tcW w:w="5152" w:type="dxa"/>
          </w:tcPr>
          <w:p w14:paraId="76DC2FDE" w14:textId="6A154532" w:rsidR="00355630" w:rsidRPr="005D7B47" w:rsidRDefault="00355630" w:rsidP="00355630">
            <w:r>
              <w:rPr>
                <w:b/>
              </w:rPr>
              <w:t>Описание</w:t>
            </w:r>
          </w:p>
        </w:tc>
        <w:tc>
          <w:tcPr>
            <w:tcW w:w="1559" w:type="dxa"/>
          </w:tcPr>
          <w:p w14:paraId="78255FCA" w14:textId="4D0C882C" w:rsidR="00355630" w:rsidRDefault="00355630" w:rsidP="00355630">
            <w:pPr>
              <w:jc w:val="center"/>
            </w:pPr>
            <w:r>
              <w:rPr>
                <w:b/>
              </w:rPr>
              <w:t>Съответствие</w:t>
            </w:r>
          </w:p>
        </w:tc>
        <w:tc>
          <w:tcPr>
            <w:tcW w:w="5987" w:type="dxa"/>
          </w:tcPr>
          <w:p w14:paraId="4CD8CA3C" w14:textId="74D0E73C" w:rsidR="00355630" w:rsidRDefault="00355630" w:rsidP="00355630">
            <w:r>
              <w:rPr>
                <w:b/>
              </w:rPr>
              <w:t>Обосновка</w:t>
            </w:r>
          </w:p>
        </w:tc>
      </w:tr>
      <w:tr w:rsidR="00355630" w14:paraId="723D0940" w14:textId="77777777" w:rsidTr="00041CA2">
        <w:tc>
          <w:tcPr>
            <w:tcW w:w="797" w:type="dxa"/>
          </w:tcPr>
          <w:p w14:paraId="2A05105B" w14:textId="22374A48" w:rsidR="00355630" w:rsidRDefault="00355630" w:rsidP="00355630">
            <w:r>
              <w:t>3.68</w:t>
            </w:r>
          </w:p>
        </w:tc>
        <w:tc>
          <w:tcPr>
            <w:tcW w:w="5152" w:type="dxa"/>
          </w:tcPr>
          <w:p w14:paraId="1F514BDA" w14:textId="7BCA336A" w:rsidR="00355630" w:rsidRDefault="00355630" w:rsidP="00E038B5">
            <w:r>
              <w:t>Изискванията по отношение на професионалното облъчване в ситуации на планирано облъчване (т. 3.69-3.116) се прилагат за професионално облъчване, дължащо се на практическа дейност или на източник в рамките на практическа дейност, както е посочено в т. 3.1-3.3; и за професионално облъчване, както се изисква в Раздел 4 за ситуации на аварийно облъчване и както се изисква в Раздел 5 за ситуации на съществуващо облъчване. За облъчване, дължащо се на природни (естествени) източници, тези изисквания за професионално облъчване при ситуации на планирано облъчване се прилагат, според случая, само за ситуациите на облъчване, посочени в букви а), в) и г) на т. 3.4.</w:t>
            </w:r>
          </w:p>
        </w:tc>
        <w:tc>
          <w:tcPr>
            <w:tcW w:w="1559" w:type="dxa"/>
          </w:tcPr>
          <w:p w14:paraId="0CD7A70A" w14:textId="27BF10FC" w:rsidR="00355630" w:rsidRDefault="00355630" w:rsidP="00355630">
            <w:pPr>
              <w:jc w:val="center"/>
            </w:pPr>
            <w:r>
              <w:t>NR</w:t>
            </w:r>
          </w:p>
        </w:tc>
        <w:tc>
          <w:tcPr>
            <w:tcW w:w="5987" w:type="dxa"/>
          </w:tcPr>
          <w:p w14:paraId="482FF0FE" w14:textId="1AC481D3" w:rsidR="00355630" w:rsidRDefault="00355630" w:rsidP="00355630">
            <w:r>
              <w:t>Това е пояснение, а не изискване.</w:t>
            </w:r>
          </w:p>
        </w:tc>
      </w:tr>
    </w:tbl>
    <w:p w14:paraId="5714C6D1" w14:textId="7E9603C2" w:rsidR="00815E9C" w:rsidRPr="00683002" w:rsidRDefault="00683002" w:rsidP="00190D0E">
      <w:pPr>
        <w:pStyle w:val="Heading3"/>
        <w:spacing w:before="240"/>
        <w:rPr>
          <w:caps/>
        </w:rPr>
      </w:pPr>
      <w:bookmarkStart w:id="49" w:name="_Toc155347796"/>
      <w:r>
        <w:lastRenderedPageBreak/>
        <w:t>Изискване 19: Отговорности на регулаторния орган по отношение на професионалното облъчване.</w:t>
      </w:r>
      <w:bookmarkEnd w:id="49"/>
    </w:p>
    <w:tbl>
      <w:tblPr>
        <w:tblStyle w:val="TableGrid"/>
        <w:tblW w:w="13495" w:type="dxa"/>
        <w:tblLayout w:type="fixed"/>
        <w:tblLook w:val="04A0" w:firstRow="1" w:lastRow="0" w:firstColumn="1" w:lastColumn="0" w:noHBand="0" w:noVBand="1"/>
      </w:tblPr>
      <w:tblGrid>
        <w:gridCol w:w="797"/>
        <w:gridCol w:w="5152"/>
        <w:gridCol w:w="1559"/>
        <w:gridCol w:w="5987"/>
      </w:tblGrid>
      <w:tr w:rsidR="00683002" w:rsidRPr="00F172DF" w14:paraId="0F00EF70" w14:textId="77777777" w:rsidTr="00041CA2">
        <w:trPr>
          <w:tblHeader/>
        </w:trPr>
        <w:tc>
          <w:tcPr>
            <w:tcW w:w="797" w:type="dxa"/>
          </w:tcPr>
          <w:p w14:paraId="531C21DB" w14:textId="77777777" w:rsidR="00683002" w:rsidRPr="00F172DF" w:rsidRDefault="00683002" w:rsidP="00683002">
            <w:pPr>
              <w:rPr>
                <w:b/>
                <w:bCs/>
              </w:rPr>
            </w:pPr>
          </w:p>
        </w:tc>
        <w:tc>
          <w:tcPr>
            <w:tcW w:w="5152" w:type="dxa"/>
          </w:tcPr>
          <w:p w14:paraId="794BB7E8" w14:textId="70AFD70F" w:rsidR="00683002" w:rsidRPr="00F172DF" w:rsidRDefault="00683002" w:rsidP="00683002">
            <w:pPr>
              <w:rPr>
                <w:b/>
                <w:bCs/>
              </w:rPr>
            </w:pPr>
            <w:r>
              <w:rPr>
                <w:b/>
              </w:rPr>
              <w:t>Описание</w:t>
            </w:r>
          </w:p>
        </w:tc>
        <w:tc>
          <w:tcPr>
            <w:tcW w:w="1559" w:type="dxa"/>
          </w:tcPr>
          <w:p w14:paraId="68DB27F4" w14:textId="24DA3B2F" w:rsidR="00683002" w:rsidRPr="00F172DF" w:rsidRDefault="00683002" w:rsidP="00683002">
            <w:pPr>
              <w:rPr>
                <w:b/>
                <w:bCs/>
              </w:rPr>
            </w:pPr>
            <w:r>
              <w:rPr>
                <w:b/>
              </w:rPr>
              <w:t>Съответствие</w:t>
            </w:r>
          </w:p>
        </w:tc>
        <w:tc>
          <w:tcPr>
            <w:tcW w:w="5987" w:type="dxa"/>
          </w:tcPr>
          <w:p w14:paraId="3A98B267" w14:textId="631D40BB" w:rsidR="00683002" w:rsidRPr="00F172DF" w:rsidRDefault="00683002" w:rsidP="00683002">
            <w:pPr>
              <w:rPr>
                <w:b/>
                <w:bCs/>
              </w:rPr>
            </w:pPr>
            <w:r>
              <w:rPr>
                <w:b/>
              </w:rPr>
              <w:t>Обосновка</w:t>
            </w:r>
          </w:p>
        </w:tc>
      </w:tr>
      <w:tr w:rsidR="000577CC" w14:paraId="1EF60CBE" w14:textId="77777777" w:rsidTr="00041CA2">
        <w:tc>
          <w:tcPr>
            <w:tcW w:w="797" w:type="dxa"/>
          </w:tcPr>
          <w:p w14:paraId="4E6F918C" w14:textId="77777777" w:rsidR="000577CC" w:rsidRDefault="000577CC" w:rsidP="000577CC"/>
        </w:tc>
        <w:tc>
          <w:tcPr>
            <w:tcW w:w="5152" w:type="dxa"/>
          </w:tcPr>
          <w:p w14:paraId="292F8DC3" w14:textId="4AA5BBD8" w:rsidR="000577CC" w:rsidRPr="00683002" w:rsidRDefault="000577CC" w:rsidP="000577CC">
            <w:pPr>
              <w:rPr>
                <w:b/>
                <w:bCs/>
              </w:rPr>
            </w:pPr>
            <w:r>
              <w:rPr>
                <w:b/>
              </w:rPr>
              <w:t xml:space="preserve">Правителството или регулаторният орган установяват изисквания, осигуряващи оптимизация на защитата и безопасността, а регулаторният орган осигурява спазването на </w:t>
            </w:r>
            <w:r w:rsidR="005E13DC">
              <w:rPr>
                <w:b/>
              </w:rPr>
              <w:t>дозовите ограничения</w:t>
            </w:r>
            <w:r>
              <w:rPr>
                <w:b/>
              </w:rPr>
              <w:t xml:space="preserve"> за професионално облъчване.</w:t>
            </w:r>
          </w:p>
        </w:tc>
        <w:tc>
          <w:tcPr>
            <w:tcW w:w="1559" w:type="dxa"/>
          </w:tcPr>
          <w:p w14:paraId="205E4CE1" w14:textId="6F52B0B3" w:rsidR="000577CC" w:rsidRDefault="00670FDC" w:rsidP="000577CC">
            <w:pPr>
              <w:jc w:val="center"/>
            </w:pPr>
            <w:r>
              <w:t>EP</w:t>
            </w:r>
          </w:p>
        </w:tc>
        <w:tc>
          <w:tcPr>
            <w:tcW w:w="5987" w:type="dxa"/>
          </w:tcPr>
          <w:p w14:paraId="7FD6554E" w14:textId="77777777" w:rsidR="000577CC" w:rsidRDefault="00E564B5" w:rsidP="000577CC">
            <w:pPr>
              <w:rPr>
                <w:rFonts w:eastAsiaTheme="minorHAnsi" w:cstheme="minorBidi"/>
              </w:rPr>
            </w:pPr>
            <w:r>
              <w:t>Отговорност на Правителството/Регулаторния орган.</w:t>
            </w:r>
          </w:p>
          <w:p w14:paraId="5CB821D0" w14:textId="2AE9719D" w:rsidR="00E54B5D" w:rsidRPr="00E54B5D" w:rsidRDefault="00E54B5D" w:rsidP="000577CC">
            <w:r>
              <w:t xml:space="preserve">Компанията Уестингхаус е провела разработването на проекта на AP1000 в рамките на своята призната система за управление на качеството (СУК) и е поела основната отговорност за безопасността по време на разработването на проекта. В съответствие с политиката ALARA, описана в Глава 12 на ДКП, изготвен за централата AP1000, Уестингхаус гарантира, че радиационната защита и безопасността са оптимизирани. </w:t>
            </w:r>
          </w:p>
        </w:tc>
      </w:tr>
      <w:tr w:rsidR="000577CC" w14:paraId="0101E374" w14:textId="77777777" w:rsidTr="00041CA2">
        <w:tc>
          <w:tcPr>
            <w:tcW w:w="797" w:type="dxa"/>
          </w:tcPr>
          <w:p w14:paraId="6053A93E" w14:textId="5DF32692" w:rsidR="000577CC" w:rsidRDefault="000577CC" w:rsidP="000577CC">
            <w:r>
              <w:t>3.69.</w:t>
            </w:r>
          </w:p>
        </w:tc>
        <w:tc>
          <w:tcPr>
            <w:tcW w:w="5152" w:type="dxa"/>
          </w:tcPr>
          <w:p w14:paraId="04908FA9" w14:textId="594E8E5B" w:rsidR="000577CC" w:rsidRDefault="000577CC" w:rsidP="000577CC">
            <w:r>
              <w:t>Правителството или регулаторният орган определя отговорностите на работодателите, регистрираните лица и лицензиантите по отношение на прилагането на изискванията за професионално облъчване в ситуации на планирано облъчване.</w:t>
            </w:r>
          </w:p>
        </w:tc>
        <w:tc>
          <w:tcPr>
            <w:tcW w:w="1559" w:type="dxa"/>
          </w:tcPr>
          <w:p w14:paraId="38E3FB98" w14:textId="2D0B0F8A" w:rsidR="000577CC" w:rsidRDefault="00670FDC" w:rsidP="000577CC">
            <w:pPr>
              <w:jc w:val="center"/>
            </w:pPr>
            <w:r>
              <w:t>EP</w:t>
            </w:r>
          </w:p>
        </w:tc>
        <w:tc>
          <w:tcPr>
            <w:tcW w:w="5987" w:type="dxa"/>
          </w:tcPr>
          <w:p w14:paraId="1D37CEB6" w14:textId="199ECE14" w:rsidR="000577CC" w:rsidRPr="00BB3B59" w:rsidRDefault="00E564B5" w:rsidP="000577CC">
            <w:pPr>
              <w:rPr>
                <w:rFonts w:eastAsiaTheme="minorHAnsi" w:cstheme="minorBidi"/>
                <w:kern w:val="0"/>
              </w:rPr>
            </w:pPr>
            <w:r>
              <w:t>Отговорност на Правителството/Регулаторния орган.</w:t>
            </w:r>
          </w:p>
        </w:tc>
      </w:tr>
      <w:tr w:rsidR="000577CC" w14:paraId="2BC30FF2" w14:textId="77777777" w:rsidTr="00041CA2">
        <w:tc>
          <w:tcPr>
            <w:tcW w:w="797" w:type="dxa"/>
          </w:tcPr>
          <w:p w14:paraId="407F899F" w14:textId="0780C499" w:rsidR="000577CC" w:rsidRDefault="000577CC" w:rsidP="000577CC">
            <w:r>
              <w:t>3.70.</w:t>
            </w:r>
          </w:p>
        </w:tc>
        <w:tc>
          <w:tcPr>
            <w:tcW w:w="5152" w:type="dxa"/>
          </w:tcPr>
          <w:p w14:paraId="77CF603E" w14:textId="693DFB33" w:rsidR="000577CC" w:rsidRDefault="000577CC" w:rsidP="000577CC">
            <w:r>
              <w:t>Правителството или регулаторният орган установяват и прилагат изисквания, осигуряващи оптимизация на защитата и безопасността при професионално облъчване.</w:t>
            </w:r>
          </w:p>
        </w:tc>
        <w:tc>
          <w:tcPr>
            <w:tcW w:w="1559" w:type="dxa"/>
          </w:tcPr>
          <w:p w14:paraId="69AC1AC4" w14:textId="3379DB42" w:rsidR="000577CC" w:rsidRDefault="00670FDC" w:rsidP="000577CC">
            <w:pPr>
              <w:jc w:val="center"/>
            </w:pPr>
            <w:r>
              <w:t>EP</w:t>
            </w:r>
          </w:p>
        </w:tc>
        <w:tc>
          <w:tcPr>
            <w:tcW w:w="5987" w:type="dxa"/>
          </w:tcPr>
          <w:p w14:paraId="0A8BAEF1" w14:textId="11E48A4B" w:rsidR="002B4DF7" w:rsidRPr="004F54AD" w:rsidRDefault="00E564B5" w:rsidP="000577CC">
            <w:pPr>
              <w:rPr>
                <w:rFonts w:eastAsiaTheme="minorHAnsi" w:cstheme="minorBidi"/>
                <w:kern w:val="0"/>
              </w:rPr>
            </w:pPr>
            <w:r>
              <w:t>Отговорност на Правителството/Регулаторния орган.</w:t>
            </w:r>
          </w:p>
        </w:tc>
      </w:tr>
      <w:tr w:rsidR="00365E91" w14:paraId="4F5DB45A" w14:textId="77777777" w:rsidTr="00041CA2">
        <w:tc>
          <w:tcPr>
            <w:tcW w:w="797" w:type="dxa"/>
          </w:tcPr>
          <w:p w14:paraId="754779D2" w14:textId="2CAB3600" w:rsidR="00365E91" w:rsidRDefault="00365E91" w:rsidP="00365E91">
            <w:r>
              <w:t>3.71.</w:t>
            </w:r>
          </w:p>
        </w:tc>
        <w:tc>
          <w:tcPr>
            <w:tcW w:w="5152" w:type="dxa"/>
          </w:tcPr>
          <w:p w14:paraId="5219755C" w14:textId="2D554FC0" w:rsidR="00365E91" w:rsidRPr="00B05556" w:rsidRDefault="00365E91" w:rsidP="00365E91">
            <w:pPr>
              <w:rPr>
                <w:b/>
                <w:bCs/>
              </w:rPr>
            </w:pPr>
            <w:r>
              <w:t xml:space="preserve">Правителството или регулаторният орган определя и регулаторният орган следи за спазването на </w:t>
            </w:r>
            <w:r w:rsidR="005E13DC">
              <w:t>дозовите ограничения</w:t>
            </w:r>
            <w:r>
              <w:t>, посочени в Приложение III за професионалното облъчване.</w:t>
            </w:r>
          </w:p>
        </w:tc>
        <w:tc>
          <w:tcPr>
            <w:tcW w:w="1559" w:type="dxa"/>
          </w:tcPr>
          <w:p w14:paraId="35B81EDE" w14:textId="39FBA921" w:rsidR="00365E91" w:rsidRDefault="00670FDC" w:rsidP="00365E91">
            <w:pPr>
              <w:jc w:val="center"/>
            </w:pPr>
            <w:r>
              <w:t>EP</w:t>
            </w:r>
          </w:p>
        </w:tc>
        <w:tc>
          <w:tcPr>
            <w:tcW w:w="5987" w:type="dxa"/>
          </w:tcPr>
          <w:p w14:paraId="362CDF4F" w14:textId="5DE4578F" w:rsidR="00E564B5" w:rsidRDefault="00E564B5" w:rsidP="00365E91">
            <w:pPr>
              <w:rPr>
                <w:rFonts w:eastAsiaTheme="minorHAnsi" w:cstheme="minorBidi"/>
              </w:rPr>
            </w:pPr>
            <w:r>
              <w:t>Отговорност на Правителството/Регулаторния орган.</w:t>
            </w:r>
          </w:p>
          <w:p w14:paraId="7384F952" w14:textId="5D8A44AD" w:rsidR="00365E91" w:rsidRPr="004F54AD" w:rsidRDefault="007A31ED" w:rsidP="00365E91">
            <w:pPr>
              <w:rPr>
                <w:rFonts w:eastAsiaTheme="minorHAnsi" w:cstheme="minorBidi"/>
                <w:kern w:val="0"/>
              </w:rPr>
            </w:pPr>
            <w:r>
              <w:t>Приложение III може да бъде намерено в документа, наречен “Радиационна защита и безопасност на източниците на радиация: Международни основни стандарти за безопасност”, публикуван от МААЕ.</w:t>
            </w:r>
          </w:p>
        </w:tc>
      </w:tr>
      <w:tr w:rsidR="00365E91" w14:paraId="5BF408CE" w14:textId="77777777" w:rsidTr="00041CA2">
        <w:tc>
          <w:tcPr>
            <w:tcW w:w="797" w:type="dxa"/>
          </w:tcPr>
          <w:p w14:paraId="58DCBA62" w14:textId="7346D4D7" w:rsidR="00365E91" w:rsidRDefault="00365E91" w:rsidP="00365E91">
            <w:r>
              <w:lastRenderedPageBreak/>
              <w:t>3.72.</w:t>
            </w:r>
          </w:p>
        </w:tc>
        <w:tc>
          <w:tcPr>
            <w:tcW w:w="5152" w:type="dxa"/>
          </w:tcPr>
          <w:p w14:paraId="26E72BB4" w14:textId="3FA0BD87" w:rsidR="00365E91" w:rsidRPr="00683002" w:rsidRDefault="00365E91" w:rsidP="00365E91">
            <w:pPr>
              <w:rPr>
                <w:b/>
                <w:bCs/>
              </w:rPr>
            </w:pPr>
            <w:r>
              <w:t xml:space="preserve">Преди да разреши нова или променена практическа дейност, регулаторният орган изисква, ако е необходимо, от отговорните страни да представят допълнителни документи и преглежда тези документи, които посочват: </w:t>
            </w:r>
            <w:r>
              <w:br/>
              <w:t xml:space="preserve">(а) критерии за проектиране и конструктивни особености, свързани с получаваното облъчване и потенциалното облъчване на </w:t>
            </w:r>
            <w:r w:rsidR="0074732E">
              <w:t>персонала</w:t>
            </w:r>
            <w:r>
              <w:t xml:space="preserve"> във всички експлоатационни състояния и при аварийни условия; </w:t>
            </w:r>
            <w:r>
              <w:br/>
              <w:t xml:space="preserve">(б) критерии за проектиране и конструктивни особености на съответните системи и програми за мониторинг на професионалното облъчване на </w:t>
            </w:r>
            <w:r w:rsidR="0074732E">
              <w:t>персонала</w:t>
            </w:r>
            <w:r>
              <w:t xml:space="preserve"> за всички експлоатационни състояния и при аварийни условия.</w:t>
            </w:r>
          </w:p>
        </w:tc>
        <w:tc>
          <w:tcPr>
            <w:tcW w:w="1559" w:type="dxa"/>
          </w:tcPr>
          <w:p w14:paraId="0D8453AA" w14:textId="3A917B4B" w:rsidR="00365E91" w:rsidRDefault="00670FDC" w:rsidP="00365E91">
            <w:pPr>
              <w:jc w:val="center"/>
            </w:pPr>
            <w:r>
              <w:t>EP</w:t>
            </w:r>
          </w:p>
        </w:tc>
        <w:tc>
          <w:tcPr>
            <w:tcW w:w="5987" w:type="dxa"/>
          </w:tcPr>
          <w:p w14:paraId="288A47DF" w14:textId="6D2473B2" w:rsidR="00365E91" w:rsidRPr="00FB1755" w:rsidRDefault="00E70076" w:rsidP="00365E91">
            <w:pPr>
              <w:rPr>
                <w:rFonts w:eastAsiaTheme="minorHAnsi" w:cstheme="minorBidi"/>
                <w:kern w:val="0"/>
              </w:rPr>
            </w:pPr>
            <w:r>
              <w:t>Това е отговорност на Регулаторния орган.</w:t>
            </w:r>
          </w:p>
        </w:tc>
      </w:tr>
    </w:tbl>
    <w:p w14:paraId="0EC76748" w14:textId="2D501C5A" w:rsidR="00683002" w:rsidRPr="00683002" w:rsidRDefault="00683002" w:rsidP="00190D0E">
      <w:pPr>
        <w:pStyle w:val="Heading3"/>
        <w:spacing w:before="240"/>
        <w:rPr>
          <w:caps/>
        </w:rPr>
      </w:pPr>
      <w:bookmarkStart w:id="50" w:name="_Toc155347797"/>
      <w:r>
        <w:t>Изискване 20: Изисквания за мониторинг и регистриране на професионални облъчвания</w:t>
      </w:r>
      <w:bookmarkEnd w:id="50"/>
    </w:p>
    <w:tbl>
      <w:tblPr>
        <w:tblStyle w:val="TableGrid"/>
        <w:tblW w:w="13495" w:type="dxa"/>
        <w:tblLayout w:type="fixed"/>
        <w:tblLook w:val="04A0" w:firstRow="1" w:lastRow="0" w:firstColumn="1" w:lastColumn="0" w:noHBand="0" w:noVBand="1"/>
      </w:tblPr>
      <w:tblGrid>
        <w:gridCol w:w="797"/>
        <w:gridCol w:w="5152"/>
        <w:gridCol w:w="1559"/>
        <w:gridCol w:w="5987"/>
      </w:tblGrid>
      <w:tr w:rsidR="00683002" w14:paraId="38731BEE" w14:textId="77777777" w:rsidTr="00041CA2">
        <w:trPr>
          <w:tblHeader/>
        </w:trPr>
        <w:tc>
          <w:tcPr>
            <w:tcW w:w="797" w:type="dxa"/>
          </w:tcPr>
          <w:p w14:paraId="12D1EC15" w14:textId="77777777" w:rsidR="00683002" w:rsidRDefault="00683002" w:rsidP="00683002"/>
        </w:tc>
        <w:tc>
          <w:tcPr>
            <w:tcW w:w="5152" w:type="dxa"/>
          </w:tcPr>
          <w:p w14:paraId="1A5A9A94" w14:textId="2C0A13C9" w:rsidR="00683002" w:rsidRDefault="00683002" w:rsidP="00683002">
            <w:r>
              <w:rPr>
                <w:b/>
              </w:rPr>
              <w:t>Описание</w:t>
            </w:r>
          </w:p>
        </w:tc>
        <w:tc>
          <w:tcPr>
            <w:tcW w:w="1559" w:type="dxa"/>
          </w:tcPr>
          <w:p w14:paraId="20E8D50B" w14:textId="19A5E182" w:rsidR="00683002" w:rsidRDefault="00683002" w:rsidP="00683002">
            <w:r>
              <w:rPr>
                <w:b/>
              </w:rPr>
              <w:t>Съответствие</w:t>
            </w:r>
          </w:p>
        </w:tc>
        <w:tc>
          <w:tcPr>
            <w:tcW w:w="5987" w:type="dxa"/>
          </w:tcPr>
          <w:p w14:paraId="1F41C018" w14:textId="0BC909C1" w:rsidR="00683002" w:rsidRDefault="00683002" w:rsidP="00683002">
            <w:r>
              <w:rPr>
                <w:b/>
              </w:rPr>
              <w:t>Обосновка</w:t>
            </w:r>
          </w:p>
        </w:tc>
      </w:tr>
      <w:tr w:rsidR="004E6355" w14:paraId="7CB1D9B8" w14:textId="77777777" w:rsidTr="00041CA2">
        <w:tc>
          <w:tcPr>
            <w:tcW w:w="797" w:type="dxa"/>
          </w:tcPr>
          <w:p w14:paraId="330350AE" w14:textId="77777777" w:rsidR="004E6355" w:rsidRDefault="004E6355" w:rsidP="004E6355"/>
        </w:tc>
        <w:tc>
          <w:tcPr>
            <w:tcW w:w="5152" w:type="dxa"/>
          </w:tcPr>
          <w:p w14:paraId="213AE72C" w14:textId="7494FAA0" w:rsidR="004E6355" w:rsidRPr="00683002" w:rsidRDefault="004E6355" w:rsidP="004E6355">
            <w:pPr>
              <w:rPr>
                <w:b/>
                <w:bCs/>
              </w:rPr>
            </w:pPr>
            <w:r>
              <w:rPr>
                <w:b/>
              </w:rPr>
              <w:t>Регулаторният орган установява и прилага изисквания за мониторинг и регистрация на професионалните облъчвания в ситуации на планирано облъчване.</w:t>
            </w:r>
          </w:p>
        </w:tc>
        <w:tc>
          <w:tcPr>
            <w:tcW w:w="1559" w:type="dxa"/>
          </w:tcPr>
          <w:p w14:paraId="6BC35328" w14:textId="52B0BE57" w:rsidR="004E6355" w:rsidRDefault="00670FDC" w:rsidP="004E6355">
            <w:pPr>
              <w:jc w:val="center"/>
            </w:pPr>
            <w:r>
              <w:t>EP</w:t>
            </w:r>
          </w:p>
        </w:tc>
        <w:tc>
          <w:tcPr>
            <w:tcW w:w="5987" w:type="dxa"/>
          </w:tcPr>
          <w:p w14:paraId="3F5A0D02" w14:textId="440978F2" w:rsidR="004E6355" w:rsidRPr="00EC49DB" w:rsidRDefault="00E70076" w:rsidP="00EC49DB">
            <w:pPr>
              <w:rPr>
                <w:rFonts w:eastAsiaTheme="minorHAnsi" w:cstheme="minorBidi"/>
                <w:kern w:val="0"/>
              </w:rPr>
            </w:pPr>
            <w:r>
              <w:t>Това е отговорност на Регулаторния орган.</w:t>
            </w:r>
          </w:p>
        </w:tc>
      </w:tr>
      <w:tr w:rsidR="004E6355" w14:paraId="249C078B" w14:textId="77777777" w:rsidTr="00041CA2">
        <w:tc>
          <w:tcPr>
            <w:tcW w:w="797" w:type="dxa"/>
          </w:tcPr>
          <w:p w14:paraId="4DFA596F" w14:textId="5471A350" w:rsidR="004E6355" w:rsidRDefault="004F54AD" w:rsidP="004E6355">
            <w:r>
              <w:t>3.73.</w:t>
            </w:r>
          </w:p>
        </w:tc>
        <w:tc>
          <w:tcPr>
            <w:tcW w:w="5152" w:type="dxa"/>
          </w:tcPr>
          <w:p w14:paraId="1845DF41" w14:textId="1493AE86" w:rsidR="004E6355" w:rsidRDefault="004E6355" w:rsidP="004E6355">
            <w:r>
              <w:t xml:space="preserve">Регулаторният орган отговаря, според случая, за: </w:t>
            </w:r>
            <w:r>
              <w:br/>
              <w:t xml:space="preserve">(а) установяване и прилагане на изискванията за мониторинг, регистриране и контрол на професионалните облъчвания в ситуации на планирано облъчване в съответствие с </w:t>
            </w:r>
            <w:r>
              <w:lastRenderedPageBreak/>
              <w:t xml:space="preserve">изискванията на настоящите стандарти; </w:t>
            </w:r>
            <w:r>
              <w:br/>
              <w:t xml:space="preserve">б) преглед на програмите за мониторинг на регистрираните лица и лицензиантите, които трябва да са достатъчни за осигуряване изпълнението на изискванията по отношение на професионалните облъчвания в ситуации на планирано облъчване; </w:t>
            </w:r>
            <w:r>
              <w:br/>
              <w:t xml:space="preserve">(в) издаване на официално разрешение или одобрение на доставчици на услуги по индивидуален </w:t>
            </w:r>
            <w:r w:rsidR="008D746B">
              <w:t>дозиметричен контрол</w:t>
            </w:r>
            <w:r>
              <w:t xml:space="preserve"> и калибриране; </w:t>
            </w:r>
            <w:r>
              <w:br/>
              <w:t xml:space="preserve">г) преглед на периодичните отчети за професионалното облъчване (включително резултатите от програмите за мониторинг и оценките на дозите), представени от работодатели, регистрирани лица и лицензианти; </w:t>
            </w:r>
            <w:r>
              <w:br/>
              <w:t xml:space="preserve">д) осигуряване на поддържането на записи за облъчването и резултатите от оценката на дозите на професионално облъчване; </w:t>
            </w:r>
            <w:r>
              <w:br/>
              <w:t>е) верификация на спазването в разрешената практическа дейност на изискванията за контрол на професионалното облъчване.</w:t>
            </w:r>
          </w:p>
        </w:tc>
        <w:tc>
          <w:tcPr>
            <w:tcW w:w="1559" w:type="dxa"/>
          </w:tcPr>
          <w:p w14:paraId="4B92719E" w14:textId="19FCD3BE" w:rsidR="004E6355" w:rsidRDefault="00FF1019" w:rsidP="004E6355">
            <w:pPr>
              <w:jc w:val="center"/>
            </w:pPr>
            <w:r>
              <w:lastRenderedPageBreak/>
              <w:t>EP</w:t>
            </w:r>
          </w:p>
        </w:tc>
        <w:tc>
          <w:tcPr>
            <w:tcW w:w="5987" w:type="dxa"/>
          </w:tcPr>
          <w:p w14:paraId="4C1D8C4B" w14:textId="34FDB9D1" w:rsidR="004E6355" w:rsidRPr="004F54AD" w:rsidRDefault="00E70076" w:rsidP="005156C4">
            <w:pPr>
              <w:rPr>
                <w:rFonts w:eastAsiaTheme="minorHAnsi" w:cstheme="minorBidi"/>
                <w:kern w:val="0"/>
              </w:rPr>
            </w:pPr>
            <w:r>
              <w:t>Това е отговорност на Регулаторния орган.</w:t>
            </w:r>
          </w:p>
        </w:tc>
      </w:tr>
    </w:tbl>
    <w:p w14:paraId="0A7B9814" w14:textId="009B134A" w:rsidR="00683002" w:rsidRPr="00683002" w:rsidRDefault="00683002" w:rsidP="00190D0E">
      <w:pPr>
        <w:pStyle w:val="Heading3"/>
        <w:spacing w:before="240"/>
      </w:pPr>
      <w:bookmarkStart w:id="51" w:name="_Toc155347798"/>
      <w:r>
        <w:t xml:space="preserve">Изискване 21: Отговорности на работодатели, регистрирани лица и лицензианти за защитата на </w:t>
      </w:r>
      <w:r w:rsidR="00184404">
        <w:t>персонала</w:t>
      </w:r>
      <w:bookmarkEnd w:id="51"/>
    </w:p>
    <w:tbl>
      <w:tblPr>
        <w:tblStyle w:val="TableGrid"/>
        <w:tblW w:w="13495" w:type="dxa"/>
        <w:tblLayout w:type="fixed"/>
        <w:tblLook w:val="04A0" w:firstRow="1" w:lastRow="0" w:firstColumn="1" w:lastColumn="0" w:noHBand="0" w:noVBand="1"/>
      </w:tblPr>
      <w:tblGrid>
        <w:gridCol w:w="797"/>
        <w:gridCol w:w="5152"/>
        <w:gridCol w:w="1559"/>
        <w:gridCol w:w="5987"/>
      </w:tblGrid>
      <w:tr w:rsidR="00683002" w14:paraId="3EF740ED" w14:textId="77777777" w:rsidTr="00E27DAF">
        <w:trPr>
          <w:tblHeader/>
        </w:trPr>
        <w:tc>
          <w:tcPr>
            <w:tcW w:w="797" w:type="dxa"/>
          </w:tcPr>
          <w:p w14:paraId="4285E4AC" w14:textId="77777777" w:rsidR="00683002" w:rsidRDefault="00683002" w:rsidP="00B723E1"/>
        </w:tc>
        <w:tc>
          <w:tcPr>
            <w:tcW w:w="5152" w:type="dxa"/>
          </w:tcPr>
          <w:p w14:paraId="25A2772C" w14:textId="77777777" w:rsidR="00683002" w:rsidRDefault="00683002" w:rsidP="00B723E1">
            <w:r>
              <w:rPr>
                <w:b/>
              </w:rPr>
              <w:t>Описание</w:t>
            </w:r>
          </w:p>
        </w:tc>
        <w:tc>
          <w:tcPr>
            <w:tcW w:w="1559" w:type="dxa"/>
          </w:tcPr>
          <w:p w14:paraId="64C2A0E8" w14:textId="77777777" w:rsidR="00683002" w:rsidRDefault="00683002" w:rsidP="00B723E1">
            <w:r>
              <w:rPr>
                <w:b/>
              </w:rPr>
              <w:t>Съответствие</w:t>
            </w:r>
          </w:p>
        </w:tc>
        <w:tc>
          <w:tcPr>
            <w:tcW w:w="5987" w:type="dxa"/>
          </w:tcPr>
          <w:p w14:paraId="19A3E0E4" w14:textId="77777777" w:rsidR="00683002" w:rsidRDefault="00683002" w:rsidP="00B723E1">
            <w:r>
              <w:rPr>
                <w:b/>
              </w:rPr>
              <w:t>Обосновка</w:t>
            </w:r>
          </w:p>
        </w:tc>
      </w:tr>
      <w:tr w:rsidR="00683002" w14:paraId="470110F1" w14:textId="77777777" w:rsidTr="00E27DAF">
        <w:tc>
          <w:tcPr>
            <w:tcW w:w="797" w:type="dxa"/>
          </w:tcPr>
          <w:p w14:paraId="2E82A37C" w14:textId="77777777" w:rsidR="00683002" w:rsidRDefault="00683002" w:rsidP="00B723E1"/>
        </w:tc>
        <w:tc>
          <w:tcPr>
            <w:tcW w:w="5152" w:type="dxa"/>
          </w:tcPr>
          <w:p w14:paraId="64C6884A" w14:textId="6BEA1BA8" w:rsidR="00683002" w:rsidRPr="007C366E" w:rsidRDefault="007C366E" w:rsidP="002E1378">
            <w:pPr>
              <w:spacing w:after="0"/>
              <w:rPr>
                <w:b/>
                <w:bCs/>
              </w:rPr>
            </w:pPr>
            <w:r>
              <w:rPr>
                <w:b/>
              </w:rPr>
              <w:t xml:space="preserve">Работодателите, регистрираните лица и лицензиантите са отговорни за защитата на </w:t>
            </w:r>
            <w:r w:rsidR="00184404">
              <w:rPr>
                <w:b/>
              </w:rPr>
              <w:t>персонала</w:t>
            </w:r>
            <w:r>
              <w:rPr>
                <w:b/>
              </w:rPr>
              <w:t xml:space="preserve"> от професионално облъчване. Работодателите, регистрираните лица и </w:t>
            </w:r>
            <w:r>
              <w:rPr>
                <w:b/>
              </w:rPr>
              <w:lastRenderedPageBreak/>
              <w:t xml:space="preserve">лицензиантите трябва да гарантират, че защитата и безопасността са оптимизирани и че </w:t>
            </w:r>
            <w:r w:rsidR="005E13DC">
              <w:rPr>
                <w:b/>
              </w:rPr>
              <w:t>дозовите ограничения</w:t>
            </w:r>
            <w:r>
              <w:rPr>
                <w:b/>
              </w:rPr>
              <w:t xml:space="preserve"> за професионално облъчване не се превишават.</w:t>
            </w:r>
          </w:p>
        </w:tc>
        <w:tc>
          <w:tcPr>
            <w:tcW w:w="1559" w:type="dxa"/>
          </w:tcPr>
          <w:p w14:paraId="2F675A39" w14:textId="796BE04D" w:rsidR="00683002" w:rsidRDefault="00D67198" w:rsidP="00D27590">
            <w:pPr>
              <w:jc w:val="center"/>
            </w:pPr>
            <w:r>
              <w:lastRenderedPageBreak/>
              <w:t>CWO, OR, EP</w:t>
            </w:r>
          </w:p>
        </w:tc>
        <w:tc>
          <w:tcPr>
            <w:tcW w:w="5987" w:type="dxa"/>
          </w:tcPr>
          <w:p w14:paraId="4B901557" w14:textId="3D7128EF" w:rsidR="00683002" w:rsidRDefault="00DE5355" w:rsidP="00581FC1">
            <w:pPr>
              <w:spacing w:after="180"/>
              <w:rPr>
                <w:rFonts w:eastAsiaTheme="minorHAnsi" w:cstheme="minorBidi"/>
                <w:kern w:val="0"/>
              </w:rPr>
            </w:pPr>
            <w:r>
              <w:t>Това е отговорност на Собственика/Лицензианта или/и други външни страни.</w:t>
            </w:r>
          </w:p>
          <w:p w14:paraId="235DEE80" w14:textId="4A502C78" w:rsidR="00CE6705" w:rsidRDefault="00CE6705" w:rsidP="00581FC1">
            <w:pPr>
              <w:spacing w:after="180"/>
            </w:pPr>
            <w:r>
              <w:lastRenderedPageBreak/>
              <w:t>Компанията Уестингхаус е провела разработването на проекта на AP1000 в рамките на своята призната система за управление на качеството (СУК) и е поела основната отговорност за безопасността по време на разработването на проекта. Основната цел на проекта AP1000 е да се постигне много нисък риск от увреждане на хората и околната среда. Проектът на AP1000 включва мерки за намаляване на риска за хората и околната среда по време на отделните етапи от жизнения цикъл на централата. Тези мерки са обсъдени в ДКП. Политиката ALARA потвърждава, че радиационната защита и безопасността от гледна точка на проектирането са оптимизирани.</w:t>
            </w:r>
          </w:p>
          <w:p w14:paraId="2AFD004B" w14:textId="0F33F2A5" w:rsidR="00D67198" w:rsidRDefault="00D67198" w:rsidP="00B723E1">
            <w:r>
              <w:t xml:space="preserve">Както е обяснено в Раздел 1.4 на тази оценка, настоящият проект на AP1000 е в състояние да изпълни това изискване при наличие на подходящи радиационни програми, въпреки че тези </w:t>
            </w:r>
            <w:r w:rsidR="00184404">
              <w:t>граници</w:t>
            </w:r>
            <w:r>
              <w:t xml:space="preserve"> се различават от използваните в 10 CFR 20. По такъв начин, консервативно това се смята за CWO, тъй като в определен момент потенциално може да възникне необходимост за извършване на допълнителни анализи.</w:t>
            </w:r>
          </w:p>
        </w:tc>
      </w:tr>
      <w:tr w:rsidR="00683002" w14:paraId="7C850E0A" w14:textId="77777777" w:rsidTr="00E27DAF">
        <w:tc>
          <w:tcPr>
            <w:tcW w:w="797" w:type="dxa"/>
          </w:tcPr>
          <w:p w14:paraId="0EF3C346" w14:textId="40E705C1" w:rsidR="00683002" w:rsidRDefault="007C366E" w:rsidP="007C366E">
            <w:r>
              <w:lastRenderedPageBreak/>
              <w:t>3.74.</w:t>
            </w:r>
          </w:p>
        </w:tc>
        <w:tc>
          <w:tcPr>
            <w:tcW w:w="5152" w:type="dxa"/>
          </w:tcPr>
          <w:p w14:paraId="3897001D" w14:textId="7F0C5B78" w:rsidR="00683002" w:rsidRDefault="007C366E" w:rsidP="007C366E">
            <w:r>
              <w:t xml:space="preserve">За работниците, които извършват дейности, при които са изложени или биха могли да бъдат изложени на професионално облъчване в ситуации на планирано облъчване, работодателите, регистрираните лица и лицензиантите носят отговорност за: </w:t>
            </w:r>
            <w:r>
              <w:br/>
              <w:t xml:space="preserve">(а) защитата на работниците от професионално облъчване; </w:t>
            </w:r>
            <w:r>
              <w:br/>
            </w:r>
            <w:r>
              <w:lastRenderedPageBreak/>
              <w:t>(б) спазването на други съответни изисквания на тези стандарти.</w:t>
            </w:r>
          </w:p>
        </w:tc>
        <w:tc>
          <w:tcPr>
            <w:tcW w:w="1559" w:type="dxa"/>
          </w:tcPr>
          <w:p w14:paraId="13EC2E68" w14:textId="6089C3A0" w:rsidR="00683002" w:rsidRDefault="00DE5355" w:rsidP="00D27590">
            <w:pPr>
              <w:jc w:val="center"/>
            </w:pPr>
            <w:r>
              <w:lastRenderedPageBreak/>
              <w:t>OR, EP</w:t>
            </w:r>
          </w:p>
        </w:tc>
        <w:tc>
          <w:tcPr>
            <w:tcW w:w="5987" w:type="dxa"/>
          </w:tcPr>
          <w:p w14:paraId="66BD0566" w14:textId="5B63F880" w:rsidR="00EC49DB" w:rsidRPr="004F54AD" w:rsidRDefault="00DE5355" w:rsidP="00B723E1">
            <w:pPr>
              <w:rPr>
                <w:rFonts w:eastAsiaTheme="minorHAnsi" w:cstheme="minorBidi"/>
                <w:kern w:val="0"/>
              </w:rPr>
            </w:pPr>
            <w:r>
              <w:t>Това е отговорност на Собственика/Лицензианта и/или други външни страни.</w:t>
            </w:r>
          </w:p>
        </w:tc>
      </w:tr>
      <w:tr w:rsidR="00683002" w14:paraId="68E9728F" w14:textId="77777777" w:rsidTr="00E27DAF">
        <w:tc>
          <w:tcPr>
            <w:tcW w:w="797" w:type="dxa"/>
          </w:tcPr>
          <w:p w14:paraId="17789CBB" w14:textId="5E62FF2F" w:rsidR="00683002" w:rsidRDefault="007C366E" w:rsidP="00B723E1">
            <w:r>
              <w:t>3.75.</w:t>
            </w:r>
          </w:p>
        </w:tc>
        <w:tc>
          <w:tcPr>
            <w:tcW w:w="5152" w:type="dxa"/>
          </w:tcPr>
          <w:p w14:paraId="09217898" w14:textId="63C10EF0" w:rsidR="00683002" w:rsidRDefault="007C366E" w:rsidP="007C366E">
            <w:r>
              <w:t>Работодателите, които са и регистрирани лица или лицензианти, носят отговорностите едновременно както на работодатели, така и на регистрирани лица или лицензианти.</w:t>
            </w:r>
          </w:p>
        </w:tc>
        <w:tc>
          <w:tcPr>
            <w:tcW w:w="1559" w:type="dxa"/>
          </w:tcPr>
          <w:p w14:paraId="641C1DB5" w14:textId="7CBF0050" w:rsidR="00683002" w:rsidRDefault="00DE5355" w:rsidP="00D27590">
            <w:pPr>
              <w:jc w:val="center"/>
            </w:pPr>
            <w:r>
              <w:t>OR, EP</w:t>
            </w:r>
          </w:p>
        </w:tc>
        <w:tc>
          <w:tcPr>
            <w:tcW w:w="5987" w:type="dxa"/>
          </w:tcPr>
          <w:p w14:paraId="25AC9554" w14:textId="76A23901" w:rsidR="00683002" w:rsidRDefault="00DE5355" w:rsidP="00B723E1">
            <w:r>
              <w:t>Това е отговорност на Собственика/Лицензианта и/или други външни страни.</w:t>
            </w:r>
          </w:p>
        </w:tc>
      </w:tr>
      <w:tr w:rsidR="005536C5" w14:paraId="2F02EFB4" w14:textId="77777777" w:rsidTr="00E27DAF">
        <w:tc>
          <w:tcPr>
            <w:tcW w:w="797" w:type="dxa"/>
          </w:tcPr>
          <w:p w14:paraId="5EDCB6E2" w14:textId="20FF6046" w:rsidR="005536C5" w:rsidRDefault="005536C5" w:rsidP="005536C5">
            <w:r>
              <w:t>3.76.</w:t>
            </w:r>
          </w:p>
        </w:tc>
        <w:tc>
          <w:tcPr>
            <w:tcW w:w="5152" w:type="dxa"/>
          </w:tcPr>
          <w:p w14:paraId="5460DB42" w14:textId="1DFFEBE6" w:rsidR="005536C5" w:rsidRDefault="005536C5" w:rsidP="00E038B5">
            <w:r>
              <w:t xml:space="preserve">Работодателите, регистрираните лица и лицензиантите осигуряват за всички работници, ангажирани с дейности, при които са изложени или биха могли да бъдат изложени на професионално облъчване, че: </w:t>
            </w:r>
            <w:r>
              <w:br/>
              <w:t xml:space="preserve">(а) професионалното облъчване се контролира така, че да не се превишават съответните </w:t>
            </w:r>
            <w:r w:rsidR="00184404">
              <w:t>дозови ограничения</w:t>
            </w:r>
            <w:r>
              <w:t xml:space="preserve"> за професионално облъчване, посочени в Приложение III; </w:t>
            </w:r>
            <w:r>
              <w:br/>
              <w:t>(б) защитата и безопасността са оптимизиран</w:t>
            </w:r>
            <w:r w:rsidR="00184404">
              <w:t>и</w:t>
            </w:r>
            <w:r>
              <w:t xml:space="preserve"> в съответствие с изискванията на тези стандарти; </w:t>
            </w:r>
            <w:r>
              <w:br/>
              <w:t xml:space="preserve">(в) решенията по отношение на мерките за защита и безопасност се записват и предоставят на съответните страни чрез техните представители в подходящите случаи, както е определено от регулаторния орган; </w:t>
            </w:r>
            <w:r>
              <w:br/>
              <w:t xml:space="preserve">(г) са установени политики, процедури и организационни мерки за защита и безопасност за прилагане на съответните изисквания на тези стандарти, като приоритет се дава на проектните мерки и техническите мерки за контрол на професионалното облъчване; </w:t>
            </w:r>
            <w:r>
              <w:br/>
              <w:t xml:space="preserve">(д) са осигурени подходящи и адекватни </w:t>
            </w:r>
            <w:r>
              <w:lastRenderedPageBreak/>
              <w:t xml:space="preserve">съоръжения, оборудване и услуги за защита и безопасност, чийто вид и обхват са съизмерими с очакваната вероятност и големина на професионалното облъчване; </w:t>
            </w:r>
            <w:r>
              <w:br/>
              <w:t xml:space="preserve">(е) е осигурено необходимото наблюдение на здравето на работниците и здравни услуги за тях; </w:t>
            </w:r>
            <w:r>
              <w:br/>
              <w:t xml:space="preserve">ж) е осигурено подходящо оборудване за </w:t>
            </w:r>
            <w:r w:rsidR="00184404">
              <w:t xml:space="preserve">индивидуален дозиметричен контрол </w:t>
            </w:r>
            <w:r>
              <w:t xml:space="preserve">и лични предпазни средства, и са взети мерки за правилното им използване, калибриране, изпитване и поддръжка; </w:t>
            </w:r>
            <w:r>
              <w:br/>
              <w:t xml:space="preserve">з) са осигурени подходящи и адекватни човешки ресурси и подходящо обучение в областта на защитата и безопасността, както и периодично преквалифициране, ако е необходимо, за да се осигури необходимото ниво на компетентност; </w:t>
            </w:r>
            <w:r>
              <w:br/>
              <w:t xml:space="preserve">(и) се поддържат подходящи записи в съответствие с изискванията на настоящите стандарти; </w:t>
            </w:r>
            <w:r>
              <w:br/>
              <w:t xml:space="preserve">й) са създадени условия за улесняване на консултациите и сътрудничеството с </w:t>
            </w:r>
            <w:r w:rsidR="00184404">
              <w:t>персонала</w:t>
            </w:r>
            <w:r>
              <w:t xml:space="preserve"> чрез техни представители, когато това е уместно, по отношение на защитата и безопасността по всички мерки, необходими за постигане на ефективно прилагане на настоящите стандарти; </w:t>
            </w:r>
            <w:r>
              <w:br/>
              <w:t>к) са осигурени необходимите условия за насърчаване на културата на безопасност.</w:t>
            </w:r>
          </w:p>
        </w:tc>
        <w:tc>
          <w:tcPr>
            <w:tcW w:w="1559" w:type="dxa"/>
          </w:tcPr>
          <w:p w14:paraId="22C8670B" w14:textId="507B9FBB" w:rsidR="005536C5" w:rsidRDefault="00DE5355" w:rsidP="005536C5">
            <w:pPr>
              <w:jc w:val="center"/>
            </w:pPr>
            <w:r>
              <w:lastRenderedPageBreak/>
              <w:t>OR, EP</w:t>
            </w:r>
          </w:p>
        </w:tc>
        <w:tc>
          <w:tcPr>
            <w:tcW w:w="5987" w:type="dxa"/>
          </w:tcPr>
          <w:p w14:paraId="6C4C0E52" w14:textId="5D6EBAC7" w:rsidR="00C439B1" w:rsidRDefault="00DE5355" w:rsidP="005536C5">
            <w:pPr>
              <w:rPr>
                <w:rFonts w:eastAsiaTheme="minorHAnsi" w:cstheme="minorBidi"/>
                <w:kern w:val="0"/>
              </w:rPr>
            </w:pPr>
            <w:r>
              <w:t>Това е отговорност на Собственика/Лицензианта или други външни страни.</w:t>
            </w:r>
          </w:p>
          <w:p w14:paraId="2D10F38D" w14:textId="559F3119" w:rsidR="004D0142" w:rsidRPr="004D0142" w:rsidRDefault="004D0142" w:rsidP="005536C5">
            <w:r>
              <w:t>Както е обяснено в Раздел 1.4 на тази оценка, настоящият проект на AP1000 е в състояние да изпълни това изискване при наличие на подходящи радиационни програми, въпреки че тези предели се различават от използваните в 10 CFR 20. Потенциално това може да означава необходимост от извършване допълнителни анализи.</w:t>
            </w:r>
          </w:p>
          <w:p w14:paraId="7D25D255" w14:textId="3B8D5412" w:rsidR="00D67198" w:rsidRPr="004D0142" w:rsidRDefault="004840E7" w:rsidP="005536C5">
            <w:pPr>
              <w:rPr>
                <w:rFonts w:eastAsiaTheme="minorHAnsi" w:cstheme="minorBidi"/>
                <w:kern w:val="0"/>
              </w:rPr>
            </w:pPr>
            <w:r>
              <w:t>Приложение III може да бъде намерено в документа, наречен “Радиационна защита и безопасност на източниците на радиация: Международни основни стандарти за безопасност”, публикуван от МААЕ.</w:t>
            </w:r>
          </w:p>
        </w:tc>
      </w:tr>
      <w:tr w:rsidR="00E53E59" w14:paraId="0BA23C02" w14:textId="77777777" w:rsidTr="00E27DAF">
        <w:tc>
          <w:tcPr>
            <w:tcW w:w="797" w:type="dxa"/>
          </w:tcPr>
          <w:p w14:paraId="1EB2AABA" w14:textId="17055C8A" w:rsidR="00E53E59" w:rsidRDefault="00E53E59" w:rsidP="00E53E59">
            <w:r>
              <w:t>3.77.</w:t>
            </w:r>
          </w:p>
        </w:tc>
        <w:tc>
          <w:tcPr>
            <w:tcW w:w="5152" w:type="dxa"/>
          </w:tcPr>
          <w:p w14:paraId="474C6F59" w14:textId="1600DE10" w:rsidR="00E53E59" w:rsidRPr="00815E9C" w:rsidRDefault="00E53E59" w:rsidP="00E038B5">
            <w:pPr>
              <w:rPr>
                <w:b/>
                <w:bCs/>
              </w:rPr>
            </w:pPr>
            <w:r>
              <w:t xml:space="preserve">Работодателите, регистрираните лица и лицензиантите: </w:t>
            </w:r>
            <w:r>
              <w:br/>
              <w:t xml:space="preserve">(а) въвличат работниците, чрез техните представители, когато е уместно, в оптимизирането </w:t>
            </w:r>
            <w:r>
              <w:lastRenderedPageBreak/>
              <w:t xml:space="preserve">на защитата и безопасността; </w:t>
            </w:r>
            <w:r>
              <w:br/>
              <w:t>б) установяват и използват, когато е уместно, ограничения като част от оптимизирането на защитата и безопасността.</w:t>
            </w:r>
          </w:p>
        </w:tc>
        <w:tc>
          <w:tcPr>
            <w:tcW w:w="1559" w:type="dxa"/>
          </w:tcPr>
          <w:p w14:paraId="5A5871A3" w14:textId="03942392" w:rsidR="00E53E59" w:rsidRDefault="00DE5355" w:rsidP="00E53E59">
            <w:pPr>
              <w:jc w:val="center"/>
            </w:pPr>
            <w:r>
              <w:lastRenderedPageBreak/>
              <w:t>OR, EP</w:t>
            </w:r>
          </w:p>
        </w:tc>
        <w:tc>
          <w:tcPr>
            <w:tcW w:w="5987" w:type="dxa"/>
          </w:tcPr>
          <w:p w14:paraId="0E0C5EEC" w14:textId="56BA478A" w:rsidR="00E53E59" w:rsidRDefault="00DE5355" w:rsidP="00E53E59">
            <w:r>
              <w:t>Това е отговорност на Собственика/Лицензианта или други външни страни.</w:t>
            </w:r>
          </w:p>
        </w:tc>
      </w:tr>
      <w:tr w:rsidR="00E53E59" w14:paraId="19597403" w14:textId="77777777" w:rsidTr="00E27DAF">
        <w:tc>
          <w:tcPr>
            <w:tcW w:w="797" w:type="dxa"/>
          </w:tcPr>
          <w:p w14:paraId="69E4DC03" w14:textId="6F45FDE2" w:rsidR="00E53E59" w:rsidRDefault="00E53E59" w:rsidP="00E53E59">
            <w:r>
              <w:t>3.78</w:t>
            </w:r>
          </w:p>
        </w:tc>
        <w:tc>
          <w:tcPr>
            <w:tcW w:w="5152" w:type="dxa"/>
          </w:tcPr>
          <w:p w14:paraId="0BD93D47" w14:textId="5A4E3700" w:rsidR="00E53E59" w:rsidRDefault="00E53E59" w:rsidP="00E038B5">
            <w:r>
              <w:t xml:space="preserve">Работодателите, регистрираните лица и лицензиантите гарантират, че </w:t>
            </w:r>
            <w:r w:rsidR="00184404">
              <w:t>персонала</w:t>
            </w:r>
            <w:r>
              <w:t xml:space="preserve"> изложен на </w:t>
            </w:r>
            <w:r w:rsidR="00184404">
              <w:t>йонизиращи лъчения</w:t>
            </w:r>
            <w:r>
              <w:t xml:space="preserve"> от източници в рамките на практическата дейност, които не са необходими или не са пряко свързани с работата им, имат същото ниво на защита срещу такова облъчване както лицата от населението.</w:t>
            </w:r>
          </w:p>
        </w:tc>
        <w:tc>
          <w:tcPr>
            <w:tcW w:w="1559" w:type="dxa"/>
          </w:tcPr>
          <w:p w14:paraId="28108CA2" w14:textId="651567F4" w:rsidR="00E53E59" w:rsidRDefault="00DE5355" w:rsidP="00E53E59">
            <w:pPr>
              <w:jc w:val="center"/>
            </w:pPr>
            <w:r>
              <w:t>OR, EP</w:t>
            </w:r>
          </w:p>
        </w:tc>
        <w:tc>
          <w:tcPr>
            <w:tcW w:w="5987" w:type="dxa"/>
          </w:tcPr>
          <w:p w14:paraId="1DEFF367" w14:textId="6107DC2B" w:rsidR="00E53E59" w:rsidRDefault="00DE5355" w:rsidP="00E53E59">
            <w:r>
              <w:t>Това е отговорност на Собственика/Лицензианта или други външни страни.</w:t>
            </w:r>
          </w:p>
        </w:tc>
      </w:tr>
      <w:tr w:rsidR="00E53E59" w14:paraId="69C4E3CE" w14:textId="77777777" w:rsidTr="00E27DAF">
        <w:tc>
          <w:tcPr>
            <w:tcW w:w="797" w:type="dxa"/>
          </w:tcPr>
          <w:p w14:paraId="511680E5" w14:textId="42E19966" w:rsidR="00E53E59" w:rsidRPr="004C153F" w:rsidRDefault="00E53E59" w:rsidP="00E53E59">
            <w:r>
              <w:t>3.79.</w:t>
            </w:r>
          </w:p>
        </w:tc>
        <w:tc>
          <w:tcPr>
            <w:tcW w:w="5152" w:type="dxa"/>
          </w:tcPr>
          <w:p w14:paraId="675BB73E" w14:textId="1F148FBC" w:rsidR="008106F3" w:rsidRPr="004C153F" w:rsidRDefault="00E53E59" w:rsidP="00E038B5">
            <w:r>
              <w:t xml:space="preserve">Работодателите, регистрираните лица и лицензиантите предприемат необходимите административни действия, за да гарантират, че </w:t>
            </w:r>
            <w:r w:rsidR="00184404">
              <w:t>персоналът е</w:t>
            </w:r>
            <w:r>
              <w:t xml:space="preserve"> информиран, че осигуряването на защитата и безопасността е неразделна част от общата програма за здраве и безопасност при работа, в която те имат конкретни задължения и отговорности за своята защита и за защитата на други лица от радиационно облъчване и за безопасността на източниците.</w:t>
            </w:r>
          </w:p>
        </w:tc>
        <w:tc>
          <w:tcPr>
            <w:tcW w:w="1559" w:type="dxa"/>
          </w:tcPr>
          <w:p w14:paraId="4491AE7F" w14:textId="0A29381F" w:rsidR="00E53E59" w:rsidRDefault="00DE5355" w:rsidP="00E53E59">
            <w:pPr>
              <w:jc w:val="center"/>
            </w:pPr>
            <w:r>
              <w:t>OR, EP</w:t>
            </w:r>
          </w:p>
        </w:tc>
        <w:tc>
          <w:tcPr>
            <w:tcW w:w="5987" w:type="dxa"/>
          </w:tcPr>
          <w:p w14:paraId="23E02A56" w14:textId="23BAF8BA" w:rsidR="00E53E59" w:rsidRDefault="00DE5355" w:rsidP="00E53E59">
            <w:r>
              <w:t>Това е отговорност на Собственика/Лицензианта или други външни страни.</w:t>
            </w:r>
          </w:p>
        </w:tc>
      </w:tr>
      <w:tr w:rsidR="00E53E59" w14:paraId="3F6E2AC4" w14:textId="77777777" w:rsidTr="00E27DAF">
        <w:tc>
          <w:tcPr>
            <w:tcW w:w="797" w:type="dxa"/>
          </w:tcPr>
          <w:p w14:paraId="46299E66" w14:textId="221958BF" w:rsidR="00E53E59" w:rsidRDefault="00E53E59" w:rsidP="00E53E59">
            <w:r>
              <w:t>3.80.</w:t>
            </w:r>
          </w:p>
        </w:tc>
        <w:tc>
          <w:tcPr>
            <w:tcW w:w="5152" w:type="dxa"/>
          </w:tcPr>
          <w:p w14:paraId="45AE7B1B" w14:textId="206E321D" w:rsidR="00E53E59" w:rsidRPr="00E74CD3" w:rsidRDefault="00E53E59" w:rsidP="00E53E59">
            <w:pPr>
              <w:rPr>
                <w:highlight w:val="cyan"/>
              </w:rPr>
            </w:pPr>
            <w:r>
              <w:t>Работодателите, регистрираните лица и лицензиантите регистрират всяко съобщение, получено от работник, в което се посочват обстоятелства, които биха могли да повлияят на спазването на изискванията на настоящите стандарти, и предприемат подходящи действия.</w:t>
            </w:r>
          </w:p>
        </w:tc>
        <w:tc>
          <w:tcPr>
            <w:tcW w:w="1559" w:type="dxa"/>
          </w:tcPr>
          <w:p w14:paraId="51B5A2A9" w14:textId="71286F20" w:rsidR="00E53E59" w:rsidRDefault="00DE5355" w:rsidP="00E53E59">
            <w:pPr>
              <w:jc w:val="center"/>
            </w:pPr>
            <w:r>
              <w:t>OR, EP</w:t>
            </w:r>
          </w:p>
        </w:tc>
        <w:tc>
          <w:tcPr>
            <w:tcW w:w="5987" w:type="dxa"/>
          </w:tcPr>
          <w:p w14:paraId="402DFDCB" w14:textId="6BAD5401" w:rsidR="00E53E59" w:rsidRDefault="00DE5355" w:rsidP="00E53E59">
            <w:r>
              <w:t>Това е отговорност на Собственика/Лицензианта или други външни страни.</w:t>
            </w:r>
          </w:p>
        </w:tc>
      </w:tr>
      <w:tr w:rsidR="00E53E59" w14:paraId="40E39CF5" w14:textId="77777777" w:rsidTr="00E27DAF">
        <w:tc>
          <w:tcPr>
            <w:tcW w:w="797" w:type="dxa"/>
          </w:tcPr>
          <w:p w14:paraId="37EE6581" w14:textId="5F498669" w:rsidR="00E53E59" w:rsidRDefault="00E53E59" w:rsidP="00E53E59">
            <w:r>
              <w:lastRenderedPageBreak/>
              <w:t>3.81.</w:t>
            </w:r>
          </w:p>
        </w:tc>
        <w:tc>
          <w:tcPr>
            <w:tcW w:w="5152" w:type="dxa"/>
          </w:tcPr>
          <w:p w14:paraId="4FB8C913" w14:textId="72DAD145" w:rsidR="00E53E59" w:rsidRPr="004C153F" w:rsidRDefault="00E53E59" w:rsidP="00E038B5">
            <w:r>
              <w:t xml:space="preserve">Нищо в тези стандарти не може да се тълкува като освобождаване на работодателите от задължението да спазват приложимите национални и </w:t>
            </w:r>
            <w:r w:rsidR="00804BFD">
              <w:t>вътрешни</w:t>
            </w:r>
            <w:r>
              <w:t xml:space="preserve"> закони и норми, регулиращи опасностите на работното място.</w:t>
            </w:r>
          </w:p>
        </w:tc>
        <w:tc>
          <w:tcPr>
            <w:tcW w:w="1559" w:type="dxa"/>
          </w:tcPr>
          <w:p w14:paraId="7F06B51E" w14:textId="6B1D6663" w:rsidR="00E53E59" w:rsidRDefault="00AD785A" w:rsidP="00E53E59">
            <w:pPr>
              <w:jc w:val="center"/>
            </w:pPr>
            <w:r>
              <w:t>NR</w:t>
            </w:r>
          </w:p>
        </w:tc>
        <w:tc>
          <w:tcPr>
            <w:tcW w:w="5987" w:type="dxa"/>
          </w:tcPr>
          <w:p w14:paraId="3F5F2A39" w14:textId="0762AAC7" w:rsidR="00E53E59" w:rsidRDefault="00AD785A" w:rsidP="00E53E59">
            <w:r>
              <w:t>Това е пояснение, а не изискване.</w:t>
            </w:r>
          </w:p>
        </w:tc>
      </w:tr>
      <w:tr w:rsidR="00E53E59" w14:paraId="525C4A56" w14:textId="77777777" w:rsidTr="00E27DAF">
        <w:tc>
          <w:tcPr>
            <w:tcW w:w="797" w:type="dxa"/>
          </w:tcPr>
          <w:p w14:paraId="18B8EA7C" w14:textId="34F5787B" w:rsidR="00E53E59" w:rsidRDefault="00E53E59" w:rsidP="00E53E59">
            <w:r>
              <w:t>3.82.</w:t>
            </w:r>
          </w:p>
        </w:tc>
        <w:tc>
          <w:tcPr>
            <w:tcW w:w="5152" w:type="dxa"/>
          </w:tcPr>
          <w:p w14:paraId="0908485A" w14:textId="4F9B4A30" w:rsidR="00E53E59" w:rsidRPr="004C153F" w:rsidRDefault="00E53E59" w:rsidP="00E53E59">
            <w:r>
              <w:t xml:space="preserve">Работодателите, регистрираните лица и лицензиантите улесняват спазването на изискванията на тези стандарти от </w:t>
            </w:r>
            <w:r w:rsidR="00184404">
              <w:t>персонала</w:t>
            </w:r>
            <w:r>
              <w:t>.</w:t>
            </w:r>
          </w:p>
        </w:tc>
        <w:tc>
          <w:tcPr>
            <w:tcW w:w="1559" w:type="dxa"/>
          </w:tcPr>
          <w:p w14:paraId="1DCC6C1B" w14:textId="36AA012F" w:rsidR="00E53E59" w:rsidRDefault="00DE5355" w:rsidP="00E53E59">
            <w:pPr>
              <w:jc w:val="center"/>
            </w:pPr>
            <w:r>
              <w:t>OR, EP</w:t>
            </w:r>
          </w:p>
        </w:tc>
        <w:tc>
          <w:tcPr>
            <w:tcW w:w="5987" w:type="dxa"/>
          </w:tcPr>
          <w:p w14:paraId="465BFF41" w14:textId="6FC7DB5A" w:rsidR="00E53E59" w:rsidRDefault="00DE5355" w:rsidP="00E53E59">
            <w:r>
              <w:t>Това е отговорност на Собственика/Лицензианта или други външни страни.</w:t>
            </w:r>
          </w:p>
        </w:tc>
      </w:tr>
    </w:tbl>
    <w:p w14:paraId="3B2C9550" w14:textId="1379F2AD" w:rsidR="00B05556" w:rsidRPr="007063F4" w:rsidRDefault="007063F4" w:rsidP="00190D0E">
      <w:pPr>
        <w:pStyle w:val="Heading3"/>
        <w:spacing w:before="240"/>
        <w:rPr>
          <w:caps/>
        </w:rPr>
      </w:pPr>
      <w:bookmarkStart w:id="52" w:name="_Toc155347799"/>
      <w:r>
        <w:t xml:space="preserve">Изискване 22: Спазване на изискванията от </w:t>
      </w:r>
      <w:r w:rsidR="00C93CF5">
        <w:t>персонала</w:t>
      </w:r>
      <w:bookmarkEnd w:id="52"/>
    </w:p>
    <w:tbl>
      <w:tblPr>
        <w:tblStyle w:val="TableGrid"/>
        <w:tblW w:w="13495" w:type="dxa"/>
        <w:tblLayout w:type="fixed"/>
        <w:tblLook w:val="04A0" w:firstRow="1" w:lastRow="0" w:firstColumn="1" w:lastColumn="0" w:noHBand="0" w:noVBand="1"/>
      </w:tblPr>
      <w:tblGrid>
        <w:gridCol w:w="797"/>
        <w:gridCol w:w="5152"/>
        <w:gridCol w:w="1559"/>
        <w:gridCol w:w="5987"/>
      </w:tblGrid>
      <w:tr w:rsidR="00683002" w14:paraId="515350BE" w14:textId="77777777" w:rsidTr="00E27DAF">
        <w:trPr>
          <w:tblHeader/>
        </w:trPr>
        <w:tc>
          <w:tcPr>
            <w:tcW w:w="797" w:type="dxa"/>
          </w:tcPr>
          <w:p w14:paraId="01AB6877" w14:textId="77777777" w:rsidR="00683002" w:rsidRDefault="00683002" w:rsidP="00B723E1"/>
        </w:tc>
        <w:tc>
          <w:tcPr>
            <w:tcW w:w="5152" w:type="dxa"/>
          </w:tcPr>
          <w:p w14:paraId="27D35714" w14:textId="77777777" w:rsidR="00683002" w:rsidRDefault="00683002" w:rsidP="00B723E1">
            <w:r>
              <w:rPr>
                <w:b/>
              </w:rPr>
              <w:t>Описание</w:t>
            </w:r>
          </w:p>
        </w:tc>
        <w:tc>
          <w:tcPr>
            <w:tcW w:w="1559" w:type="dxa"/>
          </w:tcPr>
          <w:p w14:paraId="71C0566F" w14:textId="77777777" w:rsidR="00683002" w:rsidRDefault="00683002" w:rsidP="00B723E1">
            <w:r>
              <w:rPr>
                <w:b/>
              </w:rPr>
              <w:t>Съответствие</w:t>
            </w:r>
          </w:p>
        </w:tc>
        <w:tc>
          <w:tcPr>
            <w:tcW w:w="5987" w:type="dxa"/>
          </w:tcPr>
          <w:p w14:paraId="7AC0CBB1" w14:textId="77777777" w:rsidR="00683002" w:rsidRDefault="00683002" w:rsidP="00B723E1">
            <w:r>
              <w:rPr>
                <w:b/>
              </w:rPr>
              <w:t>Обосновка</w:t>
            </w:r>
          </w:p>
        </w:tc>
      </w:tr>
      <w:tr w:rsidR="00E74CD3" w14:paraId="3FB814C4" w14:textId="77777777" w:rsidTr="00E27DAF">
        <w:tc>
          <w:tcPr>
            <w:tcW w:w="797" w:type="dxa"/>
          </w:tcPr>
          <w:p w14:paraId="044D6437" w14:textId="77777777" w:rsidR="00E74CD3" w:rsidRDefault="00E74CD3" w:rsidP="00E74CD3"/>
        </w:tc>
        <w:tc>
          <w:tcPr>
            <w:tcW w:w="5152" w:type="dxa"/>
          </w:tcPr>
          <w:p w14:paraId="280A47A2" w14:textId="7EBC8784" w:rsidR="00E74CD3" w:rsidRPr="007063F4" w:rsidRDefault="00C93CF5" w:rsidP="00E038B5">
            <w:pPr>
              <w:rPr>
                <w:b/>
                <w:bCs/>
              </w:rPr>
            </w:pPr>
            <w:r>
              <w:rPr>
                <w:b/>
              </w:rPr>
              <w:t>Персоналът</w:t>
            </w:r>
            <w:r w:rsidR="00E74CD3">
              <w:rPr>
                <w:b/>
              </w:rPr>
              <w:t xml:space="preserve"> изпълнява задълженията си и спазва задълженията си по защитата и безопасността.</w:t>
            </w:r>
          </w:p>
        </w:tc>
        <w:tc>
          <w:tcPr>
            <w:tcW w:w="1559" w:type="dxa"/>
          </w:tcPr>
          <w:p w14:paraId="2D6AC76D" w14:textId="7ACA3AB3" w:rsidR="00E74CD3" w:rsidRDefault="00DE5355" w:rsidP="00E74CD3">
            <w:pPr>
              <w:jc w:val="center"/>
            </w:pPr>
            <w:r>
              <w:t>OR</w:t>
            </w:r>
          </w:p>
        </w:tc>
        <w:tc>
          <w:tcPr>
            <w:tcW w:w="5987" w:type="dxa"/>
          </w:tcPr>
          <w:p w14:paraId="74717590" w14:textId="486EC901" w:rsidR="00E74CD3" w:rsidRDefault="00DE5355" w:rsidP="00581FC1">
            <w:pPr>
              <w:spacing w:after="200"/>
            </w:pPr>
            <w:r>
              <w:t>Собственикът/Лицензиантът е длъжен да гарантира, че служителите спазват установените правила.</w:t>
            </w:r>
          </w:p>
        </w:tc>
      </w:tr>
      <w:tr w:rsidR="00E74CD3" w14:paraId="60EF0A83" w14:textId="77777777" w:rsidTr="00E27DAF">
        <w:tc>
          <w:tcPr>
            <w:tcW w:w="797" w:type="dxa"/>
          </w:tcPr>
          <w:p w14:paraId="14017BFF" w14:textId="399F4972" w:rsidR="00E74CD3" w:rsidRDefault="00E74CD3" w:rsidP="00E74CD3">
            <w:r>
              <w:t>3.83.</w:t>
            </w:r>
          </w:p>
        </w:tc>
        <w:tc>
          <w:tcPr>
            <w:tcW w:w="5152" w:type="dxa"/>
          </w:tcPr>
          <w:p w14:paraId="17FEA27B" w14:textId="2873733D" w:rsidR="00E74CD3" w:rsidRDefault="00C93CF5" w:rsidP="00E038B5">
            <w:r>
              <w:t>Персоналът</w:t>
            </w:r>
            <w:r w:rsidR="00E74CD3">
              <w:t xml:space="preserve">: </w:t>
            </w:r>
            <w:r w:rsidR="00E74CD3">
              <w:br/>
              <w:t xml:space="preserve">(а) спазват всички приложими правила и процедури за защита и безопасност, определени от работодателя, регистрираното лице или лицензианта; </w:t>
            </w:r>
            <w:r w:rsidR="00E74CD3">
              <w:br/>
              <w:t xml:space="preserve">б) използват правилно предоставеното оборудване за </w:t>
            </w:r>
            <w:r w:rsidR="00074A0C">
              <w:t>индивидуален дозиметричен контрол</w:t>
            </w:r>
            <w:r w:rsidR="00E74CD3">
              <w:t xml:space="preserve"> и лични предпазни средства; </w:t>
            </w:r>
            <w:r w:rsidR="00E74CD3">
              <w:br/>
              <w:t xml:space="preserve">в) сътрудничат на работодателя, регистрираното лице или лицензианта по отношение на защитата и безопасността, както и на програмите за наблюдение на здравето на </w:t>
            </w:r>
            <w:r w:rsidR="00074A0C">
              <w:t>персонала</w:t>
            </w:r>
            <w:r w:rsidR="00E74CD3">
              <w:t xml:space="preserve"> и програмите за оценка на дозите; </w:t>
            </w:r>
            <w:r w:rsidR="00E74CD3">
              <w:br/>
            </w:r>
            <w:r w:rsidR="00E74CD3">
              <w:lastRenderedPageBreak/>
              <w:t xml:space="preserve">(г) предоставят на работодателя, регистрираното лице или лицензианта такава информация за своята предишна и настояща работа, която е от значение за осигуряването на ефективна и всеобхватна защита и безопасност за тях самите и за другите; </w:t>
            </w:r>
            <w:r w:rsidR="00E74CD3">
              <w:br/>
              <w:t xml:space="preserve">д) въздържат се от всякакви умишлени действия, които биха могли да поставят тях самите или другите в ситуации, които не биха били в съответствие с изискванията на настоящите стандарти; </w:t>
            </w:r>
            <w:r w:rsidR="00655A19">
              <w:br/>
            </w:r>
            <w:r w:rsidR="00E74CD3">
              <w:t>е) приемат такава информация, инструктаж и обучение по защита и безопасност, които ще им позволят да извършват работата си в съответствие с изискванията на настоящите стандарти.</w:t>
            </w:r>
          </w:p>
        </w:tc>
        <w:tc>
          <w:tcPr>
            <w:tcW w:w="1559" w:type="dxa"/>
          </w:tcPr>
          <w:p w14:paraId="1EAC0F0B" w14:textId="2E0198D3" w:rsidR="00E74CD3" w:rsidRDefault="00DE5355" w:rsidP="00E74CD3">
            <w:pPr>
              <w:jc w:val="center"/>
            </w:pPr>
            <w:r>
              <w:lastRenderedPageBreak/>
              <w:t>OR</w:t>
            </w:r>
          </w:p>
        </w:tc>
        <w:tc>
          <w:tcPr>
            <w:tcW w:w="5987" w:type="dxa"/>
          </w:tcPr>
          <w:p w14:paraId="49C9E1FA" w14:textId="69AE059D" w:rsidR="00E74CD3" w:rsidRDefault="00DE5355" w:rsidP="00E74CD3">
            <w:r>
              <w:t>Отговорност на Собственикът/Лицензиантът е да гарантира, че служителите са добре информирани за установените правила и ги спазват.</w:t>
            </w:r>
          </w:p>
        </w:tc>
      </w:tr>
      <w:tr w:rsidR="00E74CD3" w14:paraId="79CABC63" w14:textId="77777777" w:rsidTr="00E27DAF">
        <w:tc>
          <w:tcPr>
            <w:tcW w:w="797" w:type="dxa"/>
          </w:tcPr>
          <w:p w14:paraId="4D73237F" w14:textId="735ABE10" w:rsidR="00E74CD3" w:rsidRDefault="00E74CD3" w:rsidP="00E74CD3">
            <w:r>
              <w:t>3.84.</w:t>
            </w:r>
          </w:p>
        </w:tc>
        <w:tc>
          <w:tcPr>
            <w:tcW w:w="5152" w:type="dxa"/>
          </w:tcPr>
          <w:p w14:paraId="5525AC28" w14:textId="0753682D" w:rsidR="00E74CD3" w:rsidRDefault="00E74CD3" w:rsidP="00E038B5">
            <w:r>
              <w:t>Работник, който установи обстоятелства, които биха могли да окажат неблагоприятно въздействие върху защитата и безопасността, трябва да съобщи за тези обстоятелства на работодателя, регистрираното лице и лицензианта възможно най-скоро.</w:t>
            </w:r>
          </w:p>
        </w:tc>
        <w:tc>
          <w:tcPr>
            <w:tcW w:w="1559" w:type="dxa"/>
          </w:tcPr>
          <w:p w14:paraId="214A5F63" w14:textId="5CC84416" w:rsidR="00E74CD3" w:rsidRDefault="00DE5355" w:rsidP="00E74CD3">
            <w:pPr>
              <w:jc w:val="center"/>
            </w:pPr>
            <w:r>
              <w:t>OR</w:t>
            </w:r>
          </w:p>
        </w:tc>
        <w:tc>
          <w:tcPr>
            <w:tcW w:w="5987" w:type="dxa"/>
          </w:tcPr>
          <w:p w14:paraId="3D3A1F2C" w14:textId="7E8A9F62" w:rsidR="00E74CD3" w:rsidRDefault="00DE5355" w:rsidP="00E74CD3">
            <w:r>
              <w:t>Отговорност на Собственикът/Лицензиантът е да гарантира, че служителите са добре информирани за установените правила и ги спазват.</w:t>
            </w:r>
          </w:p>
        </w:tc>
      </w:tr>
    </w:tbl>
    <w:p w14:paraId="00A491AB" w14:textId="4C05B75F" w:rsidR="00683002" w:rsidRPr="00A1109E" w:rsidRDefault="007063F4" w:rsidP="00190D0E">
      <w:pPr>
        <w:pStyle w:val="Heading3"/>
        <w:spacing w:before="240"/>
        <w:rPr>
          <w:caps/>
        </w:rPr>
      </w:pPr>
      <w:bookmarkStart w:id="53" w:name="_Toc155347800"/>
      <w:r>
        <w:t>Изискване 23: Сътрудничество между работодатели и регистрирани лица и лицензианти</w:t>
      </w:r>
      <w:bookmarkEnd w:id="53"/>
    </w:p>
    <w:tbl>
      <w:tblPr>
        <w:tblStyle w:val="TableGrid"/>
        <w:tblW w:w="13495" w:type="dxa"/>
        <w:tblLayout w:type="fixed"/>
        <w:tblLook w:val="04A0" w:firstRow="1" w:lastRow="0" w:firstColumn="1" w:lastColumn="0" w:noHBand="0" w:noVBand="1"/>
      </w:tblPr>
      <w:tblGrid>
        <w:gridCol w:w="797"/>
        <w:gridCol w:w="5152"/>
        <w:gridCol w:w="1559"/>
        <w:gridCol w:w="5987"/>
      </w:tblGrid>
      <w:tr w:rsidR="00683002" w14:paraId="678F61D5" w14:textId="77777777" w:rsidTr="00E27DAF">
        <w:trPr>
          <w:tblHeader/>
        </w:trPr>
        <w:tc>
          <w:tcPr>
            <w:tcW w:w="797" w:type="dxa"/>
          </w:tcPr>
          <w:p w14:paraId="4474ECE4" w14:textId="77777777" w:rsidR="00683002" w:rsidRDefault="00683002" w:rsidP="00B723E1"/>
        </w:tc>
        <w:tc>
          <w:tcPr>
            <w:tcW w:w="5152" w:type="dxa"/>
          </w:tcPr>
          <w:p w14:paraId="54B0C144" w14:textId="77777777" w:rsidR="00683002" w:rsidRDefault="00683002" w:rsidP="00B723E1">
            <w:r>
              <w:rPr>
                <w:b/>
              </w:rPr>
              <w:t>Описание</w:t>
            </w:r>
          </w:p>
        </w:tc>
        <w:tc>
          <w:tcPr>
            <w:tcW w:w="1559" w:type="dxa"/>
          </w:tcPr>
          <w:p w14:paraId="1BF33C3A" w14:textId="77777777" w:rsidR="00683002" w:rsidRDefault="00683002" w:rsidP="00B723E1">
            <w:r>
              <w:rPr>
                <w:b/>
              </w:rPr>
              <w:t>Съответствие</w:t>
            </w:r>
          </w:p>
        </w:tc>
        <w:tc>
          <w:tcPr>
            <w:tcW w:w="5987" w:type="dxa"/>
          </w:tcPr>
          <w:p w14:paraId="5D5A2D79" w14:textId="77777777" w:rsidR="00683002" w:rsidRDefault="00683002" w:rsidP="00B723E1">
            <w:r>
              <w:rPr>
                <w:b/>
              </w:rPr>
              <w:t>Обосновка</w:t>
            </w:r>
          </w:p>
        </w:tc>
      </w:tr>
      <w:tr w:rsidR="003B11CD" w14:paraId="26EF37E2" w14:textId="77777777" w:rsidTr="00E27DAF">
        <w:tc>
          <w:tcPr>
            <w:tcW w:w="797" w:type="dxa"/>
          </w:tcPr>
          <w:p w14:paraId="02A91148" w14:textId="77777777" w:rsidR="003B11CD" w:rsidRDefault="003B11CD" w:rsidP="003B11CD"/>
        </w:tc>
        <w:tc>
          <w:tcPr>
            <w:tcW w:w="5152" w:type="dxa"/>
          </w:tcPr>
          <w:p w14:paraId="2B08B606" w14:textId="3E64599A" w:rsidR="003B11CD" w:rsidRPr="00A1109E" w:rsidRDefault="003B11CD" w:rsidP="003B11CD">
            <w:pPr>
              <w:rPr>
                <w:b/>
                <w:bCs/>
              </w:rPr>
            </w:pPr>
            <w:r>
              <w:rPr>
                <w:b/>
              </w:rPr>
              <w:t>Работодателите, регистрираните лица и лицензиантите си сътрудничат до степента, необходима за спазването на изискванията за защита и безопасност от всички отговорни страни.</w:t>
            </w:r>
          </w:p>
        </w:tc>
        <w:tc>
          <w:tcPr>
            <w:tcW w:w="1559" w:type="dxa"/>
          </w:tcPr>
          <w:p w14:paraId="083BC6DF" w14:textId="0311B14B" w:rsidR="003B11CD" w:rsidRPr="007D07CB" w:rsidRDefault="00DE5355" w:rsidP="003B11CD">
            <w:pPr>
              <w:jc w:val="center"/>
            </w:pPr>
            <w:r>
              <w:t>OR, EP</w:t>
            </w:r>
          </w:p>
        </w:tc>
        <w:tc>
          <w:tcPr>
            <w:tcW w:w="5987" w:type="dxa"/>
          </w:tcPr>
          <w:p w14:paraId="78491673" w14:textId="678C082F" w:rsidR="003B11CD" w:rsidRDefault="00DE5355" w:rsidP="003B11CD">
            <w:r>
              <w:t>Това е отговорност на Собственика/Лицензианта и/или други външни страни.</w:t>
            </w:r>
          </w:p>
        </w:tc>
      </w:tr>
      <w:tr w:rsidR="00FB178C" w14:paraId="56747C5D" w14:textId="77777777" w:rsidTr="00E27DAF">
        <w:tc>
          <w:tcPr>
            <w:tcW w:w="797" w:type="dxa"/>
          </w:tcPr>
          <w:p w14:paraId="423FA78D" w14:textId="162918CE" w:rsidR="00FB178C" w:rsidRDefault="00FB178C" w:rsidP="00FB178C">
            <w:r>
              <w:lastRenderedPageBreak/>
              <w:t>3.85.</w:t>
            </w:r>
          </w:p>
        </w:tc>
        <w:tc>
          <w:tcPr>
            <w:tcW w:w="5152" w:type="dxa"/>
          </w:tcPr>
          <w:p w14:paraId="1F0BACE2" w14:textId="75832AC8" w:rsidR="00FB178C" w:rsidRPr="00FB178C" w:rsidRDefault="00FB178C" w:rsidP="00FB178C">
            <w:pPr>
              <w:rPr>
                <w:highlight w:val="cyan"/>
              </w:rPr>
            </w:pPr>
            <w:r>
              <w:t>Ако работниците са ангажирани с работа, която включва или може да включва източник, който не е под контрола на техния работодател, регистрираното лице и лицензиантът, отговорен за източника, и този работодател трябва да си сътрудничат до степента, необходима за спазване и от двете страни на изискванията на настоящите стандарти.</w:t>
            </w:r>
          </w:p>
        </w:tc>
        <w:tc>
          <w:tcPr>
            <w:tcW w:w="1559" w:type="dxa"/>
          </w:tcPr>
          <w:p w14:paraId="1DF419B8" w14:textId="7AF2246F" w:rsidR="00FB178C" w:rsidRDefault="00DE5355" w:rsidP="00FB178C">
            <w:pPr>
              <w:jc w:val="center"/>
            </w:pPr>
            <w:r>
              <w:t>OR, EP</w:t>
            </w:r>
          </w:p>
        </w:tc>
        <w:tc>
          <w:tcPr>
            <w:tcW w:w="5987" w:type="dxa"/>
          </w:tcPr>
          <w:p w14:paraId="388B637D" w14:textId="543F7ED8" w:rsidR="00FB178C" w:rsidRDefault="00DE5355" w:rsidP="00FB178C">
            <w:r>
              <w:t>Това е отговорност на Собственика/Лицензианта и/или други външни страни.</w:t>
            </w:r>
          </w:p>
        </w:tc>
      </w:tr>
      <w:tr w:rsidR="00FB178C" w14:paraId="1D11642B" w14:textId="77777777" w:rsidTr="00E27DAF">
        <w:tc>
          <w:tcPr>
            <w:tcW w:w="797" w:type="dxa"/>
          </w:tcPr>
          <w:p w14:paraId="4DD3E057" w14:textId="0532E363" w:rsidR="00FB178C" w:rsidRDefault="00FB178C" w:rsidP="00FB178C">
            <w:r>
              <w:t>3.86.</w:t>
            </w:r>
          </w:p>
        </w:tc>
        <w:tc>
          <w:tcPr>
            <w:tcW w:w="5152" w:type="dxa"/>
          </w:tcPr>
          <w:p w14:paraId="54523A4D" w14:textId="7018B44A" w:rsidR="00FB178C" w:rsidRPr="00A1109E" w:rsidRDefault="00FB178C" w:rsidP="00FB178C">
            <w:r>
              <w:t xml:space="preserve">Сътрудничеството между работодателя и регистрираното лице или лицензианта в съответните случаи включва: </w:t>
            </w:r>
            <w:r>
              <w:br/>
              <w:t xml:space="preserve">(а) разработване и използване на конкретни мерки за ограничаване на облъчването и други средства, гарантиращи, че мерките за защита и безопасност </w:t>
            </w:r>
            <w:r w:rsidR="009A3B14">
              <w:t xml:space="preserve">на </w:t>
            </w:r>
            <w:r>
              <w:t xml:space="preserve">работниците, които извършват работа, включваща или можеща да включва източник, който не е под контрола на техния работодател, са поне толкова добри, колкото тези за работниците на регистрираното лице и лицензианта; </w:t>
            </w:r>
            <w:r>
              <w:br/>
              <w:t xml:space="preserve">б) конкретни оценки на дозите, получавани от работниците, както е посочено в буква а) по-горе; </w:t>
            </w:r>
            <w:r>
              <w:br/>
              <w:t>в) ясно разпределение и документиране на отговорностите на работодателя и тези на регистрираното лице и лицензианта за осигуряване на защитата и безопасността.</w:t>
            </w:r>
          </w:p>
        </w:tc>
        <w:tc>
          <w:tcPr>
            <w:tcW w:w="1559" w:type="dxa"/>
          </w:tcPr>
          <w:p w14:paraId="71938DDC" w14:textId="60A014D9" w:rsidR="00FB178C" w:rsidRDefault="00DE5355" w:rsidP="00FB178C">
            <w:pPr>
              <w:jc w:val="center"/>
            </w:pPr>
            <w:r>
              <w:t>OR, EP</w:t>
            </w:r>
          </w:p>
        </w:tc>
        <w:tc>
          <w:tcPr>
            <w:tcW w:w="5987" w:type="dxa"/>
          </w:tcPr>
          <w:p w14:paraId="44B634B9" w14:textId="10D007CB" w:rsidR="00FB178C" w:rsidRDefault="00DE5355" w:rsidP="00FB178C">
            <w:r>
              <w:t>Това е отговорност на Собственика/Лицензианта и/или други външни страни.</w:t>
            </w:r>
          </w:p>
        </w:tc>
      </w:tr>
      <w:tr w:rsidR="00FB178C" w14:paraId="4B721EC4" w14:textId="77777777" w:rsidTr="00E27DAF">
        <w:tc>
          <w:tcPr>
            <w:tcW w:w="797" w:type="dxa"/>
          </w:tcPr>
          <w:p w14:paraId="3F3C799F" w14:textId="3E192E53" w:rsidR="00FB178C" w:rsidRDefault="00FB178C" w:rsidP="00FB178C">
            <w:r>
              <w:t>3.87.</w:t>
            </w:r>
          </w:p>
        </w:tc>
        <w:tc>
          <w:tcPr>
            <w:tcW w:w="5152" w:type="dxa"/>
          </w:tcPr>
          <w:p w14:paraId="0E12A4DA" w14:textId="0137E515" w:rsidR="00FB178C" w:rsidRPr="00A1109E" w:rsidRDefault="00FB178C" w:rsidP="008E30BB">
            <w:r>
              <w:t xml:space="preserve">Като част от сътрудничеството между страните, регистрираното лице и лицензиантът, отговорен за източника или за облъчването, според случая: </w:t>
            </w:r>
            <w:r>
              <w:br/>
              <w:t xml:space="preserve">(а) получава от служителите, включително от </w:t>
            </w:r>
            <w:r>
              <w:lastRenderedPageBreak/>
              <w:t xml:space="preserve">самонаети лица, информация за предишното професионално облъчване на работниците, както е посочено в т. 3.103, както и всяка друга необходима информация; </w:t>
            </w:r>
            <w:r>
              <w:br/>
              <w:t xml:space="preserve">б) предоставя подходяща информация на работодателя, включително всяка налична информация, свързана със спазването на изискванията на настоящите стандарти, която работодателят поиска; </w:t>
            </w:r>
            <w:r>
              <w:br/>
              <w:t>в) предоставя на работника и на работодателя съответните записи за облъчването.</w:t>
            </w:r>
          </w:p>
        </w:tc>
        <w:tc>
          <w:tcPr>
            <w:tcW w:w="1559" w:type="dxa"/>
          </w:tcPr>
          <w:p w14:paraId="7C4AFBBC" w14:textId="12F32025" w:rsidR="00FB178C" w:rsidRDefault="00DE5355" w:rsidP="00FB178C">
            <w:pPr>
              <w:jc w:val="center"/>
            </w:pPr>
            <w:r>
              <w:lastRenderedPageBreak/>
              <w:t>OR, EP</w:t>
            </w:r>
          </w:p>
        </w:tc>
        <w:tc>
          <w:tcPr>
            <w:tcW w:w="5987" w:type="dxa"/>
          </w:tcPr>
          <w:p w14:paraId="63A85282" w14:textId="2FD8912C" w:rsidR="00FB178C" w:rsidRDefault="00DE5355" w:rsidP="00FB178C">
            <w:r>
              <w:t>Това е отговорност на Собственика/Лицензианта и/или други външни страни.</w:t>
            </w:r>
          </w:p>
        </w:tc>
      </w:tr>
    </w:tbl>
    <w:p w14:paraId="0F27A131" w14:textId="5F7A9EDE" w:rsidR="00683002" w:rsidRPr="007063F4" w:rsidRDefault="007063F4" w:rsidP="00190D0E">
      <w:pPr>
        <w:pStyle w:val="Heading3"/>
        <w:spacing w:before="240"/>
        <w:rPr>
          <w:caps/>
        </w:rPr>
      </w:pPr>
      <w:bookmarkStart w:id="54" w:name="_Toc155347801"/>
      <w:r>
        <w:t>Изискване 24: Мерки в рамките на програмата за радиационна защита</w:t>
      </w:r>
      <w:bookmarkEnd w:id="54"/>
    </w:p>
    <w:tbl>
      <w:tblPr>
        <w:tblStyle w:val="TableGrid"/>
        <w:tblW w:w="13495" w:type="dxa"/>
        <w:tblLayout w:type="fixed"/>
        <w:tblLook w:val="04A0" w:firstRow="1" w:lastRow="0" w:firstColumn="1" w:lastColumn="0" w:noHBand="0" w:noVBand="1"/>
      </w:tblPr>
      <w:tblGrid>
        <w:gridCol w:w="797"/>
        <w:gridCol w:w="5152"/>
        <w:gridCol w:w="1559"/>
        <w:gridCol w:w="5987"/>
      </w:tblGrid>
      <w:tr w:rsidR="00683002" w14:paraId="022FF1C0" w14:textId="77777777" w:rsidTr="00AA7685">
        <w:trPr>
          <w:tblHeader/>
        </w:trPr>
        <w:tc>
          <w:tcPr>
            <w:tcW w:w="797" w:type="dxa"/>
          </w:tcPr>
          <w:p w14:paraId="7E5F93E3" w14:textId="77777777" w:rsidR="00683002" w:rsidRDefault="00683002" w:rsidP="00B723E1"/>
        </w:tc>
        <w:tc>
          <w:tcPr>
            <w:tcW w:w="5152" w:type="dxa"/>
          </w:tcPr>
          <w:p w14:paraId="33B9696C" w14:textId="77777777" w:rsidR="00683002" w:rsidRDefault="00683002" w:rsidP="00B723E1">
            <w:r>
              <w:rPr>
                <w:b/>
              </w:rPr>
              <w:t>Описание</w:t>
            </w:r>
          </w:p>
        </w:tc>
        <w:tc>
          <w:tcPr>
            <w:tcW w:w="1559" w:type="dxa"/>
          </w:tcPr>
          <w:p w14:paraId="6B0E14BF" w14:textId="77777777" w:rsidR="00683002" w:rsidRDefault="00683002" w:rsidP="00B723E1">
            <w:r>
              <w:rPr>
                <w:b/>
              </w:rPr>
              <w:t>Съответствие</w:t>
            </w:r>
          </w:p>
        </w:tc>
        <w:tc>
          <w:tcPr>
            <w:tcW w:w="5987" w:type="dxa"/>
          </w:tcPr>
          <w:p w14:paraId="163ECC4A" w14:textId="77777777" w:rsidR="00683002" w:rsidRDefault="00683002" w:rsidP="00B723E1">
            <w:r>
              <w:rPr>
                <w:b/>
              </w:rPr>
              <w:t>Обосновка</w:t>
            </w:r>
          </w:p>
        </w:tc>
      </w:tr>
      <w:tr w:rsidR="00FB178C" w14:paraId="2CC80D40" w14:textId="77777777" w:rsidTr="00AA7685">
        <w:tc>
          <w:tcPr>
            <w:tcW w:w="797" w:type="dxa"/>
          </w:tcPr>
          <w:p w14:paraId="045A1571" w14:textId="5FA54C86" w:rsidR="00FB178C" w:rsidRDefault="00FB178C" w:rsidP="00FB178C"/>
        </w:tc>
        <w:tc>
          <w:tcPr>
            <w:tcW w:w="5152" w:type="dxa"/>
          </w:tcPr>
          <w:p w14:paraId="0EF5367F" w14:textId="7EC95F82" w:rsidR="00FB178C" w:rsidRPr="007063F4" w:rsidRDefault="00FB178C" w:rsidP="00FB178C">
            <w:pPr>
              <w:rPr>
                <w:b/>
                <w:bCs/>
              </w:rPr>
            </w:pPr>
            <w:r>
              <w:rPr>
                <w:b/>
              </w:rPr>
              <w:t xml:space="preserve">Работодателите, регистрираните лица и лицензиантите създават и поддържат организационни, процедурни и технически мерки за определяне на контролирани и наблюдавани зони, за </w:t>
            </w:r>
            <w:r w:rsidR="00804BFD">
              <w:rPr>
                <w:b/>
              </w:rPr>
              <w:t>вътрешни</w:t>
            </w:r>
            <w:r>
              <w:rPr>
                <w:b/>
              </w:rPr>
              <w:t xml:space="preserve"> правила и за наблюдение на работното място в рамките на програма за радиационна защита при професионално облъчване.</w:t>
            </w:r>
          </w:p>
        </w:tc>
        <w:tc>
          <w:tcPr>
            <w:tcW w:w="1559" w:type="dxa"/>
          </w:tcPr>
          <w:p w14:paraId="70385135" w14:textId="53A74BAD" w:rsidR="00FB178C" w:rsidRDefault="00DE5355" w:rsidP="00FB178C">
            <w:pPr>
              <w:jc w:val="center"/>
            </w:pPr>
            <w:r>
              <w:t>OR, EP</w:t>
            </w:r>
          </w:p>
        </w:tc>
        <w:tc>
          <w:tcPr>
            <w:tcW w:w="5987" w:type="dxa"/>
          </w:tcPr>
          <w:p w14:paraId="3FCF223A" w14:textId="1FB17937" w:rsidR="00FB178C" w:rsidRDefault="00DE5355" w:rsidP="00FB178C">
            <w:pPr>
              <w:rPr>
                <w:rFonts w:eastAsiaTheme="minorHAnsi" w:cstheme="minorBidi"/>
                <w:kern w:val="0"/>
              </w:rPr>
            </w:pPr>
            <w:r>
              <w:t>Това е отговорност на Собственика/Лицензианта и/или други външни страни.</w:t>
            </w:r>
          </w:p>
          <w:p w14:paraId="498F7540" w14:textId="3FDED3D0" w:rsidR="0005027B" w:rsidRPr="006A6943" w:rsidRDefault="00FB178C" w:rsidP="00A12A88">
            <w:pPr>
              <w:spacing w:after="0"/>
              <w:rPr>
                <w:rFonts w:eastAsiaTheme="minorEastAsia" w:cstheme="minorBidi"/>
              </w:rPr>
            </w:pPr>
            <w:r>
              <w:t xml:space="preserve">При поискване компанията Уестингхаус може да окаже съдействие при установяването на процедурни и технически мерки в областта на програмата за радиационна защита при професионално облъчване. В Глава 12 на ДКП, изготвена за централата AP1000, са описани радиационната защита и безопасността, които могат да бъдат полезни в този случай. Подраздел 12.3 описва зонирането и риска от радиоактивно облъчване в изброените зони. Той може да се използва като основа за оценка на очакваните годишни дози и вероятността и големината на потенциалното облъчване. В </w:t>
            </w:r>
            <w:r>
              <w:lastRenderedPageBreak/>
              <w:t>централата AP1000 се използват следните радиационни зони:</w:t>
            </w:r>
          </w:p>
          <w:tbl>
            <w:tblPr>
              <w:tblW w:w="0" w:type="auto"/>
              <w:tblInd w:w="14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17"/>
              <w:gridCol w:w="1559"/>
              <w:gridCol w:w="2960"/>
            </w:tblGrid>
            <w:tr w:rsidR="00F954B9" w:rsidRPr="00C6609F" w14:paraId="5CA443F0" w14:textId="77777777" w:rsidTr="005C0C59">
              <w:trPr>
                <w:trHeight w:val="566"/>
              </w:trPr>
              <w:tc>
                <w:tcPr>
                  <w:tcW w:w="1017" w:type="dxa"/>
                </w:tcPr>
                <w:p w14:paraId="2287C257" w14:textId="77777777" w:rsidR="00F954B9" w:rsidRPr="00C6609F" w:rsidRDefault="00F954B9" w:rsidP="00F954B9">
                  <w:pPr>
                    <w:pStyle w:val="TableParagraph"/>
                    <w:spacing w:before="0"/>
                    <w:ind w:left="0" w:right="0"/>
                    <w:jc w:val="left"/>
                    <w:rPr>
                      <w:rFonts w:asciiTheme="minorHAnsi" w:hAnsiTheme="minorHAnsi" w:cstheme="minorHAnsi"/>
                      <w:sz w:val="13"/>
                      <w:szCs w:val="20"/>
                    </w:rPr>
                  </w:pPr>
                </w:p>
                <w:p w14:paraId="4D3735E2" w14:textId="77777777" w:rsidR="00F954B9" w:rsidRPr="00C6609F" w:rsidRDefault="00F954B9" w:rsidP="00F954B9">
                  <w:pPr>
                    <w:pStyle w:val="TableParagraph"/>
                    <w:spacing w:before="0"/>
                    <w:ind w:left="153" w:right="85"/>
                    <w:rPr>
                      <w:rFonts w:asciiTheme="minorHAnsi" w:hAnsiTheme="minorHAnsi" w:cstheme="minorHAnsi"/>
                      <w:b/>
                      <w:sz w:val="13"/>
                      <w:szCs w:val="20"/>
                    </w:rPr>
                  </w:pPr>
                  <w:r>
                    <w:rPr>
                      <w:rFonts w:asciiTheme="minorHAnsi" w:hAnsiTheme="minorHAnsi"/>
                      <w:b/>
                      <w:color w:val="38496E"/>
                      <w:sz w:val="13"/>
                    </w:rPr>
                    <w:t>Означение</w:t>
                  </w:r>
                </w:p>
              </w:tc>
              <w:tc>
                <w:tcPr>
                  <w:tcW w:w="1559" w:type="dxa"/>
                </w:tcPr>
                <w:p w14:paraId="5A1AF45E" w14:textId="65B0F105" w:rsidR="00F954B9" w:rsidRPr="00C6609F" w:rsidRDefault="00F954B9" w:rsidP="00216A7D">
                  <w:pPr>
                    <w:pStyle w:val="TableParagraph"/>
                    <w:spacing w:before="54" w:line="230" w:lineRule="atLeast"/>
                    <w:ind w:left="-11" w:right="65"/>
                    <w:rPr>
                      <w:rFonts w:asciiTheme="minorHAnsi" w:hAnsiTheme="minorHAnsi" w:cstheme="minorHAnsi"/>
                      <w:b/>
                      <w:sz w:val="13"/>
                      <w:szCs w:val="20"/>
                    </w:rPr>
                  </w:pPr>
                  <w:r>
                    <w:rPr>
                      <w:rFonts w:asciiTheme="minorHAnsi" w:hAnsiTheme="minorHAnsi"/>
                      <w:b/>
                      <w:color w:val="231A2D"/>
                      <w:sz w:val="13"/>
                    </w:rPr>
                    <w:t>Максимална проектна мощност на дозата</w:t>
                  </w:r>
                </w:p>
              </w:tc>
              <w:tc>
                <w:tcPr>
                  <w:tcW w:w="2960" w:type="dxa"/>
                </w:tcPr>
                <w:p w14:paraId="571DAF1C" w14:textId="77777777" w:rsidR="00F954B9" w:rsidRPr="00C6609F" w:rsidRDefault="00F954B9" w:rsidP="00F954B9">
                  <w:pPr>
                    <w:pStyle w:val="TableParagraph"/>
                    <w:spacing w:before="2"/>
                    <w:ind w:left="0" w:right="0"/>
                    <w:jc w:val="left"/>
                    <w:rPr>
                      <w:rFonts w:asciiTheme="minorHAnsi" w:hAnsiTheme="minorHAnsi" w:cstheme="minorHAnsi"/>
                      <w:sz w:val="13"/>
                      <w:szCs w:val="20"/>
                    </w:rPr>
                  </w:pPr>
                </w:p>
                <w:p w14:paraId="28D3B3C5" w14:textId="77777777" w:rsidR="00F954B9" w:rsidRPr="00C6609F" w:rsidRDefault="00F954B9" w:rsidP="00F954B9">
                  <w:pPr>
                    <w:pStyle w:val="TableParagraph"/>
                    <w:spacing w:before="1"/>
                    <w:ind w:left="140"/>
                    <w:rPr>
                      <w:rFonts w:asciiTheme="minorHAnsi" w:hAnsiTheme="minorHAnsi" w:cstheme="minorHAnsi"/>
                      <w:b/>
                      <w:sz w:val="13"/>
                      <w:szCs w:val="20"/>
                    </w:rPr>
                  </w:pPr>
                  <w:r>
                    <w:rPr>
                      <w:rFonts w:asciiTheme="minorHAnsi" w:hAnsiTheme="minorHAnsi"/>
                      <w:b/>
                      <w:color w:val="231A2D"/>
                      <w:sz w:val="13"/>
                    </w:rPr>
                    <w:t>Описание</w:t>
                  </w:r>
                </w:p>
              </w:tc>
            </w:tr>
            <w:tr w:rsidR="00F954B9" w:rsidRPr="00C6609F" w14:paraId="3FBCC3DE" w14:textId="77777777" w:rsidTr="005C0C59">
              <w:trPr>
                <w:trHeight w:val="328"/>
              </w:trPr>
              <w:tc>
                <w:tcPr>
                  <w:tcW w:w="1017" w:type="dxa"/>
                </w:tcPr>
                <w:p w14:paraId="24CF30F2" w14:textId="77777777" w:rsidR="00F954B9" w:rsidRPr="00C6609F" w:rsidRDefault="00F954B9" w:rsidP="00F954B9">
                  <w:pPr>
                    <w:pStyle w:val="TableParagraph"/>
                    <w:spacing w:before="100"/>
                    <w:ind w:left="37" w:right="0"/>
                    <w:rPr>
                      <w:rFonts w:asciiTheme="minorHAnsi" w:hAnsiTheme="minorHAnsi" w:cstheme="minorHAnsi"/>
                      <w:sz w:val="13"/>
                      <w:szCs w:val="20"/>
                    </w:rPr>
                  </w:pPr>
                  <w:r>
                    <w:rPr>
                      <w:rFonts w:asciiTheme="minorHAnsi" w:hAnsiTheme="minorHAnsi"/>
                      <w:color w:val="463D54"/>
                      <w:sz w:val="13"/>
                    </w:rPr>
                    <w:t>0</w:t>
                  </w:r>
                </w:p>
              </w:tc>
              <w:tc>
                <w:tcPr>
                  <w:tcW w:w="1559" w:type="dxa"/>
                </w:tcPr>
                <w:p w14:paraId="3B9576D3" w14:textId="15F114DF" w:rsidR="00F954B9" w:rsidRPr="00C6609F" w:rsidRDefault="00DF764B" w:rsidP="00F954B9">
                  <w:pPr>
                    <w:pStyle w:val="TableParagraph"/>
                    <w:spacing w:before="100"/>
                    <w:ind w:right="220"/>
                    <w:rPr>
                      <w:rFonts w:asciiTheme="minorHAnsi" w:hAnsiTheme="minorHAnsi" w:cstheme="minorHAnsi"/>
                      <w:sz w:val="13"/>
                      <w:szCs w:val="20"/>
                    </w:rPr>
                  </w:pPr>
                  <w:r>
                    <w:rPr>
                      <w:rFonts w:asciiTheme="minorHAnsi" w:hAnsiTheme="minorHAnsi"/>
                      <w:color w:val="332D44"/>
                      <w:sz w:val="13"/>
                    </w:rPr>
                    <w:t xml:space="preserve">≤ </w:t>
                  </w:r>
                  <w:r>
                    <w:rPr>
                      <w:rFonts w:asciiTheme="minorHAnsi" w:hAnsiTheme="minorHAnsi"/>
                      <w:color w:val="463D54"/>
                      <w:sz w:val="13"/>
                    </w:rPr>
                    <w:t xml:space="preserve">0,5 </w:t>
                  </w:r>
                  <w:r>
                    <w:rPr>
                      <w:rFonts w:asciiTheme="minorHAnsi" w:hAnsiTheme="minorHAnsi"/>
                      <w:color w:val="38496E"/>
                      <w:sz w:val="13"/>
                    </w:rPr>
                    <w:t>µ</w:t>
                  </w:r>
                  <w:r>
                    <w:rPr>
                      <w:rFonts w:asciiTheme="minorHAnsi" w:hAnsiTheme="minorHAnsi"/>
                      <w:color w:val="463D54"/>
                      <w:sz w:val="13"/>
                    </w:rPr>
                    <w:t>Sv/</w:t>
                  </w:r>
                  <w:r>
                    <w:rPr>
                      <w:rFonts w:asciiTheme="minorHAnsi" w:hAnsiTheme="minorHAnsi"/>
                      <w:color w:val="1F2354"/>
                      <w:sz w:val="13"/>
                    </w:rPr>
                    <w:t>h</w:t>
                  </w:r>
                </w:p>
              </w:tc>
              <w:tc>
                <w:tcPr>
                  <w:tcW w:w="2960" w:type="dxa"/>
                </w:tcPr>
                <w:p w14:paraId="6FFC5E5B" w14:textId="0E61FC56" w:rsidR="00F954B9" w:rsidRPr="00C6609F" w:rsidRDefault="00F954B9" w:rsidP="00F954B9">
                  <w:pPr>
                    <w:pStyle w:val="TableParagraph"/>
                    <w:ind w:left="158"/>
                    <w:rPr>
                      <w:rFonts w:asciiTheme="minorHAnsi" w:hAnsiTheme="minorHAnsi" w:cstheme="minorHAnsi"/>
                      <w:sz w:val="13"/>
                      <w:szCs w:val="20"/>
                    </w:rPr>
                  </w:pPr>
                  <w:r>
                    <w:rPr>
                      <w:rFonts w:asciiTheme="minorHAnsi" w:hAnsiTheme="minorHAnsi"/>
                      <w:color w:val="463D54"/>
                      <w:sz w:val="13"/>
                    </w:rPr>
                    <w:t xml:space="preserve">Отсъствие на източници на </w:t>
                  </w:r>
                  <w:r w:rsidR="009A3B14">
                    <w:rPr>
                      <w:rFonts w:asciiTheme="minorHAnsi" w:hAnsiTheme="minorHAnsi"/>
                      <w:color w:val="463D54"/>
                      <w:sz w:val="13"/>
                    </w:rPr>
                    <w:t>йонизиращи лъчения</w:t>
                  </w:r>
                </w:p>
              </w:tc>
            </w:tr>
            <w:tr w:rsidR="00F954B9" w:rsidRPr="00C6609F" w14:paraId="565E5108" w14:textId="77777777" w:rsidTr="005C0C59">
              <w:trPr>
                <w:trHeight w:val="316"/>
              </w:trPr>
              <w:tc>
                <w:tcPr>
                  <w:tcW w:w="1017" w:type="dxa"/>
                </w:tcPr>
                <w:p w14:paraId="47B2EA66" w14:textId="77777777" w:rsidR="00F954B9" w:rsidRPr="00C6609F" w:rsidRDefault="00F954B9" w:rsidP="00F954B9">
                  <w:pPr>
                    <w:pStyle w:val="TableParagraph"/>
                    <w:spacing w:before="100"/>
                    <w:ind w:left="42" w:right="0"/>
                    <w:rPr>
                      <w:rFonts w:asciiTheme="minorHAnsi" w:hAnsiTheme="minorHAnsi" w:cstheme="minorHAnsi"/>
                      <w:sz w:val="13"/>
                      <w:szCs w:val="20"/>
                    </w:rPr>
                  </w:pPr>
                  <w:r>
                    <w:rPr>
                      <w:rFonts w:asciiTheme="minorHAnsi" w:hAnsiTheme="minorHAnsi"/>
                      <w:color w:val="5D0023"/>
                      <w:sz w:val="13"/>
                    </w:rPr>
                    <w:t>I</w:t>
                  </w:r>
                </w:p>
              </w:tc>
              <w:tc>
                <w:tcPr>
                  <w:tcW w:w="1559" w:type="dxa"/>
                </w:tcPr>
                <w:p w14:paraId="35D72139" w14:textId="0AEE3FF9" w:rsidR="00F954B9" w:rsidRPr="00C6609F" w:rsidRDefault="00DF764B" w:rsidP="00F954B9">
                  <w:pPr>
                    <w:pStyle w:val="TableParagraph"/>
                    <w:spacing w:before="100"/>
                    <w:ind w:right="220"/>
                    <w:rPr>
                      <w:rFonts w:asciiTheme="minorHAnsi" w:hAnsiTheme="minorHAnsi" w:cstheme="minorHAnsi"/>
                      <w:sz w:val="13"/>
                      <w:szCs w:val="20"/>
                    </w:rPr>
                  </w:pPr>
                  <w:r>
                    <w:rPr>
                      <w:rFonts w:asciiTheme="minorHAnsi" w:hAnsiTheme="minorHAnsi"/>
                      <w:color w:val="332D44"/>
                      <w:sz w:val="13"/>
                    </w:rPr>
                    <w:t>≤</w:t>
                  </w:r>
                  <w:r>
                    <w:rPr>
                      <w:rFonts w:asciiTheme="minorHAnsi" w:hAnsiTheme="minorHAnsi"/>
                      <w:color w:val="463D54"/>
                      <w:sz w:val="13"/>
                    </w:rPr>
                    <w:t xml:space="preserve"> </w:t>
                  </w:r>
                  <w:r>
                    <w:rPr>
                      <w:rFonts w:asciiTheme="minorHAnsi" w:hAnsiTheme="minorHAnsi"/>
                      <w:color w:val="332D44"/>
                      <w:sz w:val="13"/>
                    </w:rPr>
                    <w:t>2</w:t>
                  </w:r>
                  <w:r>
                    <w:rPr>
                      <w:rFonts w:asciiTheme="minorHAnsi" w:hAnsiTheme="minorHAnsi"/>
                      <w:color w:val="00005E"/>
                      <w:sz w:val="13"/>
                    </w:rPr>
                    <w:t>,</w:t>
                  </w:r>
                  <w:r>
                    <w:rPr>
                      <w:rFonts w:asciiTheme="minorHAnsi" w:hAnsiTheme="minorHAnsi"/>
                      <w:color w:val="332D44"/>
                      <w:sz w:val="13"/>
                    </w:rPr>
                    <w:t xml:space="preserve">5 </w:t>
                  </w:r>
                  <w:r>
                    <w:rPr>
                      <w:rFonts w:asciiTheme="minorHAnsi" w:hAnsiTheme="minorHAnsi"/>
                      <w:color w:val="38496E"/>
                      <w:sz w:val="13"/>
                    </w:rPr>
                    <w:t>µ</w:t>
                  </w:r>
                  <w:r>
                    <w:rPr>
                      <w:rFonts w:asciiTheme="minorHAnsi" w:hAnsiTheme="minorHAnsi"/>
                      <w:color w:val="463D54"/>
                      <w:sz w:val="13"/>
                    </w:rPr>
                    <w:t>Sv/</w:t>
                  </w:r>
                  <w:r>
                    <w:rPr>
                      <w:rFonts w:asciiTheme="minorHAnsi" w:hAnsiTheme="minorHAnsi"/>
                      <w:color w:val="1F2354"/>
                      <w:sz w:val="13"/>
                    </w:rPr>
                    <w:t>h</w:t>
                  </w:r>
                </w:p>
              </w:tc>
              <w:tc>
                <w:tcPr>
                  <w:tcW w:w="2960" w:type="dxa"/>
                </w:tcPr>
                <w:p w14:paraId="19225D34" w14:textId="63FDD22C" w:rsidR="00F954B9" w:rsidRPr="00C6609F" w:rsidRDefault="00F954B9" w:rsidP="00F954B9">
                  <w:pPr>
                    <w:pStyle w:val="TableParagraph"/>
                    <w:ind w:left="145"/>
                    <w:rPr>
                      <w:rFonts w:asciiTheme="minorHAnsi" w:hAnsiTheme="minorHAnsi" w:cstheme="minorHAnsi"/>
                      <w:sz w:val="13"/>
                      <w:szCs w:val="20"/>
                    </w:rPr>
                  </w:pPr>
                  <w:r>
                    <w:rPr>
                      <w:rFonts w:asciiTheme="minorHAnsi" w:hAnsiTheme="minorHAnsi"/>
                      <w:sz w:val="13"/>
                    </w:rPr>
                    <w:t xml:space="preserve">От много нискоактивни източници на </w:t>
                  </w:r>
                  <w:r w:rsidR="009A3B14">
                    <w:rPr>
                      <w:rFonts w:asciiTheme="minorHAnsi" w:hAnsiTheme="minorHAnsi"/>
                      <w:color w:val="463D54"/>
                      <w:sz w:val="13"/>
                    </w:rPr>
                    <w:t>йонизиращи лъчения</w:t>
                  </w:r>
                  <w:r>
                    <w:rPr>
                      <w:rFonts w:asciiTheme="minorHAnsi" w:hAnsiTheme="minorHAnsi"/>
                      <w:sz w:val="13"/>
                    </w:rPr>
                    <w:t xml:space="preserve"> до отсъствие на източници на </w:t>
                  </w:r>
                  <w:r w:rsidR="009A3B14">
                    <w:rPr>
                      <w:rFonts w:asciiTheme="minorHAnsi" w:hAnsiTheme="minorHAnsi"/>
                      <w:color w:val="463D54"/>
                      <w:sz w:val="13"/>
                    </w:rPr>
                    <w:t>йонизиращи лъчения</w:t>
                  </w:r>
                </w:p>
              </w:tc>
            </w:tr>
            <w:tr w:rsidR="00F954B9" w:rsidRPr="00C6609F" w14:paraId="53D5AAC8" w14:textId="77777777" w:rsidTr="005C0C59">
              <w:trPr>
                <w:trHeight w:val="328"/>
              </w:trPr>
              <w:tc>
                <w:tcPr>
                  <w:tcW w:w="1017" w:type="dxa"/>
                </w:tcPr>
                <w:p w14:paraId="7B578222" w14:textId="77777777" w:rsidR="00F954B9" w:rsidRPr="00C6609F" w:rsidRDefault="00F954B9" w:rsidP="00F954B9">
                  <w:pPr>
                    <w:pStyle w:val="TableParagraph"/>
                    <w:spacing w:before="91"/>
                    <w:ind w:left="131" w:right="85"/>
                    <w:rPr>
                      <w:rFonts w:asciiTheme="minorHAnsi" w:hAnsiTheme="minorHAnsi" w:cstheme="minorHAnsi"/>
                      <w:sz w:val="13"/>
                      <w:szCs w:val="20"/>
                    </w:rPr>
                  </w:pPr>
                  <w:r>
                    <w:rPr>
                      <w:rFonts w:asciiTheme="minorHAnsi" w:hAnsiTheme="minorHAnsi"/>
                      <w:color w:val="463D54"/>
                      <w:sz w:val="13"/>
                    </w:rPr>
                    <w:t>II</w:t>
                  </w:r>
                </w:p>
              </w:tc>
              <w:tc>
                <w:tcPr>
                  <w:tcW w:w="1559" w:type="dxa"/>
                </w:tcPr>
                <w:p w14:paraId="67285792" w14:textId="566E0B10" w:rsidR="00F954B9" w:rsidRPr="00C6609F" w:rsidRDefault="00DF764B" w:rsidP="00F954B9">
                  <w:pPr>
                    <w:pStyle w:val="TableParagraph"/>
                    <w:spacing w:before="100"/>
                    <w:ind w:right="220"/>
                    <w:rPr>
                      <w:rFonts w:asciiTheme="minorHAnsi" w:hAnsiTheme="minorHAnsi" w:cstheme="minorHAnsi"/>
                      <w:sz w:val="13"/>
                      <w:szCs w:val="20"/>
                    </w:rPr>
                  </w:pPr>
                  <w:r>
                    <w:rPr>
                      <w:rFonts w:asciiTheme="minorHAnsi" w:hAnsiTheme="minorHAnsi"/>
                      <w:color w:val="332D44"/>
                      <w:sz w:val="13"/>
                    </w:rPr>
                    <w:t>≤</w:t>
                  </w:r>
                  <w:r>
                    <w:rPr>
                      <w:rFonts w:asciiTheme="minorHAnsi" w:hAnsiTheme="minorHAnsi"/>
                      <w:color w:val="463D54"/>
                      <w:sz w:val="13"/>
                    </w:rPr>
                    <w:t xml:space="preserve"> </w:t>
                  </w:r>
                  <w:r>
                    <w:rPr>
                      <w:rFonts w:asciiTheme="minorHAnsi" w:hAnsiTheme="minorHAnsi"/>
                      <w:color w:val="332D44"/>
                      <w:sz w:val="13"/>
                    </w:rPr>
                    <w:t xml:space="preserve">25 </w:t>
                  </w:r>
                  <w:r>
                    <w:rPr>
                      <w:rFonts w:asciiTheme="minorHAnsi" w:hAnsiTheme="minorHAnsi"/>
                      <w:color w:val="38496E"/>
                      <w:sz w:val="13"/>
                    </w:rPr>
                    <w:t>µ</w:t>
                  </w:r>
                  <w:r>
                    <w:rPr>
                      <w:rFonts w:asciiTheme="minorHAnsi" w:hAnsiTheme="minorHAnsi"/>
                      <w:color w:val="463D54"/>
                      <w:sz w:val="13"/>
                    </w:rPr>
                    <w:t>Sv/</w:t>
                  </w:r>
                  <w:r>
                    <w:rPr>
                      <w:rFonts w:asciiTheme="minorHAnsi" w:hAnsiTheme="minorHAnsi"/>
                      <w:color w:val="1F2354"/>
                      <w:sz w:val="13"/>
                    </w:rPr>
                    <w:t>h</w:t>
                  </w:r>
                </w:p>
              </w:tc>
              <w:tc>
                <w:tcPr>
                  <w:tcW w:w="2960" w:type="dxa"/>
                </w:tcPr>
                <w:p w14:paraId="11B47ABF" w14:textId="1B74C7F7" w:rsidR="00F954B9" w:rsidRPr="00C6609F" w:rsidRDefault="00F954B9" w:rsidP="00F954B9">
                  <w:pPr>
                    <w:pStyle w:val="TableParagraph"/>
                    <w:ind w:left="158"/>
                    <w:rPr>
                      <w:rFonts w:asciiTheme="minorHAnsi" w:hAnsiTheme="minorHAnsi" w:cstheme="minorHAnsi"/>
                      <w:sz w:val="13"/>
                      <w:szCs w:val="20"/>
                    </w:rPr>
                  </w:pPr>
                  <w:r>
                    <w:rPr>
                      <w:rFonts w:asciiTheme="minorHAnsi" w:hAnsiTheme="minorHAnsi"/>
                      <w:sz w:val="13"/>
                    </w:rPr>
                    <w:t xml:space="preserve">Нискоактивни източници на </w:t>
                  </w:r>
                  <w:r w:rsidR="009A3B14">
                    <w:rPr>
                      <w:rFonts w:asciiTheme="minorHAnsi" w:hAnsiTheme="minorHAnsi"/>
                      <w:color w:val="463D54"/>
                      <w:sz w:val="13"/>
                    </w:rPr>
                    <w:t>йонизиращи лъчения</w:t>
                  </w:r>
                </w:p>
              </w:tc>
            </w:tr>
            <w:tr w:rsidR="00F954B9" w:rsidRPr="00C6609F" w14:paraId="54D74846" w14:textId="77777777" w:rsidTr="005C0C59">
              <w:trPr>
                <w:trHeight w:val="328"/>
              </w:trPr>
              <w:tc>
                <w:tcPr>
                  <w:tcW w:w="1017" w:type="dxa"/>
                </w:tcPr>
                <w:p w14:paraId="470599BD" w14:textId="77777777" w:rsidR="00F954B9" w:rsidRPr="00C6609F" w:rsidRDefault="00F954B9" w:rsidP="00F954B9">
                  <w:pPr>
                    <w:pStyle w:val="TableParagraph"/>
                    <w:spacing w:before="79"/>
                    <w:ind w:left="142" w:right="85"/>
                    <w:rPr>
                      <w:rFonts w:asciiTheme="minorHAnsi" w:hAnsiTheme="minorHAnsi" w:cstheme="minorHAnsi"/>
                      <w:sz w:val="13"/>
                      <w:szCs w:val="20"/>
                    </w:rPr>
                  </w:pPr>
                  <w:r>
                    <w:rPr>
                      <w:rFonts w:asciiTheme="minorHAnsi" w:hAnsiTheme="minorHAnsi"/>
                      <w:color w:val="5D0023"/>
                      <w:sz w:val="13"/>
                    </w:rPr>
                    <w:t>Il</w:t>
                  </w:r>
                  <w:r>
                    <w:rPr>
                      <w:rFonts w:asciiTheme="minorHAnsi" w:hAnsiTheme="minorHAnsi"/>
                      <w:color w:val="56575E"/>
                      <w:sz w:val="13"/>
                    </w:rPr>
                    <w:t>l</w:t>
                  </w:r>
                </w:p>
              </w:tc>
              <w:tc>
                <w:tcPr>
                  <w:tcW w:w="1559" w:type="dxa"/>
                </w:tcPr>
                <w:p w14:paraId="3CE7D4C2" w14:textId="298B0A06" w:rsidR="00F954B9" w:rsidRPr="00C6609F" w:rsidRDefault="00DF764B" w:rsidP="00F954B9">
                  <w:pPr>
                    <w:pStyle w:val="TableParagraph"/>
                    <w:spacing w:before="100"/>
                    <w:ind w:right="220"/>
                    <w:rPr>
                      <w:rFonts w:asciiTheme="minorHAnsi" w:hAnsiTheme="minorHAnsi" w:cstheme="minorHAnsi"/>
                      <w:sz w:val="13"/>
                      <w:szCs w:val="20"/>
                    </w:rPr>
                  </w:pPr>
                  <w:r>
                    <w:rPr>
                      <w:rFonts w:asciiTheme="minorHAnsi" w:hAnsiTheme="minorHAnsi"/>
                      <w:color w:val="332D44"/>
                      <w:sz w:val="13"/>
                    </w:rPr>
                    <w:t>≤</w:t>
                  </w:r>
                  <w:r>
                    <w:rPr>
                      <w:rFonts w:asciiTheme="minorHAnsi" w:hAnsiTheme="minorHAnsi"/>
                      <w:color w:val="463D54"/>
                      <w:sz w:val="13"/>
                    </w:rPr>
                    <w:t xml:space="preserve"> 0</w:t>
                  </w:r>
                  <w:r>
                    <w:rPr>
                      <w:rFonts w:asciiTheme="minorHAnsi" w:hAnsiTheme="minorHAnsi"/>
                      <w:sz w:val="13"/>
                    </w:rPr>
                    <w:t>,</w:t>
                  </w:r>
                  <w:r>
                    <w:rPr>
                      <w:rFonts w:asciiTheme="minorHAnsi" w:hAnsiTheme="minorHAnsi"/>
                      <w:color w:val="463D54"/>
                      <w:sz w:val="13"/>
                    </w:rPr>
                    <w:t xml:space="preserve">15 </w:t>
                  </w:r>
                  <w:r>
                    <w:rPr>
                      <w:rFonts w:asciiTheme="minorHAnsi" w:hAnsiTheme="minorHAnsi"/>
                      <w:color w:val="332D44"/>
                      <w:sz w:val="13"/>
                    </w:rPr>
                    <w:t>mSv/h</w:t>
                  </w:r>
                </w:p>
              </w:tc>
              <w:tc>
                <w:tcPr>
                  <w:tcW w:w="2960" w:type="dxa"/>
                </w:tcPr>
                <w:p w14:paraId="24D9DBF0" w14:textId="6A280A5F" w:rsidR="00F954B9" w:rsidRPr="00C6609F" w:rsidRDefault="00F954B9" w:rsidP="00F954B9">
                  <w:pPr>
                    <w:pStyle w:val="TableParagraph"/>
                    <w:ind w:left="158"/>
                    <w:rPr>
                      <w:rFonts w:asciiTheme="minorHAnsi" w:hAnsiTheme="minorHAnsi" w:cstheme="minorHAnsi"/>
                      <w:sz w:val="13"/>
                      <w:szCs w:val="20"/>
                    </w:rPr>
                  </w:pPr>
                  <w:r>
                    <w:rPr>
                      <w:rFonts w:asciiTheme="minorHAnsi" w:hAnsiTheme="minorHAnsi"/>
                      <w:sz w:val="13"/>
                    </w:rPr>
                    <w:t xml:space="preserve">От нискоактивни до средноактивни източници на </w:t>
                  </w:r>
                  <w:r w:rsidR="009A3B14">
                    <w:rPr>
                      <w:rFonts w:asciiTheme="minorHAnsi" w:hAnsiTheme="minorHAnsi"/>
                      <w:color w:val="463D54"/>
                      <w:sz w:val="13"/>
                    </w:rPr>
                    <w:t>йонизиращи лъчения</w:t>
                  </w:r>
                </w:p>
              </w:tc>
            </w:tr>
            <w:tr w:rsidR="00F954B9" w:rsidRPr="00C6609F" w14:paraId="0301D572" w14:textId="77777777" w:rsidTr="005C0C59">
              <w:trPr>
                <w:trHeight w:val="316"/>
              </w:trPr>
              <w:tc>
                <w:tcPr>
                  <w:tcW w:w="1017" w:type="dxa"/>
                </w:tcPr>
                <w:p w14:paraId="61FC8736" w14:textId="77777777" w:rsidR="00F954B9" w:rsidRPr="00C6609F" w:rsidRDefault="00F954B9" w:rsidP="00F954B9">
                  <w:pPr>
                    <w:pStyle w:val="TableParagraph"/>
                    <w:spacing w:before="76"/>
                    <w:ind w:left="146" w:right="85"/>
                    <w:rPr>
                      <w:rFonts w:asciiTheme="minorHAnsi" w:hAnsiTheme="minorHAnsi" w:cstheme="minorHAnsi"/>
                      <w:sz w:val="13"/>
                      <w:szCs w:val="20"/>
                    </w:rPr>
                  </w:pPr>
                  <w:r>
                    <w:rPr>
                      <w:rFonts w:asciiTheme="minorHAnsi" w:hAnsiTheme="minorHAnsi"/>
                      <w:color w:val="56575E"/>
                      <w:sz w:val="13"/>
                    </w:rPr>
                    <w:t>IV</w:t>
                  </w:r>
                </w:p>
              </w:tc>
              <w:tc>
                <w:tcPr>
                  <w:tcW w:w="1559" w:type="dxa"/>
                </w:tcPr>
                <w:p w14:paraId="2FDBFE08" w14:textId="48DB47FC" w:rsidR="00F954B9" w:rsidRPr="00C6609F" w:rsidRDefault="00DF764B" w:rsidP="00F954B9">
                  <w:pPr>
                    <w:pStyle w:val="TableParagraph"/>
                    <w:ind w:right="220"/>
                    <w:rPr>
                      <w:rFonts w:asciiTheme="minorHAnsi" w:hAnsiTheme="minorHAnsi" w:cstheme="minorHAnsi"/>
                      <w:sz w:val="13"/>
                      <w:szCs w:val="20"/>
                    </w:rPr>
                  </w:pPr>
                  <w:r>
                    <w:rPr>
                      <w:rFonts w:asciiTheme="minorHAnsi" w:hAnsiTheme="minorHAnsi"/>
                      <w:color w:val="332D44"/>
                      <w:sz w:val="13"/>
                    </w:rPr>
                    <w:t>≤</w:t>
                  </w:r>
                  <w:r>
                    <w:rPr>
                      <w:rFonts w:asciiTheme="minorHAnsi" w:hAnsiTheme="minorHAnsi"/>
                      <w:color w:val="463D54"/>
                      <w:sz w:val="13"/>
                    </w:rPr>
                    <w:t xml:space="preserve"> </w:t>
                  </w:r>
                  <w:r>
                    <w:rPr>
                      <w:rFonts w:asciiTheme="minorHAnsi" w:hAnsiTheme="minorHAnsi"/>
                      <w:color w:val="231A2D"/>
                      <w:sz w:val="13"/>
                    </w:rPr>
                    <w:t xml:space="preserve">1 </w:t>
                  </w:r>
                  <w:r>
                    <w:rPr>
                      <w:rFonts w:asciiTheme="minorHAnsi" w:hAnsiTheme="minorHAnsi"/>
                      <w:color w:val="463D54"/>
                      <w:sz w:val="13"/>
                    </w:rPr>
                    <w:t>mSv/</w:t>
                  </w:r>
                  <w:r>
                    <w:rPr>
                      <w:rFonts w:asciiTheme="minorHAnsi" w:hAnsiTheme="minorHAnsi"/>
                      <w:color w:val="1F2354"/>
                      <w:sz w:val="13"/>
                    </w:rPr>
                    <w:t>h</w:t>
                  </w:r>
                </w:p>
              </w:tc>
              <w:tc>
                <w:tcPr>
                  <w:tcW w:w="2960" w:type="dxa"/>
                </w:tcPr>
                <w:p w14:paraId="25AD4376" w14:textId="1D22CED5" w:rsidR="00F954B9" w:rsidRPr="00C6609F" w:rsidRDefault="00F954B9" w:rsidP="00F954B9">
                  <w:pPr>
                    <w:pStyle w:val="TableParagraph"/>
                    <w:spacing w:before="76"/>
                    <w:ind w:left="146"/>
                    <w:rPr>
                      <w:rFonts w:asciiTheme="minorHAnsi" w:hAnsiTheme="minorHAnsi" w:cstheme="minorHAnsi"/>
                      <w:sz w:val="13"/>
                      <w:szCs w:val="20"/>
                    </w:rPr>
                  </w:pPr>
                  <w:r>
                    <w:rPr>
                      <w:rFonts w:asciiTheme="minorHAnsi" w:hAnsiTheme="minorHAnsi"/>
                      <w:sz w:val="13"/>
                    </w:rPr>
                    <w:t xml:space="preserve">Средноактивни източници на </w:t>
                  </w:r>
                  <w:r w:rsidR="009A3B14">
                    <w:rPr>
                      <w:rFonts w:asciiTheme="minorHAnsi" w:hAnsiTheme="minorHAnsi"/>
                      <w:color w:val="463D54"/>
                      <w:sz w:val="13"/>
                    </w:rPr>
                    <w:t>йонизиращи лъчения</w:t>
                  </w:r>
                </w:p>
              </w:tc>
            </w:tr>
            <w:tr w:rsidR="00F954B9" w:rsidRPr="00C6609F" w14:paraId="165FDB16" w14:textId="77777777" w:rsidTr="005C0C59">
              <w:trPr>
                <w:trHeight w:val="328"/>
              </w:trPr>
              <w:tc>
                <w:tcPr>
                  <w:tcW w:w="1017" w:type="dxa"/>
                </w:tcPr>
                <w:p w14:paraId="78662624" w14:textId="77777777" w:rsidR="00F954B9" w:rsidRPr="00C6609F" w:rsidRDefault="00F954B9" w:rsidP="00F954B9">
                  <w:pPr>
                    <w:pStyle w:val="TableParagraph"/>
                    <w:ind w:left="63" w:right="0"/>
                    <w:rPr>
                      <w:rFonts w:asciiTheme="minorHAnsi" w:hAnsiTheme="minorHAnsi" w:cstheme="minorHAnsi"/>
                      <w:sz w:val="13"/>
                      <w:szCs w:val="20"/>
                    </w:rPr>
                  </w:pPr>
                  <w:r>
                    <w:rPr>
                      <w:rFonts w:asciiTheme="minorHAnsi" w:hAnsiTheme="minorHAnsi"/>
                      <w:color w:val="463D54"/>
                      <w:sz w:val="13"/>
                    </w:rPr>
                    <w:t>V</w:t>
                  </w:r>
                </w:p>
              </w:tc>
              <w:tc>
                <w:tcPr>
                  <w:tcW w:w="1559" w:type="dxa"/>
                </w:tcPr>
                <w:p w14:paraId="01D227F9" w14:textId="00721711" w:rsidR="00F954B9" w:rsidRPr="00C6609F" w:rsidRDefault="00DF764B" w:rsidP="00F954B9">
                  <w:pPr>
                    <w:pStyle w:val="TableParagraph"/>
                    <w:spacing w:before="100"/>
                    <w:ind w:right="220"/>
                    <w:rPr>
                      <w:rFonts w:asciiTheme="minorHAnsi" w:hAnsiTheme="minorHAnsi" w:cstheme="minorHAnsi"/>
                      <w:sz w:val="13"/>
                      <w:szCs w:val="20"/>
                    </w:rPr>
                  </w:pPr>
                  <w:r>
                    <w:rPr>
                      <w:rFonts w:asciiTheme="minorHAnsi" w:hAnsiTheme="minorHAnsi"/>
                      <w:color w:val="332D44"/>
                      <w:sz w:val="13"/>
                    </w:rPr>
                    <w:t>≤</w:t>
                  </w:r>
                  <w:r>
                    <w:rPr>
                      <w:rFonts w:asciiTheme="minorHAnsi" w:hAnsiTheme="minorHAnsi"/>
                      <w:color w:val="463D54"/>
                      <w:sz w:val="13"/>
                    </w:rPr>
                    <w:t xml:space="preserve"> </w:t>
                  </w:r>
                  <w:r>
                    <w:rPr>
                      <w:rFonts w:asciiTheme="minorHAnsi" w:hAnsiTheme="minorHAnsi"/>
                      <w:color w:val="231A2D"/>
                      <w:sz w:val="13"/>
                    </w:rPr>
                    <w:t>1</w:t>
                  </w:r>
                  <w:r>
                    <w:rPr>
                      <w:rFonts w:asciiTheme="minorHAnsi" w:hAnsiTheme="minorHAnsi"/>
                      <w:color w:val="463D54"/>
                      <w:sz w:val="13"/>
                    </w:rPr>
                    <w:t xml:space="preserve">0 </w:t>
                  </w:r>
                  <w:r>
                    <w:rPr>
                      <w:rFonts w:asciiTheme="minorHAnsi" w:hAnsiTheme="minorHAnsi"/>
                      <w:color w:val="1F2354"/>
                      <w:sz w:val="13"/>
                    </w:rPr>
                    <w:t>m</w:t>
                  </w:r>
                  <w:r>
                    <w:rPr>
                      <w:rFonts w:asciiTheme="minorHAnsi" w:hAnsiTheme="minorHAnsi"/>
                      <w:color w:val="463D54"/>
                      <w:sz w:val="13"/>
                    </w:rPr>
                    <w:t>Sv/</w:t>
                  </w:r>
                  <w:r>
                    <w:rPr>
                      <w:rFonts w:asciiTheme="minorHAnsi" w:hAnsiTheme="minorHAnsi"/>
                      <w:color w:val="1F2354"/>
                      <w:sz w:val="13"/>
                    </w:rPr>
                    <w:t>h</w:t>
                  </w:r>
                </w:p>
              </w:tc>
              <w:tc>
                <w:tcPr>
                  <w:tcW w:w="2960" w:type="dxa"/>
                </w:tcPr>
                <w:p w14:paraId="76542D6E" w14:textId="5B657F91" w:rsidR="00F954B9" w:rsidRPr="00C6609F" w:rsidRDefault="00F954B9" w:rsidP="00F954B9">
                  <w:pPr>
                    <w:pStyle w:val="TableParagraph"/>
                    <w:spacing w:before="100"/>
                    <w:ind w:left="145"/>
                    <w:rPr>
                      <w:rFonts w:asciiTheme="minorHAnsi" w:hAnsiTheme="minorHAnsi" w:cstheme="minorHAnsi"/>
                      <w:sz w:val="13"/>
                      <w:szCs w:val="20"/>
                    </w:rPr>
                  </w:pPr>
                  <w:r>
                    <w:rPr>
                      <w:rFonts w:asciiTheme="minorHAnsi" w:hAnsiTheme="minorHAnsi"/>
                      <w:sz w:val="13"/>
                    </w:rPr>
                    <w:t xml:space="preserve">Високоактивни източници на </w:t>
                  </w:r>
                  <w:r w:rsidR="009A3B14">
                    <w:rPr>
                      <w:rFonts w:asciiTheme="minorHAnsi" w:hAnsiTheme="minorHAnsi"/>
                      <w:color w:val="463D54"/>
                      <w:sz w:val="13"/>
                    </w:rPr>
                    <w:t>йонизиращи лъчения</w:t>
                  </w:r>
                </w:p>
              </w:tc>
            </w:tr>
            <w:tr w:rsidR="00F954B9" w:rsidRPr="00C6609F" w14:paraId="21083098" w14:textId="77777777" w:rsidTr="005C0C59">
              <w:trPr>
                <w:trHeight w:val="328"/>
              </w:trPr>
              <w:tc>
                <w:tcPr>
                  <w:tcW w:w="1017" w:type="dxa"/>
                </w:tcPr>
                <w:p w14:paraId="7664AACA" w14:textId="77777777" w:rsidR="00F954B9" w:rsidRPr="00C6609F" w:rsidRDefault="00F954B9" w:rsidP="00F954B9">
                  <w:pPr>
                    <w:pStyle w:val="TableParagraph"/>
                    <w:ind w:left="152" w:right="85"/>
                    <w:rPr>
                      <w:rFonts w:asciiTheme="minorHAnsi" w:hAnsiTheme="minorHAnsi" w:cstheme="minorHAnsi"/>
                      <w:sz w:val="13"/>
                      <w:szCs w:val="20"/>
                    </w:rPr>
                  </w:pPr>
                  <w:r>
                    <w:rPr>
                      <w:rFonts w:asciiTheme="minorHAnsi" w:hAnsiTheme="minorHAnsi"/>
                      <w:color w:val="463D54"/>
                      <w:sz w:val="13"/>
                    </w:rPr>
                    <w:t>V</w:t>
                  </w:r>
                  <w:r>
                    <w:rPr>
                      <w:rFonts w:asciiTheme="minorHAnsi" w:hAnsiTheme="minorHAnsi"/>
                      <w:color w:val="00005E"/>
                      <w:sz w:val="13"/>
                    </w:rPr>
                    <w:t>I</w:t>
                  </w:r>
                </w:p>
              </w:tc>
              <w:tc>
                <w:tcPr>
                  <w:tcW w:w="1559" w:type="dxa"/>
                </w:tcPr>
                <w:p w14:paraId="0EF8F262" w14:textId="103FB899" w:rsidR="00F954B9" w:rsidRPr="00C6609F" w:rsidRDefault="00DF764B" w:rsidP="00F954B9">
                  <w:pPr>
                    <w:pStyle w:val="TableParagraph"/>
                    <w:spacing w:before="100"/>
                    <w:ind w:right="212"/>
                    <w:rPr>
                      <w:rFonts w:asciiTheme="minorHAnsi" w:hAnsiTheme="minorHAnsi" w:cstheme="minorHAnsi"/>
                      <w:sz w:val="13"/>
                      <w:szCs w:val="20"/>
                    </w:rPr>
                  </w:pPr>
                  <w:r>
                    <w:rPr>
                      <w:rFonts w:asciiTheme="minorHAnsi" w:hAnsiTheme="minorHAnsi"/>
                      <w:color w:val="332D44"/>
                      <w:sz w:val="13"/>
                    </w:rPr>
                    <w:t>≤</w:t>
                  </w:r>
                  <w:r>
                    <w:rPr>
                      <w:rFonts w:asciiTheme="minorHAnsi" w:hAnsiTheme="minorHAnsi"/>
                      <w:color w:val="463D54"/>
                      <w:sz w:val="13"/>
                    </w:rPr>
                    <w:t xml:space="preserve"> 0</w:t>
                  </w:r>
                  <w:r>
                    <w:rPr>
                      <w:rFonts w:asciiTheme="minorHAnsi" w:hAnsiTheme="minorHAnsi"/>
                      <w:sz w:val="13"/>
                    </w:rPr>
                    <w:t>,</w:t>
                  </w:r>
                  <w:r>
                    <w:rPr>
                      <w:rFonts w:asciiTheme="minorHAnsi" w:hAnsiTheme="minorHAnsi"/>
                      <w:color w:val="231A2D"/>
                      <w:sz w:val="13"/>
                    </w:rPr>
                    <w:t xml:space="preserve">1 </w:t>
                  </w:r>
                  <w:r>
                    <w:rPr>
                      <w:rFonts w:asciiTheme="minorHAnsi" w:hAnsiTheme="minorHAnsi"/>
                      <w:color w:val="463D54"/>
                      <w:sz w:val="13"/>
                    </w:rPr>
                    <w:t>Sv/h</w:t>
                  </w:r>
                </w:p>
              </w:tc>
              <w:tc>
                <w:tcPr>
                  <w:tcW w:w="2960" w:type="dxa"/>
                </w:tcPr>
                <w:p w14:paraId="7F775BC2" w14:textId="77777777" w:rsidR="00F954B9" w:rsidRPr="00C6609F" w:rsidRDefault="00F954B9" w:rsidP="00F954B9">
                  <w:pPr>
                    <w:pStyle w:val="TableParagraph"/>
                    <w:ind w:left="143"/>
                    <w:rPr>
                      <w:rFonts w:asciiTheme="minorHAnsi" w:hAnsiTheme="minorHAnsi" w:cstheme="minorHAnsi"/>
                      <w:sz w:val="13"/>
                      <w:szCs w:val="20"/>
                    </w:rPr>
                  </w:pPr>
                  <w:r>
                    <w:rPr>
                      <w:rFonts w:asciiTheme="minorHAnsi" w:hAnsiTheme="minorHAnsi"/>
                      <w:color w:val="463D54"/>
                      <w:sz w:val="13"/>
                    </w:rPr>
                    <w:t xml:space="preserve">Същото като </w:t>
                  </w:r>
                  <w:r>
                    <w:rPr>
                      <w:rFonts w:asciiTheme="minorHAnsi" w:hAnsiTheme="minorHAnsi"/>
                      <w:color w:val="231A2D"/>
                      <w:sz w:val="13"/>
                    </w:rPr>
                    <w:t xml:space="preserve">Зона </w:t>
                  </w:r>
                  <w:r>
                    <w:rPr>
                      <w:rFonts w:asciiTheme="minorHAnsi" w:hAnsiTheme="minorHAnsi"/>
                      <w:color w:val="463D54"/>
                      <w:sz w:val="13"/>
                    </w:rPr>
                    <w:t>V по-горе</w:t>
                  </w:r>
                </w:p>
              </w:tc>
            </w:tr>
            <w:tr w:rsidR="00F954B9" w:rsidRPr="00C6609F" w14:paraId="67E4DA96" w14:textId="77777777" w:rsidTr="005C0C59">
              <w:trPr>
                <w:trHeight w:val="316"/>
              </w:trPr>
              <w:tc>
                <w:tcPr>
                  <w:tcW w:w="1017" w:type="dxa"/>
                </w:tcPr>
                <w:p w14:paraId="523CE84C" w14:textId="77777777" w:rsidR="00F954B9" w:rsidRPr="00C6609F" w:rsidRDefault="00F954B9" w:rsidP="00F954B9">
                  <w:pPr>
                    <w:pStyle w:val="TableParagraph"/>
                    <w:spacing w:before="76"/>
                    <w:ind w:left="152" w:right="85"/>
                    <w:rPr>
                      <w:rFonts w:asciiTheme="minorHAnsi" w:hAnsiTheme="minorHAnsi" w:cstheme="minorHAnsi"/>
                      <w:sz w:val="13"/>
                      <w:szCs w:val="20"/>
                    </w:rPr>
                  </w:pPr>
                  <w:r>
                    <w:rPr>
                      <w:rFonts w:asciiTheme="minorHAnsi" w:hAnsiTheme="minorHAnsi"/>
                      <w:color w:val="463D54"/>
                      <w:sz w:val="13"/>
                    </w:rPr>
                    <w:t>V</w:t>
                  </w:r>
                  <w:r>
                    <w:rPr>
                      <w:rFonts w:asciiTheme="minorHAnsi" w:hAnsiTheme="minorHAnsi"/>
                      <w:color w:val="00005E"/>
                      <w:sz w:val="13"/>
                    </w:rPr>
                    <w:t>II</w:t>
                  </w:r>
                </w:p>
              </w:tc>
              <w:tc>
                <w:tcPr>
                  <w:tcW w:w="1559" w:type="dxa"/>
                </w:tcPr>
                <w:p w14:paraId="05A8847A" w14:textId="23618E5C" w:rsidR="00F954B9" w:rsidRPr="00C6609F" w:rsidRDefault="00DF764B" w:rsidP="00F954B9">
                  <w:pPr>
                    <w:pStyle w:val="TableParagraph"/>
                    <w:ind w:right="220"/>
                    <w:rPr>
                      <w:rFonts w:asciiTheme="minorHAnsi" w:hAnsiTheme="minorHAnsi" w:cstheme="minorHAnsi"/>
                      <w:sz w:val="13"/>
                      <w:szCs w:val="20"/>
                    </w:rPr>
                  </w:pPr>
                  <w:r>
                    <w:rPr>
                      <w:rFonts w:asciiTheme="minorHAnsi" w:hAnsiTheme="minorHAnsi"/>
                      <w:color w:val="332D44"/>
                      <w:sz w:val="13"/>
                    </w:rPr>
                    <w:t>≤</w:t>
                  </w:r>
                  <w:r>
                    <w:rPr>
                      <w:rFonts w:asciiTheme="minorHAnsi" w:hAnsiTheme="minorHAnsi"/>
                      <w:color w:val="463D54"/>
                      <w:sz w:val="13"/>
                    </w:rPr>
                    <w:t xml:space="preserve"> </w:t>
                  </w:r>
                  <w:r>
                    <w:rPr>
                      <w:rFonts w:asciiTheme="minorHAnsi" w:hAnsiTheme="minorHAnsi"/>
                      <w:color w:val="332D44"/>
                      <w:sz w:val="13"/>
                    </w:rPr>
                    <w:t xml:space="preserve">1 </w:t>
                  </w:r>
                  <w:r>
                    <w:rPr>
                      <w:rFonts w:asciiTheme="minorHAnsi" w:hAnsiTheme="minorHAnsi"/>
                      <w:color w:val="463D54"/>
                      <w:sz w:val="13"/>
                    </w:rPr>
                    <w:t>Sv/h</w:t>
                  </w:r>
                </w:p>
              </w:tc>
              <w:tc>
                <w:tcPr>
                  <w:tcW w:w="2960" w:type="dxa"/>
                </w:tcPr>
                <w:p w14:paraId="2CEF0022" w14:textId="77777777" w:rsidR="00F954B9" w:rsidRPr="00C6609F" w:rsidRDefault="00F954B9" w:rsidP="00F954B9">
                  <w:pPr>
                    <w:pStyle w:val="TableParagraph"/>
                    <w:spacing w:before="76"/>
                    <w:ind w:left="143"/>
                    <w:rPr>
                      <w:rFonts w:asciiTheme="minorHAnsi" w:hAnsiTheme="minorHAnsi" w:cstheme="minorHAnsi"/>
                      <w:sz w:val="13"/>
                      <w:szCs w:val="20"/>
                    </w:rPr>
                  </w:pPr>
                  <w:r>
                    <w:rPr>
                      <w:rFonts w:asciiTheme="minorHAnsi" w:hAnsiTheme="minorHAnsi"/>
                      <w:color w:val="463D54"/>
                      <w:sz w:val="13"/>
                    </w:rPr>
                    <w:t xml:space="preserve">Същото като </w:t>
                  </w:r>
                  <w:r>
                    <w:rPr>
                      <w:rFonts w:asciiTheme="minorHAnsi" w:hAnsiTheme="minorHAnsi"/>
                      <w:color w:val="231A2D"/>
                      <w:sz w:val="13"/>
                    </w:rPr>
                    <w:t xml:space="preserve">Зона </w:t>
                  </w:r>
                  <w:r>
                    <w:rPr>
                      <w:rFonts w:asciiTheme="minorHAnsi" w:hAnsiTheme="minorHAnsi"/>
                      <w:color w:val="463D54"/>
                      <w:sz w:val="13"/>
                    </w:rPr>
                    <w:t>V по-горе</w:t>
                  </w:r>
                </w:p>
              </w:tc>
            </w:tr>
            <w:tr w:rsidR="00F954B9" w:rsidRPr="00C6609F" w14:paraId="5E66BE77" w14:textId="77777777" w:rsidTr="005C0C59">
              <w:trPr>
                <w:trHeight w:val="328"/>
              </w:trPr>
              <w:tc>
                <w:tcPr>
                  <w:tcW w:w="1017" w:type="dxa"/>
                </w:tcPr>
                <w:p w14:paraId="51A29C36" w14:textId="77777777" w:rsidR="00F954B9" w:rsidRPr="00C6609F" w:rsidRDefault="00F954B9" w:rsidP="00F954B9">
                  <w:pPr>
                    <w:pStyle w:val="TableParagraph"/>
                    <w:ind w:left="152" w:right="85"/>
                    <w:rPr>
                      <w:rFonts w:asciiTheme="minorHAnsi" w:hAnsiTheme="minorHAnsi" w:cstheme="minorHAnsi"/>
                      <w:sz w:val="13"/>
                      <w:szCs w:val="20"/>
                    </w:rPr>
                  </w:pPr>
                  <w:r>
                    <w:rPr>
                      <w:rFonts w:asciiTheme="minorHAnsi" w:hAnsiTheme="minorHAnsi"/>
                      <w:color w:val="463D54"/>
                      <w:sz w:val="13"/>
                    </w:rPr>
                    <w:t>V</w:t>
                  </w:r>
                  <w:r>
                    <w:rPr>
                      <w:rFonts w:asciiTheme="minorHAnsi" w:hAnsiTheme="minorHAnsi"/>
                      <w:color w:val="56575E"/>
                      <w:sz w:val="13"/>
                    </w:rPr>
                    <w:t>I</w:t>
                  </w:r>
                  <w:r>
                    <w:rPr>
                      <w:rFonts w:asciiTheme="minorHAnsi" w:hAnsiTheme="minorHAnsi"/>
                      <w:color w:val="00005E"/>
                      <w:sz w:val="13"/>
                    </w:rPr>
                    <w:t>II</w:t>
                  </w:r>
                </w:p>
              </w:tc>
              <w:tc>
                <w:tcPr>
                  <w:tcW w:w="1559" w:type="dxa"/>
                </w:tcPr>
                <w:p w14:paraId="664F96C9" w14:textId="56C92604" w:rsidR="00F954B9" w:rsidRPr="00C6609F" w:rsidRDefault="00DF764B" w:rsidP="00F954B9">
                  <w:pPr>
                    <w:pStyle w:val="TableParagraph"/>
                    <w:spacing w:before="100"/>
                    <w:ind w:left="253" w:right="220"/>
                    <w:rPr>
                      <w:rFonts w:asciiTheme="minorHAnsi" w:hAnsiTheme="minorHAnsi" w:cstheme="minorHAnsi"/>
                      <w:sz w:val="13"/>
                      <w:szCs w:val="20"/>
                    </w:rPr>
                  </w:pPr>
                  <w:r>
                    <w:rPr>
                      <w:rFonts w:asciiTheme="minorHAnsi" w:hAnsiTheme="minorHAnsi"/>
                      <w:color w:val="332D44"/>
                      <w:sz w:val="13"/>
                    </w:rPr>
                    <w:t>≤</w:t>
                  </w:r>
                  <w:r>
                    <w:rPr>
                      <w:rFonts w:asciiTheme="minorHAnsi" w:hAnsiTheme="minorHAnsi"/>
                      <w:color w:val="463D54"/>
                      <w:sz w:val="13"/>
                    </w:rPr>
                    <w:t xml:space="preserve"> </w:t>
                  </w:r>
                  <w:r>
                    <w:rPr>
                      <w:rFonts w:asciiTheme="minorHAnsi" w:hAnsiTheme="minorHAnsi"/>
                      <w:color w:val="332D44"/>
                      <w:sz w:val="13"/>
                    </w:rPr>
                    <w:t>5 Gy/</w:t>
                  </w:r>
                  <w:r>
                    <w:rPr>
                      <w:rFonts w:asciiTheme="minorHAnsi" w:hAnsiTheme="minorHAnsi"/>
                      <w:color w:val="38496E"/>
                      <w:sz w:val="13"/>
                    </w:rPr>
                    <w:t>h</w:t>
                  </w:r>
                </w:p>
              </w:tc>
              <w:tc>
                <w:tcPr>
                  <w:tcW w:w="2960" w:type="dxa"/>
                </w:tcPr>
                <w:p w14:paraId="16588EB0" w14:textId="77777777" w:rsidR="00F954B9" w:rsidRPr="00C6609F" w:rsidRDefault="00F954B9" w:rsidP="00F954B9">
                  <w:pPr>
                    <w:pStyle w:val="TableParagraph"/>
                    <w:ind w:left="123"/>
                    <w:rPr>
                      <w:rFonts w:asciiTheme="minorHAnsi" w:hAnsiTheme="minorHAnsi" w:cstheme="minorHAnsi"/>
                      <w:sz w:val="13"/>
                      <w:szCs w:val="20"/>
                    </w:rPr>
                  </w:pPr>
                  <w:r>
                    <w:rPr>
                      <w:rFonts w:asciiTheme="minorHAnsi" w:hAnsiTheme="minorHAnsi"/>
                      <w:color w:val="463D54"/>
                      <w:sz w:val="13"/>
                    </w:rPr>
                    <w:t xml:space="preserve">Същото като </w:t>
                  </w:r>
                  <w:r>
                    <w:rPr>
                      <w:rFonts w:asciiTheme="minorHAnsi" w:hAnsiTheme="minorHAnsi"/>
                      <w:color w:val="332D44"/>
                      <w:sz w:val="13"/>
                    </w:rPr>
                    <w:t xml:space="preserve">Зона </w:t>
                  </w:r>
                  <w:r>
                    <w:rPr>
                      <w:rFonts w:asciiTheme="minorHAnsi" w:hAnsiTheme="minorHAnsi"/>
                      <w:color w:val="463D54"/>
                      <w:sz w:val="13"/>
                    </w:rPr>
                    <w:t>V по-горе</w:t>
                  </w:r>
                </w:p>
              </w:tc>
            </w:tr>
            <w:tr w:rsidR="00F954B9" w:rsidRPr="00C6609F" w14:paraId="191AAAED" w14:textId="77777777" w:rsidTr="005C0C59">
              <w:trPr>
                <w:trHeight w:val="316"/>
              </w:trPr>
              <w:tc>
                <w:tcPr>
                  <w:tcW w:w="1017" w:type="dxa"/>
                </w:tcPr>
                <w:p w14:paraId="26A5D4D7" w14:textId="77777777" w:rsidR="00F954B9" w:rsidRPr="00216A7D" w:rsidRDefault="00F954B9" w:rsidP="00F954B9">
                  <w:pPr>
                    <w:pStyle w:val="TableParagraph"/>
                    <w:spacing w:before="91"/>
                    <w:ind w:left="149" w:right="85"/>
                    <w:rPr>
                      <w:rFonts w:asciiTheme="minorHAnsi" w:hAnsiTheme="minorHAnsi" w:cstheme="minorHAnsi"/>
                      <w:bCs/>
                      <w:sz w:val="13"/>
                      <w:szCs w:val="20"/>
                    </w:rPr>
                  </w:pPr>
                  <w:r>
                    <w:rPr>
                      <w:rFonts w:asciiTheme="minorHAnsi" w:hAnsiTheme="minorHAnsi"/>
                      <w:color w:val="00005E"/>
                      <w:sz w:val="13"/>
                    </w:rPr>
                    <w:t>I</w:t>
                  </w:r>
                  <w:r>
                    <w:rPr>
                      <w:rFonts w:asciiTheme="minorHAnsi" w:hAnsiTheme="minorHAnsi"/>
                      <w:color w:val="463D54"/>
                      <w:sz w:val="13"/>
                    </w:rPr>
                    <w:t>X</w:t>
                  </w:r>
                </w:p>
              </w:tc>
              <w:tc>
                <w:tcPr>
                  <w:tcW w:w="1559" w:type="dxa"/>
                </w:tcPr>
                <w:p w14:paraId="42E30E60" w14:textId="77777777" w:rsidR="00F954B9" w:rsidRPr="00C6609F" w:rsidRDefault="00F954B9" w:rsidP="00F954B9">
                  <w:pPr>
                    <w:pStyle w:val="TableParagraph"/>
                    <w:spacing w:before="82"/>
                    <w:ind w:left="257" w:right="220"/>
                    <w:rPr>
                      <w:rFonts w:asciiTheme="minorHAnsi" w:hAnsiTheme="minorHAnsi" w:cstheme="minorHAnsi"/>
                      <w:sz w:val="13"/>
                      <w:szCs w:val="20"/>
                    </w:rPr>
                  </w:pPr>
                  <w:r>
                    <w:rPr>
                      <w:rFonts w:asciiTheme="minorHAnsi" w:hAnsiTheme="minorHAnsi"/>
                      <w:color w:val="56575E"/>
                      <w:sz w:val="13"/>
                    </w:rPr>
                    <w:t xml:space="preserve">&gt; </w:t>
                  </w:r>
                  <w:r>
                    <w:rPr>
                      <w:rFonts w:asciiTheme="minorHAnsi" w:hAnsiTheme="minorHAnsi"/>
                      <w:color w:val="332D44"/>
                      <w:sz w:val="13"/>
                    </w:rPr>
                    <w:t>5 Gy/</w:t>
                  </w:r>
                  <w:r>
                    <w:rPr>
                      <w:rFonts w:asciiTheme="minorHAnsi" w:hAnsiTheme="minorHAnsi"/>
                      <w:color w:val="38496E"/>
                      <w:sz w:val="13"/>
                    </w:rPr>
                    <w:t>h</w:t>
                  </w:r>
                </w:p>
              </w:tc>
              <w:tc>
                <w:tcPr>
                  <w:tcW w:w="2960" w:type="dxa"/>
                </w:tcPr>
                <w:p w14:paraId="1BAB63A6" w14:textId="5FDBD4BC" w:rsidR="00F954B9" w:rsidRPr="00C6609F" w:rsidRDefault="00F954B9" w:rsidP="00F954B9">
                  <w:pPr>
                    <w:pStyle w:val="TableParagraph"/>
                    <w:ind w:left="145"/>
                    <w:rPr>
                      <w:rFonts w:asciiTheme="minorHAnsi" w:hAnsiTheme="minorHAnsi" w:cstheme="minorHAnsi"/>
                      <w:sz w:val="13"/>
                      <w:szCs w:val="20"/>
                    </w:rPr>
                  </w:pPr>
                  <w:r>
                    <w:rPr>
                      <w:rFonts w:asciiTheme="minorHAnsi" w:hAnsiTheme="minorHAnsi"/>
                      <w:sz w:val="13"/>
                    </w:rPr>
                    <w:t xml:space="preserve">Много високоактивни източници на </w:t>
                  </w:r>
                  <w:r w:rsidR="009A3B14">
                    <w:rPr>
                      <w:rFonts w:asciiTheme="minorHAnsi" w:hAnsiTheme="minorHAnsi"/>
                      <w:color w:val="463D54"/>
                      <w:sz w:val="13"/>
                    </w:rPr>
                    <w:t>йонизиращи лъчения</w:t>
                  </w:r>
                </w:p>
              </w:tc>
            </w:tr>
          </w:tbl>
          <w:p w14:paraId="6E6BD62D" w14:textId="6B07BA6C" w:rsidR="0005027B" w:rsidRDefault="0005027B" w:rsidP="00F954B9">
            <w:pPr>
              <w:tabs>
                <w:tab w:val="clear" w:pos="720"/>
                <w:tab w:val="clear" w:pos="1296"/>
                <w:tab w:val="clear" w:pos="1872"/>
                <w:tab w:val="clear" w:pos="2448"/>
              </w:tabs>
              <w:autoSpaceDE w:val="0"/>
              <w:autoSpaceDN w:val="0"/>
              <w:adjustRightInd w:val="0"/>
              <w:spacing w:after="0" w:line="240" w:lineRule="auto"/>
              <w:rPr>
                <w:rFonts w:ascii="CIDFont+F1" w:hAnsi="CIDFont+F1" w:cs="CIDFont+F1"/>
                <w:kern w:val="0"/>
              </w:rPr>
            </w:pPr>
          </w:p>
          <w:p w14:paraId="63A93DAD" w14:textId="77777777" w:rsidR="000F0093" w:rsidRPr="001A24B6" w:rsidRDefault="000F0093" w:rsidP="000F0093">
            <w:pPr>
              <w:rPr>
                <w:rFonts w:eastAsiaTheme="minorEastAsia" w:cstheme="minorBidi"/>
                <w:kern w:val="0"/>
              </w:rPr>
            </w:pPr>
            <w:r>
              <w:t>Предходното зониране трябва да послужи за информиране за това изискване.</w:t>
            </w:r>
          </w:p>
          <w:p w14:paraId="3B906038" w14:textId="007ABA9A" w:rsidR="00DD60E6" w:rsidRPr="004B4A6E" w:rsidRDefault="00DD60E6" w:rsidP="002C367D">
            <w:pPr>
              <w:tabs>
                <w:tab w:val="clear" w:pos="720"/>
                <w:tab w:val="clear" w:pos="1296"/>
                <w:tab w:val="clear" w:pos="1872"/>
                <w:tab w:val="clear" w:pos="2448"/>
              </w:tabs>
              <w:autoSpaceDE w:val="0"/>
              <w:autoSpaceDN w:val="0"/>
              <w:adjustRightInd w:val="0"/>
              <w:spacing w:line="240" w:lineRule="auto"/>
              <w:rPr>
                <w:rFonts w:eastAsiaTheme="minorEastAsia" w:cstheme="minorBidi"/>
              </w:rPr>
            </w:pPr>
            <w:r>
              <w:t>Обърнете внимание и на съображението за присъщата консервативност, заложена в това зониране, както е обяснено в Подраздел 1.4.</w:t>
            </w:r>
            <w:r>
              <w:rPr>
                <w:rFonts w:ascii="CIDFont+F1" w:hAnsi="CIDFont+F1"/>
              </w:rPr>
              <w:br/>
            </w:r>
            <w:r>
              <w:t xml:space="preserve">Освен това, компанията Уестингхаус очаква напълно, че измерените стойности на мощността на дозата в рамките на действаща централа AP1000 ще бъдат по-ниски от илюстрираните радиационни зони в ДКП; всъщност, Уестингхаус също така очаква, че с допълнителни усилия за </w:t>
            </w:r>
            <w:r>
              <w:lastRenderedPageBreak/>
              <w:t xml:space="preserve">анализ, като се вземат предвид реалистичните източници на </w:t>
            </w:r>
            <w:r w:rsidR="00FA68AC" w:rsidRPr="00C469CC">
              <w:t>йонизиращи лъчения</w:t>
            </w:r>
            <w:r>
              <w:t xml:space="preserve">, може да се докаже, че много, ако не и почти всички </w:t>
            </w:r>
            <w:r w:rsidR="00FA68AC">
              <w:t>гранични</w:t>
            </w:r>
            <w:r>
              <w:t xml:space="preserve"> стойности за зоните, посочени в техническите изисквания, са спазени.</w:t>
            </w:r>
            <w:r>
              <w:rPr>
                <w:rFonts w:ascii="CIDFont+F1" w:hAnsi="CIDFont+F1"/>
              </w:rPr>
              <w:br/>
            </w:r>
            <w:r>
              <w:t xml:space="preserve">На второ място, въпреки че централата AP1000 е проектирана в САЩ, където се прилага индивидуална </w:t>
            </w:r>
            <w:r w:rsidR="00FA68AC">
              <w:t>гранична</w:t>
            </w:r>
            <w:r>
              <w:t xml:space="preserve"> доза от 50 mSv/г., проектът на централата AP1000 (включително радиационното зониране) улеснява спазването на годишни норми за дозата от 20 mSv/година за обучен </w:t>
            </w:r>
            <w:r w:rsidR="00FA68AC">
              <w:t>персонал</w:t>
            </w:r>
            <w:r>
              <w:t xml:space="preserve"> без промени в</w:t>
            </w:r>
            <w:r w:rsidR="00FA68AC">
              <w:t>ъв</w:t>
            </w:r>
            <w:r>
              <w:t xml:space="preserve"> </w:t>
            </w:r>
            <w:r w:rsidR="00FA68AC">
              <w:t>физическия</w:t>
            </w:r>
            <w:r>
              <w:t xml:space="preserve"> проект или изисквания за извънредни мероприятия за радиационна защита.</w:t>
            </w:r>
          </w:p>
        </w:tc>
      </w:tr>
      <w:tr w:rsidR="00FB178C" w14:paraId="517559A9" w14:textId="77777777" w:rsidTr="00035179">
        <w:tc>
          <w:tcPr>
            <w:tcW w:w="13495" w:type="dxa"/>
            <w:gridSpan w:val="4"/>
          </w:tcPr>
          <w:p w14:paraId="1F3BBAAE" w14:textId="7FE79D32" w:rsidR="00FB178C" w:rsidRPr="008863E2" w:rsidRDefault="00FB178C" w:rsidP="00FB178C">
            <w:pPr>
              <w:jc w:val="center"/>
              <w:rPr>
                <w:i/>
                <w:iCs/>
              </w:rPr>
            </w:pPr>
            <w:r>
              <w:rPr>
                <w:i/>
              </w:rPr>
              <w:lastRenderedPageBreak/>
              <w:t>Класификация на зоните: Контролирани зони</w:t>
            </w:r>
          </w:p>
        </w:tc>
      </w:tr>
      <w:tr w:rsidR="00C77C50" w14:paraId="18F1B5BB" w14:textId="77777777" w:rsidTr="00AA7685">
        <w:tc>
          <w:tcPr>
            <w:tcW w:w="797" w:type="dxa"/>
          </w:tcPr>
          <w:p w14:paraId="1DFD87EE" w14:textId="748822D8" w:rsidR="00C77C50" w:rsidRDefault="00C77C50" w:rsidP="00C77C50">
            <w:r>
              <w:t>3.88.</w:t>
            </w:r>
          </w:p>
        </w:tc>
        <w:tc>
          <w:tcPr>
            <w:tcW w:w="5152" w:type="dxa"/>
          </w:tcPr>
          <w:p w14:paraId="22547FA4" w14:textId="0D8887B3" w:rsidR="00C77C50" w:rsidRDefault="00C77C50" w:rsidP="00C77C50">
            <w:r>
              <w:t>Регистрираните лица и лицензиантите определят като контролирана зона всяка зона</w:t>
            </w:r>
            <w:r>
              <w:rPr>
                <w:vertAlign w:val="superscript"/>
              </w:rPr>
              <w:t>32</w:t>
            </w:r>
            <w:r>
              <w:t xml:space="preserve">, в която се изискват или биха могли да се изискват специфични мерки за защита и безопасност за: </w:t>
            </w:r>
            <w:r>
              <w:br/>
              <w:t xml:space="preserve">(а) контролиране на облъчванията или предотвратяване на разпространението на радиоактивно замърсяване при нормална експлоатация; </w:t>
            </w:r>
            <w:r>
              <w:br/>
              <w:t>(б) предотвратяване или ограничаване на вероятността и големината на облъчванията при очаквани експлоатационни събития и аварийни условия.</w:t>
            </w:r>
          </w:p>
        </w:tc>
        <w:tc>
          <w:tcPr>
            <w:tcW w:w="1559" w:type="dxa"/>
          </w:tcPr>
          <w:p w14:paraId="1EB189AD" w14:textId="74532447" w:rsidR="00C77C50" w:rsidRDefault="00DE5355" w:rsidP="00C77C50">
            <w:pPr>
              <w:jc w:val="center"/>
            </w:pPr>
            <w:r>
              <w:t>OR</w:t>
            </w:r>
          </w:p>
        </w:tc>
        <w:tc>
          <w:tcPr>
            <w:tcW w:w="5987" w:type="dxa"/>
          </w:tcPr>
          <w:p w14:paraId="1FAA1C83" w14:textId="4F41993D" w:rsidR="00C77C50" w:rsidRDefault="00DE5355" w:rsidP="00C77C50">
            <w:pPr>
              <w:rPr>
                <w:rFonts w:eastAsiaTheme="minorHAnsi" w:cstheme="minorBidi"/>
                <w:kern w:val="0"/>
              </w:rPr>
            </w:pPr>
            <w:r>
              <w:t>Това е отговорност на Собственика/Лицензианта.</w:t>
            </w:r>
          </w:p>
          <w:p w14:paraId="1BFB762F" w14:textId="63297A47" w:rsidR="004B4A6E" w:rsidRPr="00B03D58" w:rsidRDefault="004B4A6E" w:rsidP="00C77C50">
            <w:pPr>
              <w:rPr>
                <w:rFonts w:eastAsiaTheme="minorEastAsia" w:cstheme="minorBidi"/>
                <w:kern w:val="0"/>
              </w:rPr>
            </w:pPr>
            <w:r>
              <w:t xml:space="preserve">Системите на централата AP1000 са оборудвани с контролно-измервателни </w:t>
            </w:r>
            <w:r w:rsidR="0077725F">
              <w:t>прибори</w:t>
            </w:r>
            <w:r>
              <w:t>, осигуряващи безопасност, и подходящи средства за управление, които осигуряват бърза обратна връзка в случай на всякакв</w:t>
            </w:r>
            <w:r w:rsidR="0077725F">
              <w:t>и</w:t>
            </w:r>
            <w:r>
              <w:t xml:space="preserve"> </w:t>
            </w:r>
            <w:r w:rsidR="0077725F">
              <w:t>нарушени нормални условия на</w:t>
            </w:r>
            <w:r>
              <w:t xml:space="preserve"> работа на централата. Свързаните с безопасността контролно-измервателни </w:t>
            </w:r>
            <w:r w:rsidR="0077725F">
              <w:t xml:space="preserve">прибори </w:t>
            </w:r>
            <w:r>
              <w:t>са резервирани и включени в многостепенна обучена система за мониторинг на централата. Тази тема е включена в Глава 7 на ДКП, изготвен за централата AP1000.</w:t>
            </w:r>
          </w:p>
        </w:tc>
      </w:tr>
      <w:tr w:rsidR="00C77C50" w14:paraId="1F0F401B" w14:textId="77777777" w:rsidTr="00AA7685">
        <w:tc>
          <w:tcPr>
            <w:tcW w:w="797" w:type="dxa"/>
          </w:tcPr>
          <w:p w14:paraId="0BD57372" w14:textId="0EB99A23" w:rsidR="00C77C50" w:rsidRDefault="00C77C50" w:rsidP="00C77C50">
            <w:r>
              <w:t>3.89.</w:t>
            </w:r>
          </w:p>
        </w:tc>
        <w:tc>
          <w:tcPr>
            <w:tcW w:w="5152" w:type="dxa"/>
          </w:tcPr>
          <w:p w14:paraId="16BA8BD9" w14:textId="6E475E55" w:rsidR="00C77C50" w:rsidRDefault="00C77C50" w:rsidP="0048384B">
            <w:r>
              <w:t xml:space="preserve">При определянето на границите на всяка контролирана зона регистрираните лица и лицензиантите вземат предвид големината на </w:t>
            </w:r>
            <w:r>
              <w:lastRenderedPageBreak/>
              <w:t>облъчванията, очаквани при нормална експлоатация, вероятността и големината на облъчванията при очаквани при експлоатационни събития и аварийни условия, както и вида и обхвата на процедурите, необходими за защита и безопасност.</w:t>
            </w:r>
          </w:p>
        </w:tc>
        <w:tc>
          <w:tcPr>
            <w:tcW w:w="1559" w:type="dxa"/>
          </w:tcPr>
          <w:p w14:paraId="0D93B67D" w14:textId="48D44E77" w:rsidR="00C77C50" w:rsidRDefault="00DE5355" w:rsidP="00C77C50">
            <w:pPr>
              <w:jc w:val="center"/>
            </w:pPr>
            <w:r>
              <w:lastRenderedPageBreak/>
              <w:t>OR</w:t>
            </w:r>
          </w:p>
        </w:tc>
        <w:tc>
          <w:tcPr>
            <w:tcW w:w="5987" w:type="dxa"/>
          </w:tcPr>
          <w:p w14:paraId="76CC84CA" w14:textId="06174E75" w:rsidR="00C77C50" w:rsidRPr="00FC2A04" w:rsidRDefault="00DE5355" w:rsidP="00C77C50">
            <w:pPr>
              <w:rPr>
                <w:rFonts w:eastAsiaTheme="minorHAnsi" w:cstheme="minorBidi"/>
                <w:kern w:val="0"/>
              </w:rPr>
            </w:pPr>
            <w:r>
              <w:t>Това е отговорност на Собственика/Лицензианта.</w:t>
            </w:r>
          </w:p>
        </w:tc>
      </w:tr>
      <w:tr w:rsidR="00C77C50" w14:paraId="2EB4D879" w14:textId="77777777" w:rsidTr="00AA7685">
        <w:tc>
          <w:tcPr>
            <w:tcW w:w="797" w:type="dxa"/>
          </w:tcPr>
          <w:p w14:paraId="271B1610" w14:textId="6CEE08C1" w:rsidR="00C77C50" w:rsidRDefault="00C77C50" w:rsidP="00C77C50">
            <w:r>
              <w:t>3.90.</w:t>
            </w:r>
          </w:p>
        </w:tc>
        <w:tc>
          <w:tcPr>
            <w:tcW w:w="5152" w:type="dxa"/>
          </w:tcPr>
          <w:p w14:paraId="66521213" w14:textId="355096DA" w:rsidR="00831B76" w:rsidRDefault="00C77C50" w:rsidP="00831B76">
            <w:pPr>
              <w:spacing w:after="0"/>
            </w:pPr>
            <w:r>
              <w:t xml:space="preserve">Регистрираните лица и лицензиантите: </w:t>
            </w:r>
            <w:r>
              <w:br/>
              <w:t xml:space="preserve">(а) </w:t>
            </w:r>
            <w:r w:rsidR="00A023D5">
              <w:t>обособяват</w:t>
            </w:r>
            <w:r>
              <w:t xml:space="preserve"> контролираните зони с физически средства или, когато това не е разумно осъществимо, с други подходящи средства; </w:t>
            </w:r>
            <w:r>
              <w:br/>
              <w:t xml:space="preserve">(б) когато източникът се въвежда в експлоатация или се захранва с енергия само периодично, или се премества от едно място на друго, </w:t>
            </w:r>
            <w:r w:rsidR="00A023D5">
              <w:t>обособяват</w:t>
            </w:r>
            <w:r>
              <w:t xml:space="preserve"> подходяща контролирана зона със средства, които са подходящи при преобладаващите обстоятелства, и определят времената на облъчване; </w:t>
            </w:r>
            <w:r>
              <w:br/>
              <w:t>(в) поставят символът, препоръчан от Международната организация по стандартизация [21], и излагат инструкции в местата за достъп до контролираните зони и на подходящи места в тях;</w:t>
            </w:r>
            <w:r>
              <w:br/>
              <w:t xml:space="preserve">(г) установяват мерки за защита и безопасност, включително, по целесъобразност, физически мерки за контрол на разпространението на радиоактивно замърсяване и </w:t>
            </w:r>
            <w:r w:rsidR="00804BFD">
              <w:t>вътрешни</w:t>
            </w:r>
            <w:r>
              <w:t xml:space="preserve"> правила и процедури за контролираните зони; </w:t>
            </w:r>
            <w:r>
              <w:br/>
              <w:t xml:space="preserve">(д) ограничават достъпа до контролираните зони чрез административни процедури, като например използване на разрешителни за работа, и чрез физически бариери, които могат да включват ключалки или блокировки, като степента на </w:t>
            </w:r>
            <w:r>
              <w:lastRenderedPageBreak/>
              <w:t xml:space="preserve">ограничението трябва да бъде съразмерна на вероятността и големината на облъчванията; </w:t>
            </w:r>
            <w:r>
              <w:br/>
              <w:t>(е) на входовете на контролираните зони осигуряват, ако е необходимо:</w:t>
            </w:r>
          </w:p>
          <w:p w14:paraId="79D3E3E6" w14:textId="6FB80355" w:rsidR="00831B76" w:rsidRDefault="00C77C50" w:rsidP="00831B76">
            <w:pPr>
              <w:spacing w:after="0"/>
              <w:ind w:left="616"/>
            </w:pPr>
            <w:r>
              <w:t xml:space="preserve">(i) лични предпазни средства; </w:t>
            </w:r>
            <w:r>
              <w:br/>
              <w:t xml:space="preserve">(ii) оборудване за индивидуален </w:t>
            </w:r>
            <w:r w:rsidR="00A023D5">
              <w:t>дозиметричен контрол</w:t>
            </w:r>
            <w:r>
              <w:t xml:space="preserve"> и мониторинг на работното място; </w:t>
            </w:r>
            <w:r>
              <w:br/>
              <w:t>(iii) подходящо съхранение на личното облекло;</w:t>
            </w:r>
          </w:p>
          <w:p w14:paraId="6F55E223" w14:textId="07EBBD90" w:rsidR="00831B76" w:rsidRDefault="00C77C50" w:rsidP="00831B76">
            <w:pPr>
              <w:spacing w:after="0"/>
            </w:pPr>
            <w:r>
              <w:t>(ж) на изходите от контролираните зони осигуряват, ако е необходимо:</w:t>
            </w:r>
          </w:p>
          <w:p w14:paraId="63D33978" w14:textId="115D3BA8" w:rsidR="00831B76" w:rsidRDefault="00C77C50" w:rsidP="00831B76">
            <w:pPr>
              <w:spacing w:after="0"/>
              <w:ind w:left="616"/>
            </w:pPr>
            <w:r>
              <w:t xml:space="preserve">(i) </w:t>
            </w:r>
            <w:r w:rsidR="00A83955">
              <w:t>портални монитори за измерване</w:t>
            </w:r>
            <w:r>
              <w:t xml:space="preserve"> на радиоактивното замърсяване на кожата и облеклото; </w:t>
            </w:r>
            <w:r>
              <w:br/>
              <w:t xml:space="preserve">(ii) оборудване за </w:t>
            </w:r>
            <w:r w:rsidR="00A83955">
              <w:t>измерване</w:t>
            </w:r>
            <w:r>
              <w:t xml:space="preserve"> на радиоактивното замърсяване на всякакви предмети или материали, които се изнасят от зоната; </w:t>
            </w:r>
            <w:r>
              <w:br/>
              <w:t xml:space="preserve">(iii) съоръжения за измиване или вземане на душ и други съоръжения за лична дезактивация; </w:t>
            </w:r>
            <w:r>
              <w:br/>
              <w:t>(iv) подходящо съхранение на радиоактивно замърсени лични предпазни средства;</w:t>
            </w:r>
          </w:p>
          <w:p w14:paraId="4265EE8E" w14:textId="77777777" w:rsidR="00B5533B" w:rsidRDefault="00C77C50" w:rsidP="00B5533B">
            <w:pPr>
              <w:spacing w:after="0"/>
            </w:pPr>
            <w:r>
              <w:t>(з) периодично правят преглед на условията, за да се прецени дали е необходимо да се променят мерките за защита и безопасност или границите на контролираните зони;</w:t>
            </w:r>
          </w:p>
          <w:p w14:paraId="552A3DE0" w14:textId="7B5336B0" w:rsidR="00C77C50" w:rsidRPr="008B09E6" w:rsidRDefault="00C77C50" w:rsidP="006F1015">
            <w:r>
              <w:lastRenderedPageBreak/>
              <w:t>(и) осигуряват подходяща информация, инструктаж и обучение за лицата, работещи в контролираните зони.</w:t>
            </w:r>
          </w:p>
        </w:tc>
        <w:tc>
          <w:tcPr>
            <w:tcW w:w="1559" w:type="dxa"/>
          </w:tcPr>
          <w:p w14:paraId="5094A0F3" w14:textId="7F4A3AD9" w:rsidR="00C77C50" w:rsidRDefault="00DE5355" w:rsidP="00C77C50">
            <w:pPr>
              <w:jc w:val="center"/>
            </w:pPr>
            <w:r>
              <w:lastRenderedPageBreak/>
              <w:t>OR</w:t>
            </w:r>
          </w:p>
        </w:tc>
        <w:tc>
          <w:tcPr>
            <w:tcW w:w="5987" w:type="dxa"/>
          </w:tcPr>
          <w:p w14:paraId="001A9207" w14:textId="77777777" w:rsidR="002E1FE8" w:rsidRDefault="00DE5355" w:rsidP="00C77C50">
            <w:pPr>
              <w:rPr>
                <w:rFonts w:eastAsiaTheme="minorHAnsi" w:cstheme="minorBidi"/>
                <w:kern w:val="0"/>
              </w:rPr>
            </w:pPr>
            <w:r>
              <w:t>Това е отговорност на Собственика/Лицензианта.</w:t>
            </w:r>
          </w:p>
          <w:p w14:paraId="70EF7DAA" w14:textId="70E8B9CB" w:rsidR="00A81328" w:rsidRPr="008E70C2" w:rsidRDefault="000E4267" w:rsidP="008E70C2">
            <w:pPr>
              <w:rPr>
                <w:kern w:val="0"/>
              </w:rPr>
            </w:pPr>
            <w:r>
              <w:t xml:space="preserve">Проектът на AP1000 включва мерки за намаляване на риска за </w:t>
            </w:r>
            <w:r w:rsidR="00A023D5">
              <w:t>населението</w:t>
            </w:r>
            <w:r>
              <w:t xml:space="preserve"> и околната среда по време на отделните етапи от жизнения цикъл на централата. Тези мерки са обсъдени в ДКП. Това изискване е взето предвид при проектирането, както е описано в Подраздел 12.3 на ДКП, Характеристики на проекта за радиационна защита. Този подраздел описва различните възможни зони на радиационно облъчване </w:t>
            </w:r>
            <w:r w:rsidR="00A023D5">
              <w:t>на площадката на</w:t>
            </w:r>
            <w:r>
              <w:t xml:space="preserve"> централата и може да се използва като помощно средство при </w:t>
            </w:r>
            <w:r w:rsidR="00A023D5">
              <w:t>обособяването</w:t>
            </w:r>
            <w:r>
              <w:t xml:space="preserve"> на границите на контролираните зони. Допълнителни предпазни мерки за избягване разпространението на радиоактивно замърсяване извън радиологично контролираната зона са описани в Подраздел 12.5 на ДКП.</w:t>
            </w:r>
          </w:p>
        </w:tc>
      </w:tr>
      <w:tr w:rsidR="00C77C50" w14:paraId="75F3CEFE" w14:textId="77777777" w:rsidTr="00035179">
        <w:tc>
          <w:tcPr>
            <w:tcW w:w="13495" w:type="dxa"/>
            <w:gridSpan w:val="4"/>
          </w:tcPr>
          <w:p w14:paraId="566EDBD1" w14:textId="6388CA04" w:rsidR="00C77C50" w:rsidRPr="008863E2" w:rsidRDefault="00C77C50" w:rsidP="00C77C50">
            <w:pPr>
              <w:jc w:val="center"/>
              <w:rPr>
                <w:i/>
                <w:iCs/>
              </w:rPr>
            </w:pPr>
            <w:r>
              <w:rPr>
                <w:i/>
              </w:rPr>
              <w:lastRenderedPageBreak/>
              <w:t>Класификация на зоните: Наблюдавани зони</w:t>
            </w:r>
          </w:p>
        </w:tc>
      </w:tr>
      <w:tr w:rsidR="002E1FE8" w14:paraId="0ED1E005" w14:textId="77777777" w:rsidTr="00AA7685">
        <w:tc>
          <w:tcPr>
            <w:tcW w:w="797" w:type="dxa"/>
          </w:tcPr>
          <w:p w14:paraId="7500C421" w14:textId="36F09A6F" w:rsidR="002E1FE8" w:rsidRDefault="002E1FE8" w:rsidP="002E1FE8">
            <w:r>
              <w:t>3.91.</w:t>
            </w:r>
          </w:p>
        </w:tc>
        <w:tc>
          <w:tcPr>
            <w:tcW w:w="5152" w:type="dxa"/>
          </w:tcPr>
          <w:p w14:paraId="39711808" w14:textId="6F2501F4" w:rsidR="002E1FE8" w:rsidRDefault="002E1FE8" w:rsidP="002E1FE8">
            <w:r>
              <w:t>Регистрираните лица и лицензиантите определят като наблюдавана зона всяка зона, която все още не е определена като контролирана зона, но за която условията на професионално облъчване трябва да се наблюдават, въпреки че обикновено не са необходими специфични мерки за защита и безопасност.</w:t>
            </w:r>
          </w:p>
        </w:tc>
        <w:tc>
          <w:tcPr>
            <w:tcW w:w="1559" w:type="dxa"/>
          </w:tcPr>
          <w:p w14:paraId="42B3B011" w14:textId="1CB38379" w:rsidR="002E1FE8" w:rsidRDefault="00DE5355" w:rsidP="002E1FE8">
            <w:pPr>
              <w:jc w:val="center"/>
            </w:pPr>
            <w:r>
              <w:t>OR</w:t>
            </w:r>
          </w:p>
        </w:tc>
        <w:tc>
          <w:tcPr>
            <w:tcW w:w="5987" w:type="dxa"/>
          </w:tcPr>
          <w:p w14:paraId="027648C2" w14:textId="1986B19E" w:rsidR="002E1FE8" w:rsidRPr="00FC2A04" w:rsidRDefault="00DE5355" w:rsidP="002E1FE8">
            <w:pPr>
              <w:rPr>
                <w:rFonts w:eastAsiaTheme="minorHAnsi" w:cstheme="minorBidi"/>
                <w:kern w:val="0"/>
              </w:rPr>
            </w:pPr>
            <w:r>
              <w:t>Това е отговорност на Собственика/Лицензианта.</w:t>
            </w:r>
          </w:p>
        </w:tc>
      </w:tr>
      <w:tr w:rsidR="00051260" w14:paraId="56A38EBA" w14:textId="77777777" w:rsidTr="00AA7685">
        <w:tc>
          <w:tcPr>
            <w:tcW w:w="797" w:type="dxa"/>
          </w:tcPr>
          <w:p w14:paraId="0F9FFC29" w14:textId="68C01F12" w:rsidR="00051260" w:rsidRDefault="00051260" w:rsidP="00051260">
            <w:r>
              <w:t>3.92.</w:t>
            </w:r>
          </w:p>
        </w:tc>
        <w:tc>
          <w:tcPr>
            <w:tcW w:w="5152" w:type="dxa"/>
          </w:tcPr>
          <w:p w14:paraId="07996652" w14:textId="2B2C87C6" w:rsidR="004210F0" w:rsidRDefault="00051260" w:rsidP="00051260">
            <w:r>
              <w:t xml:space="preserve">Регистрираните лица и лицензиантите, вземайки предвид естеството, вероятността и степента на облъчване или радиоактивно замърсяване в наблюдаваните зони: </w:t>
            </w:r>
            <w:r>
              <w:br/>
              <w:t xml:space="preserve">(а) </w:t>
            </w:r>
            <w:r w:rsidR="00A66D26">
              <w:t xml:space="preserve">обособяват </w:t>
            </w:r>
            <w:r>
              <w:t xml:space="preserve">границите на наблюдаваните зони с подходящи средства; </w:t>
            </w:r>
            <w:r>
              <w:br/>
              <w:t xml:space="preserve">б) поставят одобрени знаци, ако е необходимо, на местата за достъп до наблюдаваните зони; </w:t>
            </w:r>
            <w:r>
              <w:br/>
              <w:t>в) периодично преглеждат условията, за да преценят дали има нужда от допълнителни мерки за защита и безопасност или от промени в границите на наблюдаваните зони.</w:t>
            </w:r>
          </w:p>
        </w:tc>
        <w:tc>
          <w:tcPr>
            <w:tcW w:w="1559" w:type="dxa"/>
          </w:tcPr>
          <w:p w14:paraId="22F71ED3" w14:textId="34682393" w:rsidR="00051260" w:rsidRDefault="00DE5355" w:rsidP="00051260">
            <w:pPr>
              <w:jc w:val="center"/>
            </w:pPr>
            <w:r>
              <w:t>OR</w:t>
            </w:r>
          </w:p>
        </w:tc>
        <w:tc>
          <w:tcPr>
            <w:tcW w:w="5987" w:type="dxa"/>
          </w:tcPr>
          <w:p w14:paraId="7D663F9E" w14:textId="68527933" w:rsidR="00051260" w:rsidRPr="00FC2A04" w:rsidRDefault="00DE5355" w:rsidP="00051260">
            <w:pPr>
              <w:rPr>
                <w:rFonts w:eastAsiaTheme="minorHAnsi" w:cstheme="minorBidi"/>
                <w:kern w:val="0"/>
              </w:rPr>
            </w:pPr>
            <w:r>
              <w:t>Това е отговорност на Собственика/Лицензианта.</w:t>
            </w:r>
          </w:p>
        </w:tc>
      </w:tr>
      <w:tr w:rsidR="00051260" w14:paraId="5B3054C8" w14:textId="77777777" w:rsidTr="00035179">
        <w:tc>
          <w:tcPr>
            <w:tcW w:w="13495" w:type="dxa"/>
            <w:gridSpan w:val="4"/>
          </w:tcPr>
          <w:p w14:paraId="3C09B34D" w14:textId="6661877A" w:rsidR="00051260" w:rsidRPr="008863E2" w:rsidRDefault="00804BFD" w:rsidP="00051260">
            <w:pPr>
              <w:jc w:val="center"/>
              <w:rPr>
                <w:i/>
                <w:iCs/>
              </w:rPr>
            </w:pPr>
            <w:r>
              <w:rPr>
                <w:i/>
              </w:rPr>
              <w:t>Вътрешни</w:t>
            </w:r>
            <w:r w:rsidR="00051260">
              <w:rPr>
                <w:i/>
              </w:rPr>
              <w:t xml:space="preserve"> правила и процедури и лични предпазни средства</w:t>
            </w:r>
          </w:p>
        </w:tc>
      </w:tr>
      <w:tr w:rsidR="00051260" w14:paraId="4F51FFD6" w14:textId="77777777" w:rsidTr="00AA7685">
        <w:tc>
          <w:tcPr>
            <w:tcW w:w="797" w:type="dxa"/>
          </w:tcPr>
          <w:p w14:paraId="1B8EC127" w14:textId="0DAE0D58" w:rsidR="00051260" w:rsidRDefault="00051260" w:rsidP="00051260">
            <w:r>
              <w:lastRenderedPageBreak/>
              <w:t>3.93</w:t>
            </w:r>
          </w:p>
        </w:tc>
        <w:tc>
          <w:tcPr>
            <w:tcW w:w="5152" w:type="dxa"/>
          </w:tcPr>
          <w:p w14:paraId="4E94A905" w14:textId="6CD7323E" w:rsidR="00051260" w:rsidRPr="00594E08" w:rsidRDefault="00051260" w:rsidP="00051260">
            <w:pPr>
              <w:rPr>
                <w:highlight w:val="cyan"/>
              </w:rPr>
            </w:pPr>
            <w:r>
              <w:t>Работодателите, регистрираните лица и лицензиантите трябва да сведат до минимум необходимостта да разчитат на административен контрол и лични предпазни средства за защита и безопасност, като осигурят добре разработени инженерно-технически мерки и задоволителни условия на труд в съответствие със следната йерархия на превантивните мерки:</w:t>
            </w:r>
            <w:r>
              <w:br/>
              <w:t xml:space="preserve">(1) инженерно-технически мерки; </w:t>
            </w:r>
            <w:r>
              <w:br/>
              <w:t xml:space="preserve">(2) административни мерки; </w:t>
            </w:r>
            <w:r>
              <w:br/>
              <w:t>(3) лични предпазни средства.</w:t>
            </w:r>
          </w:p>
        </w:tc>
        <w:tc>
          <w:tcPr>
            <w:tcW w:w="1559" w:type="dxa"/>
          </w:tcPr>
          <w:p w14:paraId="3824F2F8" w14:textId="256822BB" w:rsidR="00051260" w:rsidRDefault="00DE5355" w:rsidP="00051260">
            <w:pPr>
              <w:jc w:val="center"/>
            </w:pPr>
            <w:r>
              <w:t>OR, EP</w:t>
            </w:r>
          </w:p>
        </w:tc>
        <w:tc>
          <w:tcPr>
            <w:tcW w:w="5987" w:type="dxa"/>
          </w:tcPr>
          <w:p w14:paraId="7C89D8E0" w14:textId="6B838C5D" w:rsidR="00FC2A04" w:rsidRPr="001F383B" w:rsidRDefault="00DE5355" w:rsidP="00051260">
            <w:pPr>
              <w:rPr>
                <w:rFonts w:eastAsiaTheme="minorHAnsi" w:cstheme="minorBidi"/>
                <w:kern w:val="0"/>
              </w:rPr>
            </w:pPr>
            <w:r>
              <w:t>Това е отговорност на Собственика/Лицензианта и/или други външни страни.</w:t>
            </w:r>
          </w:p>
        </w:tc>
      </w:tr>
      <w:tr w:rsidR="00051260" w14:paraId="0DF7F1F0" w14:textId="77777777" w:rsidTr="00AA7685">
        <w:tc>
          <w:tcPr>
            <w:tcW w:w="797" w:type="dxa"/>
          </w:tcPr>
          <w:p w14:paraId="64A2608D" w14:textId="582BC37E" w:rsidR="00051260" w:rsidRDefault="00051260" w:rsidP="00051260">
            <w:r>
              <w:t>3.94</w:t>
            </w:r>
          </w:p>
        </w:tc>
        <w:tc>
          <w:tcPr>
            <w:tcW w:w="5152" w:type="dxa"/>
          </w:tcPr>
          <w:p w14:paraId="445EE687" w14:textId="347270C7" w:rsidR="00051260" w:rsidRDefault="00051260" w:rsidP="00051260">
            <w:r>
              <w:t>Работодателите, регистрираните лица и лицензиантите, в консултация с работниците или чрез техните представители, когато е уместно:</w:t>
            </w:r>
            <w:r>
              <w:br/>
              <w:t xml:space="preserve">(а) установяват в писмен вид </w:t>
            </w:r>
            <w:r w:rsidR="00804BFD">
              <w:t>вътрешни</w:t>
            </w:r>
            <w:r>
              <w:t xml:space="preserve"> правила и процедури, които са необходими за защитата и безопасността на работниците и други лица; </w:t>
            </w:r>
            <w:r>
              <w:br/>
              <w:t>б) включват в</w:t>
            </w:r>
            <w:r w:rsidR="00804BFD">
              <w:t>ъв</w:t>
            </w:r>
            <w:r>
              <w:t xml:space="preserve"> </w:t>
            </w:r>
            <w:r w:rsidR="00804BFD">
              <w:t>вътрешните</w:t>
            </w:r>
            <w:r>
              <w:t xml:space="preserve"> правила и процедури всяко съответно ниво на разследване или разрешено ниво, както и процедурите, които трябва да се следват в случай на превишаване на такова ниво; </w:t>
            </w:r>
            <w:r>
              <w:br/>
              <w:t xml:space="preserve">в) запознават с </w:t>
            </w:r>
            <w:r w:rsidR="00097DDC">
              <w:t>вътрешните</w:t>
            </w:r>
            <w:r>
              <w:t xml:space="preserve"> правила и процедури и с мерките за защита и безопасност работниците, за които те се прилагат, и другите лица, които могат да бъдат засегнати от тях; </w:t>
            </w:r>
            <w:r>
              <w:br/>
              <w:t xml:space="preserve">(г) гарантират, че всяка работа, при която работниците са или биха могли да бъдат изложени на професионално облъчване, е под подходящ надзор, и предприемат всички разумни мерки, за </w:t>
            </w:r>
            <w:r>
              <w:lastRenderedPageBreak/>
              <w:t xml:space="preserve">да гарантират спазването на правилата, процедурите и мерките за защита и безопасност; </w:t>
            </w:r>
            <w:r>
              <w:br/>
              <w:t>д) назначават, ако е целесъобразно, длъжностно лице по радиационна защита в съответствие с критериите, установени от регулаторния орган.</w:t>
            </w:r>
          </w:p>
        </w:tc>
        <w:tc>
          <w:tcPr>
            <w:tcW w:w="1559" w:type="dxa"/>
          </w:tcPr>
          <w:p w14:paraId="07BE92B4" w14:textId="509EE13B" w:rsidR="00051260" w:rsidRDefault="00DE5355" w:rsidP="00051260">
            <w:pPr>
              <w:jc w:val="center"/>
            </w:pPr>
            <w:r>
              <w:lastRenderedPageBreak/>
              <w:t>OR, EP</w:t>
            </w:r>
          </w:p>
        </w:tc>
        <w:tc>
          <w:tcPr>
            <w:tcW w:w="5987" w:type="dxa"/>
          </w:tcPr>
          <w:p w14:paraId="350EA5B5" w14:textId="66F97CE5" w:rsidR="00051260" w:rsidRPr="001F383B" w:rsidRDefault="00DE5355" w:rsidP="00B44AAA">
            <w:pPr>
              <w:rPr>
                <w:rFonts w:eastAsiaTheme="minorHAnsi" w:cstheme="minorBidi"/>
                <w:kern w:val="0"/>
              </w:rPr>
            </w:pPr>
            <w:r>
              <w:t>Това е отговорност на Собственика/Лицензианта и/или други външни страни.</w:t>
            </w:r>
          </w:p>
        </w:tc>
      </w:tr>
      <w:tr w:rsidR="004E1E0F" w14:paraId="473727A4" w14:textId="77777777" w:rsidTr="00AA7685">
        <w:tc>
          <w:tcPr>
            <w:tcW w:w="797" w:type="dxa"/>
          </w:tcPr>
          <w:p w14:paraId="0CE3CA73" w14:textId="42309B55" w:rsidR="004E1E0F" w:rsidRDefault="004E1E0F" w:rsidP="004E1E0F">
            <w:r>
              <w:t>3.95.</w:t>
            </w:r>
          </w:p>
        </w:tc>
        <w:tc>
          <w:tcPr>
            <w:tcW w:w="5152" w:type="dxa"/>
          </w:tcPr>
          <w:p w14:paraId="03E97D3B" w14:textId="77777777" w:rsidR="00831B76" w:rsidRDefault="004E1E0F" w:rsidP="00831B76">
            <w:pPr>
              <w:spacing w:after="0"/>
            </w:pPr>
            <w:r>
              <w:t xml:space="preserve">Работодателите, регистрираните лица и лицензиантите трябва да гарантират, че: </w:t>
            </w:r>
            <w:r>
              <w:br/>
              <w:t>(а) на работниците се предоставят подходящи и адекватни лични предпазни средства, които отговарят на съответните стандарти или спецификации, включително, ако е необходимо:</w:t>
            </w:r>
          </w:p>
          <w:p w14:paraId="3E15C12E" w14:textId="7B1FCA47" w:rsidR="00831B76" w:rsidRDefault="004E1E0F" w:rsidP="00831B76">
            <w:pPr>
              <w:spacing w:after="0"/>
              <w:ind w:left="616"/>
            </w:pPr>
            <w:r>
              <w:t xml:space="preserve">(i) защитно облекло; </w:t>
            </w:r>
            <w:r>
              <w:br/>
              <w:t xml:space="preserve">(ii) средства за защита на дихателните органи, чиито характеристики са известни на ползвателите; </w:t>
            </w:r>
            <w:r>
              <w:br/>
              <w:t>(iii) защитни престилки, защитни ръкавици и екрани за защита на органи;</w:t>
            </w:r>
          </w:p>
          <w:p w14:paraId="19DA506E" w14:textId="467940F4" w:rsidR="004E1E0F" w:rsidRDefault="004E1E0F" w:rsidP="0069795B">
            <w:r>
              <w:t xml:space="preserve">(б) когато е уместно, работниците получават подходящ инструктаж за правилното използване на средствата за защита на дихателните органи, включително изпитване за добро прилягане; </w:t>
            </w:r>
            <w:r>
              <w:br/>
              <w:t xml:space="preserve">(в) задачи, изискващи използването на определени лични предпазни средства, се възлагат само на работници, които въз основа на медицинска консултация са в състояние безопасно да издържат на необходимите допълнителни усилия; </w:t>
            </w:r>
            <w:r>
              <w:br/>
              <w:t xml:space="preserve">(г) всички лични предпазни средства, включително средствата за използване в аварийни ситуации, се поддържат в подходящо състояние и, ако е необходимо, се изпитват на редовни интервали; </w:t>
            </w:r>
            <w:r>
              <w:br/>
            </w:r>
            <w:r>
              <w:lastRenderedPageBreak/>
              <w:t>(д) при разглеждане на използването на лични предпазни средства за дадена задача, се взема предвид всяко допълнително облъчване, което може да възникне поради допълнително отделеното време или неудобство, както и всякакви нерадиационни рискове, които могат да бъдат свързани с използването на лични предпазни средства при изпълнението на задачата.</w:t>
            </w:r>
          </w:p>
        </w:tc>
        <w:tc>
          <w:tcPr>
            <w:tcW w:w="1559" w:type="dxa"/>
          </w:tcPr>
          <w:p w14:paraId="674C5DB5" w14:textId="6FDA1A4D" w:rsidR="004E1E0F" w:rsidRDefault="00DE5355" w:rsidP="004E1E0F">
            <w:pPr>
              <w:jc w:val="center"/>
            </w:pPr>
            <w:r>
              <w:lastRenderedPageBreak/>
              <w:t>OR, EP</w:t>
            </w:r>
          </w:p>
        </w:tc>
        <w:tc>
          <w:tcPr>
            <w:tcW w:w="5987" w:type="dxa"/>
          </w:tcPr>
          <w:p w14:paraId="77B3C91C" w14:textId="793DECBD" w:rsidR="004E1E0F" w:rsidRPr="008A58DC" w:rsidRDefault="00DE5355" w:rsidP="004E1E0F">
            <w:pPr>
              <w:rPr>
                <w:rFonts w:eastAsiaTheme="minorHAnsi" w:cstheme="minorBidi"/>
                <w:kern w:val="0"/>
              </w:rPr>
            </w:pPr>
            <w:r>
              <w:t>Това е отговорност на Собственика/Лицензианта и/или други външни страни.</w:t>
            </w:r>
          </w:p>
        </w:tc>
      </w:tr>
      <w:tr w:rsidR="004E1E0F" w14:paraId="5C3FE900" w14:textId="77777777" w:rsidTr="00035179">
        <w:tc>
          <w:tcPr>
            <w:tcW w:w="13495" w:type="dxa"/>
            <w:gridSpan w:val="4"/>
          </w:tcPr>
          <w:p w14:paraId="79F8E396" w14:textId="1DA89CF4" w:rsidR="004E1E0F" w:rsidRPr="008E4E23" w:rsidRDefault="004E1E0F" w:rsidP="004E1E0F">
            <w:pPr>
              <w:jc w:val="center"/>
              <w:rPr>
                <w:i/>
                <w:iCs/>
              </w:rPr>
            </w:pPr>
            <w:r>
              <w:rPr>
                <w:i/>
              </w:rPr>
              <w:t>Мониторинг на работното място</w:t>
            </w:r>
          </w:p>
        </w:tc>
      </w:tr>
      <w:tr w:rsidR="004E1E0F" w14:paraId="4556017C" w14:textId="77777777" w:rsidTr="00AA7685">
        <w:tc>
          <w:tcPr>
            <w:tcW w:w="797" w:type="dxa"/>
          </w:tcPr>
          <w:p w14:paraId="6B53F503" w14:textId="1FB12129" w:rsidR="004E1E0F" w:rsidRDefault="004E1E0F" w:rsidP="004E1E0F">
            <w:r>
              <w:t>3.96.</w:t>
            </w:r>
          </w:p>
        </w:tc>
        <w:tc>
          <w:tcPr>
            <w:tcW w:w="5152" w:type="dxa"/>
          </w:tcPr>
          <w:p w14:paraId="0EEB73B2" w14:textId="78706C06" w:rsidR="004E1E0F" w:rsidRDefault="004E1E0F" w:rsidP="0069795B">
            <w:r>
              <w:t>Регистрираните лица и лицензиантите, в сътрудничество с работодателите, когато е целесъобразно, създават, поддържат и преразглеждат програма за мониторинг на работното място под надзора на служител по радиационна защита или квалифициран експерт.</w:t>
            </w:r>
          </w:p>
        </w:tc>
        <w:tc>
          <w:tcPr>
            <w:tcW w:w="1559" w:type="dxa"/>
          </w:tcPr>
          <w:p w14:paraId="79C23406" w14:textId="5007C762" w:rsidR="004E1E0F" w:rsidRDefault="00DE5355" w:rsidP="004E1E0F">
            <w:pPr>
              <w:jc w:val="center"/>
            </w:pPr>
            <w:r>
              <w:t>OR, EP</w:t>
            </w:r>
          </w:p>
        </w:tc>
        <w:tc>
          <w:tcPr>
            <w:tcW w:w="5987" w:type="dxa"/>
          </w:tcPr>
          <w:p w14:paraId="2A52CB82" w14:textId="4E00766B" w:rsidR="004E1E0F" w:rsidRPr="001F383B" w:rsidRDefault="00DE5355" w:rsidP="004E1E0F">
            <w:pPr>
              <w:rPr>
                <w:rFonts w:eastAsiaTheme="minorHAnsi" w:cstheme="minorBidi"/>
                <w:kern w:val="0"/>
              </w:rPr>
            </w:pPr>
            <w:r>
              <w:t>Това е отговорност на Собственика/Лицензианта и/или други външни страни.</w:t>
            </w:r>
          </w:p>
        </w:tc>
      </w:tr>
      <w:tr w:rsidR="004E1E0F" w14:paraId="1A9D2314" w14:textId="77777777" w:rsidTr="00AA7685">
        <w:tc>
          <w:tcPr>
            <w:tcW w:w="797" w:type="dxa"/>
          </w:tcPr>
          <w:p w14:paraId="164633F3" w14:textId="6B699961" w:rsidR="004E1E0F" w:rsidRDefault="004E1E0F" w:rsidP="004E1E0F">
            <w:r>
              <w:t>3.97.</w:t>
            </w:r>
          </w:p>
        </w:tc>
        <w:tc>
          <w:tcPr>
            <w:tcW w:w="5152" w:type="dxa"/>
          </w:tcPr>
          <w:p w14:paraId="2E2545D5" w14:textId="77777777" w:rsidR="00831B76" w:rsidRDefault="004E1E0F" w:rsidP="00831B76">
            <w:pPr>
              <w:spacing w:after="0"/>
            </w:pPr>
            <w:r>
              <w:t xml:space="preserve">Видът и честотата на мониторинга на работното място: </w:t>
            </w:r>
            <w:r>
              <w:br/>
              <w:t>(а) трябва да са достатъчни за:</w:t>
            </w:r>
          </w:p>
          <w:p w14:paraId="443A7E64" w14:textId="1DA8DB2D" w:rsidR="00831B76" w:rsidRDefault="004E1E0F" w:rsidP="00831B76">
            <w:pPr>
              <w:spacing w:after="0"/>
              <w:ind w:left="616"/>
            </w:pPr>
            <w:r>
              <w:t xml:space="preserve">(i) оценка на радиологичните условия на всички работни места; </w:t>
            </w:r>
            <w:r>
              <w:br/>
              <w:t xml:space="preserve">(ii) оценка на облъчванията в контролираните зони и наблюдаваните зони; </w:t>
            </w:r>
            <w:r>
              <w:br/>
              <w:t>(iii) преглед на класификацията на контролираните зони и наблюдаваните зони;</w:t>
            </w:r>
          </w:p>
          <w:p w14:paraId="1E43A79A" w14:textId="5A748C62" w:rsidR="004E1E0F" w:rsidRDefault="004E1E0F" w:rsidP="0069795B">
            <w:r>
              <w:t xml:space="preserve">(б) се основават на мощността на дозата, концентрацията на активност във въздуха и повърхностното радиоактивно замърсяване, както и на техните очаквани колебания и на вероятността и </w:t>
            </w:r>
            <w:r>
              <w:lastRenderedPageBreak/>
              <w:t>големината на облъчванията при очаквани експлоатационни събития и аварийни условия.</w:t>
            </w:r>
          </w:p>
        </w:tc>
        <w:tc>
          <w:tcPr>
            <w:tcW w:w="1559" w:type="dxa"/>
          </w:tcPr>
          <w:p w14:paraId="24818CDF" w14:textId="28BB09BF" w:rsidR="004E1E0F" w:rsidRDefault="00DE5355" w:rsidP="004E1E0F">
            <w:pPr>
              <w:jc w:val="center"/>
            </w:pPr>
            <w:r>
              <w:lastRenderedPageBreak/>
              <w:t>OR, EP</w:t>
            </w:r>
          </w:p>
        </w:tc>
        <w:tc>
          <w:tcPr>
            <w:tcW w:w="5987" w:type="dxa"/>
          </w:tcPr>
          <w:p w14:paraId="67F08F19" w14:textId="0B658D87" w:rsidR="001F383B" w:rsidRDefault="00DE5355" w:rsidP="004E1E0F">
            <w:pPr>
              <w:rPr>
                <w:rFonts w:eastAsiaTheme="minorHAnsi" w:cstheme="minorBidi"/>
                <w:kern w:val="0"/>
              </w:rPr>
            </w:pPr>
            <w:r>
              <w:t>Това е отговорност на Собственика/Лицензианта и/или други външни страни.</w:t>
            </w:r>
          </w:p>
          <w:p w14:paraId="19061D42" w14:textId="25F0E85D" w:rsidR="001F383B" w:rsidRPr="004E1E0F" w:rsidRDefault="001F383B" w:rsidP="004E1E0F">
            <w:pPr>
              <w:rPr>
                <w:rFonts w:eastAsiaTheme="minorEastAsia" w:cstheme="minorBidi"/>
                <w:kern w:val="0"/>
              </w:rPr>
            </w:pPr>
            <w:r>
              <w:t>Очакваните мощности на дозите могат да бъдат намерени в Глава 12 на ДКП, изготвен за централата AP1000. В тази глава се разглеждат като цяло радиационната защита и безопасността.</w:t>
            </w:r>
          </w:p>
        </w:tc>
      </w:tr>
      <w:tr w:rsidR="004E1E0F" w14:paraId="37E9DE41" w14:textId="77777777" w:rsidTr="00AA7685">
        <w:tc>
          <w:tcPr>
            <w:tcW w:w="797" w:type="dxa"/>
          </w:tcPr>
          <w:p w14:paraId="3DEAE365" w14:textId="4A74F289" w:rsidR="004E1E0F" w:rsidRDefault="004E1E0F" w:rsidP="004E1E0F">
            <w:r>
              <w:t>3.98.</w:t>
            </w:r>
          </w:p>
        </w:tc>
        <w:tc>
          <w:tcPr>
            <w:tcW w:w="5152" w:type="dxa"/>
          </w:tcPr>
          <w:p w14:paraId="77226823" w14:textId="089A5D29" w:rsidR="004E1E0F" w:rsidRDefault="004E1E0F" w:rsidP="00A12A88">
            <w:pPr>
              <w:spacing w:after="200"/>
            </w:pPr>
            <w:r>
              <w:t>Регистрираните лица и лицензиантите, в сътрудничество с работодателите, когато е целесъобразно, поддържат записи на резултатите от програмата за мониторинг на работното място. Резултатите от програмата за мониторинг на работното място се предоставят на работниците чрез техни представители, когато е целесъобразно.</w:t>
            </w:r>
          </w:p>
        </w:tc>
        <w:tc>
          <w:tcPr>
            <w:tcW w:w="1559" w:type="dxa"/>
          </w:tcPr>
          <w:p w14:paraId="7E020DBB" w14:textId="123E656A" w:rsidR="004E1E0F" w:rsidRDefault="00DE5355" w:rsidP="004E1E0F">
            <w:pPr>
              <w:jc w:val="center"/>
            </w:pPr>
            <w:r>
              <w:t>OR, EP</w:t>
            </w:r>
          </w:p>
        </w:tc>
        <w:tc>
          <w:tcPr>
            <w:tcW w:w="5987" w:type="dxa"/>
          </w:tcPr>
          <w:p w14:paraId="2FD5CB6D" w14:textId="78E67ED3" w:rsidR="004E1E0F" w:rsidRPr="004E1E0F" w:rsidRDefault="00DE5355" w:rsidP="004E1E0F">
            <w:pPr>
              <w:rPr>
                <w:rFonts w:eastAsiaTheme="minorHAnsi" w:cstheme="minorBidi"/>
                <w:kern w:val="0"/>
              </w:rPr>
            </w:pPr>
            <w:r>
              <w:t>Това е отговорност на Собственика/Лицензианта и/или други външни страни.</w:t>
            </w:r>
          </w:p>
        </w:tc>
      </w:tr>
    </w:tbl>
    <w:p w14:paraId="5D94933E" w14:textId="42D29198" w:rsidR="00683002" w:rsidRPr="008E4E23" w:rsidRDefault="008E4E23" w:rsidP="00190D0E">
      <w:pPr>
        <w:pStyle w:val="Heading3"/>
        <w:spacing w:before="240"/>
        <w:rPr>
          <w:caps/>
        </w:rPr>
      </w:pPr>
      <w:bookmarkStart w:id="55" w:name="_Toc155347802"/>
      <w:r>
        <w:t>Изискване 25: Оценка на професионалното облъчване и наблюдение на здравето на работниците</w:t>
      </w:r>
      <w:bookmarkEnd w:id="55"/>
    </w:p>
    <w:tbl>
      <w:tblPr>
        <w:tblStyle w:val="TableGrid"/>
        <w:tblW w:w="13495" w:type="dxa"/>
        <w:tblLayout w:type="fixed"/>
        <w:tblLook w:val="04A0" w:firstRow="1" w:lastRow="0" w:firstColumn="1" w:lastColumn="0" w:noHBand="0" w:noVBand="1"/>
      </w:tblPr>
      <w:tblGrid>
        <w:gridCol w:w="797"/>
        <w:gridCol w:w="5152"/>
        <w:gridCol w:w="1559"/>
        <w:gridCol w:w="5987"/>
      </w:tblGrid>
      <w:tr w:rsidR="00683002" w14:paraId="2E195CB9" w14:textId="77777777" w:rsidTr="00DC1757">
        <w:trPr>
          <w:tblHeader/>
        </w:trPr>
        <w:tc>
          <w:tcPr>
            <w:tcW w:w="797" w:type="dxa"/>
          </w:tcPr>
          <w:p w14:paraId="27E1982D" w14:textId="77777777" w:rsidR="00683002" w:rsidRDefault="00683002" w:rsidP="00B723E1"/>
        </w:tc>
        <w:tc>
          <w:tcPr>
            <w:tcW w:w="5152" w:type="dxa"/>
          </w:tcPr>
          <w:p w14:paraId="1497CA58" w14:textId="77777777" w:rsidR="00683002" w:rsidRDefault="00683002" w:rsidP="00B723E1">
            <w:r>
              <w:rPr>
                <w:b/>
              </w:rPr>
              <w:t>Описание</w:t>
            </w:r>
          </w:p>
        </w:tc>
        <w:tc>
          <w:tcPr>
            <w:tcW w:w="1559" w:type="dxa"/>
          </w:tcPr>
          <w:p w14:paraId="1E3A5D33" w14:textId="77777777" w:rsidR="00683002" w:rsidRDefault="00683002" w:rsidP="00B723E1">
            <w:r>
              <w:rPr>
                <w:b/>
              </w:rPr>
              <w:t>Съответствие</w:t>
            </w:r>
          </w:p>
        </w:tc>
        <w:tc>
          <w:tcPr>
            <w:tcW w:w="5987" w:type="dxa"/>
          </w:tcPr>
          <w:p w14:paraId="40162F17" w14:textId="77777777" w:rsidR="00683002" w:rsidRDefault="00683002" w:rsidP="00B723E1">
            <w:r>
              <w:rPr>
                <w:b/>
              </w:rPr>
              <w:t>Обосновка</w:t>
            </w:r>
          </w:p>
        </w:tc>
      </w:tr>
      <w:tr w:rsidR="00AC64CE" w14:paraId="3D8F2E88" w14:textId="77777777" w:rsidTr="00DC1757">
        <w:tc>
          <w:tcPr>
            <w:tcW w:w="797" w:type="dxa"/>
          </w:tcPr>
          <w:p w14:paraId="1E06F71B" w14:textId="77777777" w:rsidR="00AC64CE" w:rsidRDefault="00AC64CE" w:rsidP="00AC64CE"/>
        </w:tc>
        <w:tc>
          <w:tcPr>
            <w:tcW w:w="5152" w:type="dxa"/>
          </w:tcPr>
          <w:p w14:paraId="0C428EBE" w14:textId="4A0F8A34" w:rsidR="00581FC1" w:rsidRPr="00317B7E" w:rsidRDefault="00AC64CE" w:rsidP="00AC64CE">
            <w:pPr>
              <w:rPr>
                <w:b/>
                <w:bCs/>
              </w:rPr>
            </w:pPr>
            <w:r>
              <w:rPr>
                <w:b/>
              </w:rPr>
              <w:t>Работодателите, регистрираните лица и лицензиантите са отговорни за предприемането на мерки за оценка и регистриране на професионалните облъчвания и за наблюдение на здравето на работниците.</w:t>
            </w:r>
          </w:p>
        </w:tc>
        <w:tc>
          <w:tcPr>
            <w:tcW w:w="1559" w:type="dxa"/>
          </w:tcPr>
          <w:p w14:paraId="706AD0E2" w14:textId="44BBD535" w:rsidR="00AC64CE" w:rsidRDefault="00DE5355" w:rsidP="00AC64CE">
            <w:pPr>
              <w:jc w:val="center"/>
            </w:pPr>
            <w:r>
              <w:t>OR, EP</w:t>
            </w:r>
          </w:p>
        </w:tc>
        <w:tc>
          <w:tcPr>
            <w:tcW w:w="5987" w:type="dxa"/>
          </w:tcPr>
          <w:p w14:paraId="4CDC6157" w14:textId="1CF7B868" w:rsidR="005F2B3C" w:rsidRPr="005F2B3C" w:rsidRDefault="00DE5355" w:rsidP="005F2B3C">
            <w:pPr>
              <w:rPr>
                <w:kern w:val="0"/>
              </w:rPr>
            </w:pPr>
            <w:r>
              <w:t>Това е отговорност на Собственика/Лицензианта и/или други външни страни.</w:t>
            </w:r>
          </w:p>
        </w:tc>
      </w:tr>
      <w:tr w:rsidR="00AC64CE" w14:paraId="6316F053" w14:textId="77777777" w:rsidTr="004210F0">
        <w:tc>
          <w:tcPr>
            <w:tcW w:w="13495" w:type="dxa"/>
            <w:gridSpan w:val="4"/>
          </w:tcPr>
          <w:p w14:paraId="767434B5" w14:textId="5D8F9D49" w:rsidR="00AC64CE" w:rsidRPr="00317B7E" w:rsidRDefault="00AC64CE" w:rsidP="00AC64CE">
            <w:pPr>
              <w:jc w:val="center"/>
              <w:rPr>
                <w:i/>
                <w:iCs/>
              </w:rPr>
            </w:pPr>
            <w:r>
              <w:rPr>
                <w:i/>
              </w:rPr>
              <w:t>Оценка на професионалното облъчване</w:t>
            </w:r>
          </w:p>
        </w:tc>
      </w:tr>
      <w:tr w:rsidR="00D56BB7" w14:paraId="2145D8F5" w14:textId="77777777" w:rsidTr="00DC1757">
        <w:tc>
          <w:tcPr>
            <w:tcW w:w="797" w:type="dxa"/>
          </w:tcPr>
          <w:p w14:paraId="38F8EEC6" w14:textId="722DB334" w:rsidR="00D56BB7" w:rsidRDefault="00D56BB7" w:rsidP="00D56BB7">
            <w:r>
              <w:t>3.99.</w:t>
            </w:r>
          </w:p>
        </w:tc>
        <w:tc>
          <w:tcPr>
            <w:tcW w:w="5152" w:type="dxa"/>
          </w:tcPr>
          <w:p w14:paraId="40ECF3D4" w14:textId="255D3EFD" w:rsidR="00D56BB7" w:rsidRDefault="00D56BB7" w:rsidP="00D56BB7">
            <w:r>
              <w:t xml:space="preserve">Работодателите, както и самонаетите лица, регистрираните лица и лицензиантите са отговорни за предприемането на мерки за оценка на професионалното облъчване на работниците въз основа на индивидуален </w:t>
            </w:r>
            <w:r w:rsidR="005730AA">
              <w:t>дозиметричен контрол</w:t>
            </w:r>
            <w:r>
              <w:t xml:space="preserve">, когато това е целесъобразно, и гарантират, че са предприети мерки с имащи официално разрешение </w:t>
            </w:r>
            <w:r>
              <w:lastRenderedPageBreak/>
              <w:t>или одобрени доставчици на дозиметрични услуги, които работят в рамките на система за управление на качеството.</w:t>
            </w:r>
          </w:p>
        </w:tc>
        <w:tc>
          <w:tcPr>
            <w:tcW w:w="1559" w:type="dxa"/>
          </w:tcPr>
          <w:p w14:paraId="5D52D3F2" w14:textId="21C874C4" w:rsidR="00D56BB7" w:rsidRDefault="00DE5355" w:rsidP="00D56BB7">
            <w:pPr>
              <w:jc w:val="center"/>
            </w:pPr>
            <w:r>
              <w:lastRenderedPageBreak/>
              <w:t>OR, EP</w:t>
            </w:r>
          </w:p>
        </w:tc>
        <w:tc>
          <w:tcPr>
            <w:tcW w:w="5987" w:type="dxa"/>
          </w:tcPr>
          <w:p w14:paraId="390094B9" w14:textId="635E6254" w:rsidR="006116A6" w:rsidRDefault="00DE5355" w:rsidP="00D56BB7">
            <w:pPr>
              <w:rPr>
                <w:rFonts w:eastAsiaTheme="minorHAnsi" w:cstheme="minorBidi"/>
                <w:kern w:val="0"/>
              </w:rPr>
            </w:pPr>
            <w:r>
              <w:t>Това е отговорност на Собственика/Лицензианта и/или други външни страни.</w:t>
            </w:r>
          </w:p>
          <w:p w14:paraId="4D99D324" w14:textId="3181C750" w:rsidR="005F2B3C" w:rsidRPr="00D56BB7" w:rsidRDefault="005F2B3C" w:rsidP="00D56BB7">
            <w:pPr>
              <w:rPr>
                <w:rFonts w:eastAsiaTheme="minorHAnsi" w:cstheme="minorBidi"/>
                <w:kern w:val="0"/>
              </w:rPr>
            </w:pPr>
            <w:r>
              <w:t>СР</w:t>
            </w:r>
            <w:r w:rsidR="005730AA">
              <w:t>М</w:t>
            </w:r>
            <w:r>
              <w:t xml:space="preserve"> на AP1000 осигурява непрекъснат контрол на радиационните параметри, както е описано в Раздел 11.5 на ДКП. Това включва </w:t>
            </w:r>
            <w:r w:rsidR="005730AA">
              <w:t>измерване</w:t>
            </w:r>
            <w:r>
              <w:t xml:space="preserve"> на активността на газообразните и течните </w:t>
            </w:r>
            <w:r w:rsidR="005730AA">
              <w:t>емисии</w:t>
            </w:r>
            <w:r>
              <w:t xml:space="preserve">, </w:t>
            </w:r>
            <w:r w:rsidR="005730AA">
              <w:t xml:space="preserve">радиоактивните отпадъчни </w:t>
            </w:r>
            <w:r w:rsidR="005730AA">
              <w:lastRenderedPageBreak/>
              <w:t>води и газове</w:t>
            </w:r>
            <w:r>
              <w:t xml:space="preserve">, въздуха на </w:t>
            </w:r>
            <w:r w:rsidR="00E43E80">
              <w:t xml:space="preserve">територията на </w:t>
            </w:r>
            <w:r>
              <w:t>централата и определени зони, както е показано в Таблица 11.5-2 на ДКП. Преносимите (индивидуалните) дозиметри и устройства за радиационен контрол попадат в обхвата на Собственика/Лицензианта.</w:t>
            </w:r>
          </w:p>
        </w:tc>
      </w:tr>
      <w:tr w:rsidR="00D56BB7" w14:paraId="03892CC1" w14:textId="77777777" w:rsidTr="00DC1757">
        <w:tc>
          <w:tcPr>
            <w:tcW w:w="797" w:type="dxa"/>
          </w:tcPr>
          <w:p w14:paraId="0FA0F06B" w14:textId="63311CFA" w:rsidR="00D56BB7" w:rsidRDefault="00D56BB7" w:rsidP="00D56BB7">
            <w:r>
              <w:lastRenderedPageBreak/>
              <w:t>3.100.</w:t>
            </w:r>
          </w:p>
        </w:tc>
        <w:tc>
          <w:tcPr>
            <w:tcW w:w="5152" w:type="dxa"/>
          </w:tcPr>
          <w:p w14:paraId="2C34024D" w14:textId="47C70F40" w:rsidR="00D56BB7" w:rsidRDefault="00D56BB7" w:rsidP="00D56BB7">
            <w:r>
              <w:t xml:space="preserve">За всеки работник, който обикновено работи в контролирана зона или който понякога работи в контролирана зона и може да получи значителна доза на професионално облъчване, се извършва индивидуален </w:t>
            </w:r>
            <w:r w:rsidR="002C6694">
              <w:t>дозиметричен контрол</w:t>
            </w:r>
            <w:r>
              <w:t xml:space="preserve">, когато това е целесъобразно, адекватно и осъществимо. В случаите, когато индивидуалният </w:t>
            </w:r>
            <w:r w:rsidR="002C6694">
              <w:t>дозиметричен контрол</w:t>
            </w:r>
            <w:r>
              <w:t xml:space="preserve"> на работника е нецелесъобразен, неадекватен или невъзможен, професионалното облъчване се оценява въз основа на резултатите от мониторинга на работното място и информацията за местата и продължителността на облъчването на работника</w:t>
            </w:r>
            <w:r>
              <w:rPr>
                <w:vertAlign w:val="superscript"/>
              </w:rPr>
              <w:t>33</w:t>
            </w:r>
            <w:r>
              <w:t>.</w:t>
            </w:r>
          </w:p>
        </w:tc>
        <w:tc>
          <w:tcPr>
            <w:tcW w:w="1559" w:type="dxa"/>
          </w:tcPr>
          <w:p w14:paraId="62491E1C" w14:textId="32221122" w:rsidR="00D56BB7" w:rsidRDefault="00DE5355" w:rsidP="00D56BB7">
            <w:pPr>
              <w:jc w:val="center"/>
            </w:pPr>
            <w:r>
              <w:t>OR, EP</w:t>
            </w:r>
          </w:p>
        </w:tc>
        <w:tc>
          <w:tcPr>
            <w:tcW w:w="5987" w:type="dxa"/>
          </w:tcPr>
          <w:p w14:paraId="42014F81" w14:textId="272549C2" w:rsidR="00D56BB7" w:rsidRDefault="00DE5355" w:rsidP="00D56BB7">
            <w:pPr>
              <w:rPr>
                <w:rFonts w:eastAsiaTheme="minorHAnsi" w:cstheme="minorBidi"/>
                <w:kern w:val="0"/>
              </w:rPr>
            </w:pPr>
            <w:r>
              <w:t>Това е отговорност на Собственика/Лицензианта и/или други външни страни.</w:t>
            </w:r>
          </w:p>
          <w:p w14:paraId="2A1505B8" w14:textId="487CF0EF" w:rsidR="005F2B3C" w:rsidRDefault="005F2B3C" w:rsidP="00D56BB7">
            <w:r>
              <w:t>СР</w:t>
            </w:r>
            <w:r w:rsidR="00952CFA">
              <w:t>М</w:t>
            </w:r>
            <w:r>
              <w:t xml:space="preserve"> на AP1000 осигурява непрекъснат контрол на радиационните параметри, както е описано в Раздел 11.5 на ДКП. </w:t>
            </w:r>
            <w:r w:rsidR="002C6694">
              <w:t>Това включва измерване на активността на газообразните и течните емисии, радиоактивните отпадъчни води и газове, въздуха на територията на централата и определени зони, както е показано в Таблица 11.5-2 на ДКП</w:t>
            </w:r>
            <w:r>
              <w:t>. Преносимите (индивидуалните) дозиметри и устройства за радиационен контрол попадат в обхвата на Собственика/Лицензианта.</w:t>
            </w:r>
          </w:p>
        </w:tc>
      </w:tr>
      <w:tr w:rsidR="00D56BB7" w14:paraId="5E618329" w14:textId="77777777" w:rsidTr="00DC1757">
        <w:tc>
          <w:tcPr>
            <w:tcW w:w="797" w:type="dxa"/>
          </w:tcPr>
          <w:p w14:paraId="40869179" w14:textId="74F49DDE" w:rsidR="00D56BB7" w:rsidRDefault="00D56BB7" w:rsidP="00D56BB7">
            <w:r>
              <w:t>3.101.</w:t>
            </w:r>
          </w:p>
        </w:tc>
        <w:tc>
          <w:tcPr>
            <w:tcW w:w="5152" w:type="dxa"/>
          </w:tcPr>
          <w:p w14:paraId="0587B2FD" w14:textId="7C33DE68" w:rsidR="00D56BB7" w:rsidRPr="006F51FA" w:rsidRDefault="00D56BB7" w:rsidP="00D56BB7">
            <w:r>
              <w:t xml:space="preserve">За всеки работник, който редовно работи в контролирана зона или който влиза в контролирана зона само от време на време, професионалното облъчване се оценява въз основа на резултатите от мониторинга на работното място или индивидуалния </w:t>
            </w:r>
            <w:r w:rsidR="002C6694">
              <w:t>дозиметричен контрол</w:t>
            </w:r>
            <w:r>
              <w:t>, според случая.</w:t>
            </w:r>
          </w:p>
        </w:tc>
        <w:tc>
          <w:tcPr>
            <w:tcW w:w="1559" w:type="dxa"/>
          </w:tcPr>
          <w:p w14:paraId="41EA5A31" w14:textId="0B291BA8" w:rsidR="00D56BB7" w:rsidRDefault="00DE5355" w:rsidP="00D56BB7">
            <w:pPr>
              <w:jc w:val="center"/>
            </w:pPr>
            <w:r>
              <w:t>OR, EP</w:t>
            </w:r>
          </w:p>
        </w:tc>
        <w:tc>
          <w:tcPr>
            <w:tcW w:w="5987" w:type="dxa"/>
          </w:tcPr>
          <w:p w14:paraId="06208F97" w14:textId="7E4F2859" w:rsidR="00D56BB7" w:rsidRDefault="00DE5355" w:rsidP="00D56BB7">
            <w:pPr>
              <w:rPr>
                <w:rFonts w:eastAsiaTheme="minorHAnsi" w:cstheme="minorBidi"/>
                <w:kern w:val="0"/>
              </w:rPr>
            </w:pPr>
            <w:r>
              <w:t>Това е отговорност на Собственика/Лицензианта и/или други външни страни.</w:t>
            </w:r>
          </w:p>
          <w:p w14:paraId="5692F22D" w14:textId="495129CF" w:rsidR="005F2B3C" w:rsidRDefault="005F2B3C" w:rsidP="00D56BB7">
            <w:r>
              <w:t>СР</w:t>
            </w:r>
            <w:r w:rsidR="00952CFA">
              <w:t>М</w:t>
            </w:r>
            <w:r>
              <w:t xml:space="preserve"> на AP1000 осигурява непрекъснат контрол на радиационните параметри, както е описано в Раздел 11.5 на ДКП. </w:t>
            </w:r>
            <w:r w:rsidR="002C6694">
              <w:t>Това включва измерване на активността на газообразните и течните емисии, радиоактивните отпадъчни води и газове, въздуха на територията на централата и определени зони, както е показано в Таблица 11.5-2 на ДКП</w:t>
            </w:r>
            <w:r>
              <w:t xml:space="preserve">. Преносимите (индивидуалните) дозиметри и устройства за </w:t>
            </w:r>
            <w:r>
              <w:lastRenderedPageBreak/>
              <w:t>радиационен контрол попадат в обхвата на Собственика/Лицензианта.</w:t>
            </w:r>
          </w:p>
        </w:tc>
      </w:tr>
      <w:tr w:rsidR="00D56BB7" w14:paraId="330E213A" w14:textId="77777777" w:rsidTr="00DC1757">
        <w:tc>
          <w:tcPr>
            <w:tcW w:w="797" w:type="dxa"/>
          </w:tcPr>
          <w:p w14:paraId="5DF19B6D" w14:textId="43A5E3C4" w:rsidR="00D56BB7" w:rsidRDefault="00D56BB7" w:rsidP="00D56BB7">
            <w:r>
              <w:lastRenderedPageBreak/>
              <w:t>3.102.</w:t>
            </w:r>
          </w:p>
        </w:tc>
        <w:tc>
          <w:tcPr>
            <w:tcW w:w="5152" w:type="dxa"/>
          </w:tcPr>
          <w:p w14:paraId="18E49525" w14:textId="3FC4B305" w:rsidR="00D56BB7" w:rsidRPr="006F51FA" w:rsidRDefault="00D56BB7" w:rsidP="00D56BB7">
            <w:r>
              <w:t>Работодателите трябва да гарантират, че работниците, които биха могли да бъдат изложени на облъчване поради радиоактивно замърсяване, са идентифицирани, включително работниците, използващи средства за защита на дихателните органи. Работодателите организират подходящ мониторинг в обема, необходим за демонстриране на ефективността на мерките за защита и безопасност и за оценка на приема на радионуклиди и очакваните ефективни дози.</w:t>
            </w:r>
          </w:p>
        </w:tc>
        <w:tc>
          <w:tcPr>
            <w:tcW w:w="1559" w:type="dxa"/>
          </w:tcPr>
          <w:p w14:paraId="143A592D" w14:textId="187979E1" w:rsidR="00D56BB7" w:rsidRDefault="00DE5355" w:rsidP="00D56BB7">
            <w:pPr>
              <w:jc w:val="center"/>
            </w:pPr>
            <w:r>
              <w:t>OR, EP</w:t>
            </w:r>
          </w:p>
        </w:tc>
        <w:tc>
          <w:tcPr>
            <w:tcW w:w="5987" w:type="dxa"/>
          </w:tcPr>
          <w:p w14:paraId="1D7BD7AF" w14:textId="1DBE516E" w:rsidR="00D56BB7" w:rsidRDefault="00DE5355" w:rsidP="00D56BB7">
            <w:r>
              <w:t>Това е отговорност на Собственика/Лицензианта и/или други външни страни.</w:t>
            </w:r>
          </w:p>
        </w:tc>
      </w:tr>
      <w:tr w:rsidR="00D56BB7" w14:paraId="3B50C59B" w14:textId="77777777" w:rsidTr="004210F0">
        <w:tc>
          <w:tcPr>
            <w:tcW w:w="13495" w:type="dxa"/>
            <w:gridSpan w:val="4"/>
          </w:tcPr>
          <w:p w14:paraId="6740C84B" w14:textId="3F5A796A" w:rsidR="00D56BB7" w:rsidRPr="00317B7E" w:rsidRDefault="00D56BB7" w:rsidP="00D56BB7">
            <w:pPr>
              <w:jc w:val="center"/>
              <w:rPr>
                <w:i/>
                <w:iCs/>
              </w:rPr>
            </w:pPr>
            <w:r>
              <w:rPr>
                <w:i/>
              </w:rPr>
              <w:t>Записи за професионално облъчване</w:t>
            </w:r>
          </w:p>
        </w:tc>
      </w:tr>
      <w:tr w:rsidR="00DB266C" w14:paraId="1B37FBE9" w14:textId="77777777" w:rsidTr="00DC1757">
        <w:tc>
          <w:tcPr>
            <w:tcW w:w="797" w:type="dxa"/>
          </w:tcPr>
          <w:p w14:paraId="414C053C" w14:textId="463562FE" w:rsidR="00DB266C" w:rsidRDefault="00DB266C" w:rsidP="00DB266C">
            <w:r>
              <w:t>3.103.</w:t>
            </w:r>
          </w:p>
        </w:tc>
        <w:tc>
          <w:tcPr>
            <w:tcW w:w="5152" w:type="dxa"/>
          </w:tcPr>
          <w:p w14:paraId="1C719BC0" w14:textId="6ED0A3C8" w:rsidR="00DB266C" w:rsidRDefault="00DB266C" w:rsidP="00DB266C">
            <w:r>
              <w:t>Работодателите, регистрираните лица и лицензиантите трябва да поддържат записи за професионалното облъчване</w:t>
            </w:r>
            <w:r>
              <w:rPr>
                <w:vertAlign w:val="superscript"/>
              </w:rPr>
              <w:t>34</w:t>
            </w:r>
            <w:r>
              <w:rPr>
                <w:sz w:val="14"/>
              </w:rPr>
              <w:t xml:space="preserve"> </w:t>
            </w:r>
            <w:r>
              <w:t>за всеки работник, за когото се изисква оценка на професионалното облъчване съгласно т. 3.99-3.102.</w:t>
            </w:r>
          </w:p>
        </w:tc>
        <w:tc>
          <w:tcPr>
            <w:tcW w:w="1559" w:type="dxa"/>
          </w:tcPr>
          <w:p w14:paraId="4D70DD21" w14:textId="49591AE1" w:rsidR="00DB266C" w:rsidRDefault="00DE5355" w:rsidP="00DB266C">
            <w:pPr>
              <w:jc w:val="center"/>
            </w:pPr>
            <w:r>
              <w:t>OR, EP</w:t>
            </w:r>
          </w:p>
        </w:tc>
        <w:tc>
          <w:tcPr>
            <w:tcW w:w="5987" w:type="dxa"/>
          </w:tcPr>
          <w:p w14:paraId="7DE026A8" w14:textId="046DB927" w:rsidR="00DB266C" w:rsidRDefault="00DE5355" w:rsidP="00DB266C">
            <w:r>
              <w:t>Това е отговорност на Собственика/Лицензианта или други външни страни.</w:t>
            </w:r>
          </w:p>
        </w:tc>
      </w:tr>
      <w:tr w:rsidR="00DB266C" w14:paraId="46070BC4" w14:textId="77777777" w:rsidTr="00DC1757">
        <w:tc>
          <w:tcPr>
            <w:tcW w:w="797" w:type="dxa"/>
          </w:tcPr>
          <w:p w14:paraId="5BBB3337" w14:textId="3A146148" w:rsidR="00DB266C" w:rsidRDefault="00DB266C" w:rsidP="00DB266C">
            <w:r>
              <w:t>3.104.</w:t>
            </w:r>
          </w:p>
        </w:tc>
        <w:tc>
          <w:tcPr>
            <w:tcW w:w="5152" w:type="dxa"/>
          </w:tcPr>
          <w:p w14:paraId="37A89B26" w14:textId="6369E1BF" w:rsidR="00DB266C" w:rsidRDefault="00DB266C" w:rsidP="00DB266C">
            <w:r>
              <w:t xml:space="preserve">Записите за професионалното облъчване за всеки работник се съхраняват по време на целия период на трудова дейност на работника и след завършването на тази дейност, поне докато бившият работник навърши или би навършил 75-годишна възраст, и не по-малко от 30 години след прекратяване на трудовата дейност, при която </w:t>
            </w:r>
            <w:r>
              <w:lastRenderedPageBreak/>
              <w:t>работникът е бил изложен на професионално облъчване.</w:t>
            </w:r>
          </w:p>
        </w:tc>
        <w:tc>
          <w:tcPr>
            <w:tcW w:w="1559" w:type="dxa"/>
          </w:tcPr>
          <w:p w14:paraId="5A54D64C" w14:textId="3EF11F01" w:rsidR="00DB266C" w:rsidRDefault="00DE5355" w:rsidP="00DB266C">
            <w:pPr>
              <w:jc w:val="center"/>
            </w:pPr>
            <w:r>
              <w:lastRenderedPageBreak/>
              <w:t>OR, EP</w:t>
            </w:r>
          </w:p>
        </w:tc>
        <w:tc>
          <w:tcPr>
            <w:tcW w:w="5987" w:type="dxa"/>
          </w:tcPr>
          <w:p w14:paraId="03AE051E" w14:textId="670446B5" w:rsidR="00DB266C" w:rsidRDefault="00DE5355" w:rsidP="00DB266C">
            <w:r>
              <w:t>Това е отговорност на Собственика/Лицензианта и/или други външни страни.</w:t>
            </w:r>
          </w:p>
        </w:tc>
      </w:tr>
      <w:tr w:rsidR="00DB266C" w14:paraId="46D56FCC" w14:textId="77777777" w:rsidTr="00DC1757">
        <w:tc>
          <w:tcPr>
            <w:tcW w:w="797" w:type="dxa"/>
          </w:tcPr>
          <w:p w14:paraId="3051DA67" w14:textId="1F69DAE3" w:rsidR="00DB266C" w:rsidRDefault="00DB266C" w:rsidP="00DB266C">
            <w:r>
              <w:t>3.105.</w:t>
            </w:r>
          </w:p>
        </w:tc>
        <w:tc>
          <w:tcPr>
            <w:tcW w:w="5152" w:type="dxa"/>
          </w:tcPr>
          <w:p w14:paraId="4F346DEB" w14:textId="49BDB79A" w:rsidR="00DB266C" w:rsidRDefault="00DB266C" w:rsidP="00DB266C">
            <w:r>
              <w:rPr>
                <w:sz w:val="21"/>
              </w:rPr>
              <w:t>Записите за професионално облъчване включват:</w:t>
            </w:r>
            <w:r>
              <w:t xml:space="preserve"> </w:t>
            </w:r>
            <w:r>
              <w:br/>
              <w:t xml:space="preserve">(а) информация за общото естество на работата, при която работникът е бил изложен на професионално облъчване; </w:t>
            </w:r>
            <w:r>
              <w:br/>
              <w:t xml:space="preserve">б) информация за оценките на дозите, облъчванията и приемите на радионуклиди, достигнали съответните </w:t>
            </w:r>
            <w:r w:rsidR="000621F0">
              <w:t>референтни</w:t>
            </w:r>
            <w:r>
              <w:t xml:space="preserve"> нива, определени от регулаторния орган, или превишаващи тези нива, и данните, на които се основават оценките на дозите; </w:t>
            </w:r>
            <w:r>
              <w:br/>
              <w:t xml:space="preserve">в) когато работникът е или е бил облъчван, докато е работил при повече от един работодател, информация за датите на работа при всеки работодател и за дозите, облъчванията и приемите на радионуклиди при всяка такава работа; </w:t>
            </w:r>
            <w:r>
              <w:br/>
              <w:t>(г) записи за всички направени оценки на дозите, облъчванията и приемите на радионуклиди, дължащи се на действия, предприети при аварийни ситуации, аварии или други инциденти, които се фиксират отделно от оценките на дозите, облъчванията и приемите, дължащи се на нормални условия на работа, и които включват препратки към отчети за всички съответни разследвания.</w:t>
            </w:r>
          </w:p>
        </w:tc>
        <w:tc>
          <w:tcPr>
            <w:tcW w:w="1559" w:type="dxa"/>
          </w:tcPr>
          <w:p w14:paraId="2969BBAC" w14:textId="5821DBD7" w:rsidR="00DB266C" w:rsidRDefault="00DE5355" w:rsidP="00DB266C">
            <w:pPr>
              <w:jc w:val="center"/>
            </w:pPr>
            <w:r>
              <w:t>OR, EP</w:t>
            </w:r>
          </w:p>
        </w:tc>
        <w:tc>
          <w:tcPr>
            <w:tcW w:w="5987" w:type="dxa"/>
          </w:tcPr>
          <w:p w14:paraId="58516D28" w14:textId="1BB05327" w:rsidR="0020710C" w:rsidRPr="000D2147" w:rsidRDefault="00DE5355" w:rsidP="00DB266C">
            <w:pPr>
              <w:rPr>
                <w:rFonts w:eastAsiaTheme="minorHAnsi" w:cstheme="minorBidi"/>
                <w:kern w:val="0"/>
              </w:rPr>
            </w:pPr>
            <w:r>
              <w:t>Това е отговорност на Собственика/Лицензианта и/или други външни страни.</w:t>
            </w:r>
          </w:p>
        </w:tc>
      </w:tr>
      <w:tr w:rsidR="00D3440C" w14:paraId="52A3DEBF" w14:textId="77777777" w:rsidTr="00DC1757">
        <w:tc>
          <w:tcPr>
            <w:tcW w:w="797" w:type="dxa"/>
          </w:tcPr>
          <w:p w14:paraId="6D6910C9" w14:textId="472B6532" w:rsidR="00D3440C" w:rsidRDefault="00D3440C" w:rsidP="00D3440C">
            <w:r>
              <w:t>3.106.</w:t>
            </w:r>
          </w:p>
        </w:tc>
        <w:tc>
          <w:tcPr>
            <w:tcW w:w="5152" w:type="dxa"/>
          </w:tcPr>
          <w:p w14:paraId="72B5F12B" w14:textId="78F34387" w:rsidR="00D3440C" w:rsidRDefault="00D3440C" w:rsidP="00D3440C">
            <w:r>
              <w:t xml:space="preserve">Работодателите, регистрираните лица и лицензиантите: </w:t>
            </w:r>
            <w:r>
              <w:br/>
              <w:t xml:space="preserve">(а) предоставят на работниците достъп до записите </w:t>
            </w:r>
            <w:r>
              <w:lastRenderedPageBreak/>
              <w:t xml:space="preserve">за тяхното собствено професионално облъчване; </w:t>
            </w:r>
            <w:r>
              <w:br/>
              <w:t xml:space="preserve">б) предоставят на ръководителя на програмата за наблюдение на здравето на работниците, на регулаторния орган и на съответния работодател достъп до записите за професионалното облъчване на работниците; </w:t>
            </w:r>
            <w:r>
              <w:br/>
              <w:t xml:space="preserve">(в) улесняват предоставянето на копия от записите за облъчването на работниците на нови работодатели, когато работниците сменят местоработата си; </w:t>
            </w:r>
            <w:r>
              <w:br/>
              <w:t xml:space="preserve">г) предприемат мерки за съхраняване на записите за облъчването на бивши работници от работодателя, регистрираното лице или лицензианта, според случая; </w:t>
            </w:r>
            <w:r>
              <w:br/>
              <w:t>д) при изпълнението на букви а)-г) по-горе полагат дължимата грижа и внимание за запазване на поверителността на записите.</w:t>
            </w:r>
          </w:p>
        </w:tc>
        <w:tc>
          <w:tcPr>
            <w:tcW w:w="1559" w:type="dxa"/>
          </w:tcPr>
          <w:p w14:paraId="48F1EC17" w14:textId="4A55AA29" w:rsidR="00D3440C" w:rsidRDefault="00DE5355" w:rsidP="00D3440C">
            <w:pPr>
              <w:jc w:val="center"/>
            </w:pPr>
            <w:r>
              <w:lastRenderedPageBreak/>
              <w:t>OR, EP</w:t>
            </w:r>
          </w:p>
        </w:tc>
        <w:tc>
          <w:tcPr>
            <w:tcW w:w="5987" w:type="dxa"/>
          </w:tcPr>
          <w:p w14:paraId="03FB16BC" w14:textId="2ECF2D6B" w:rsidR="00D3440C" w:rsidRDefault="00DE5355" w:rsidP="00D3440C">
            <w:r>
              <w:t>Това е отговорност на Собственика/Лицензианта и/или други външни страни.</w:t>
            </w:r>
          </w:p>
        </w:tc>
      </w:tr>
      <w:tr w:rsidR="00D3440C" w14:paraId="43DE1B8D" w14:textId="77777777" w:rsidTr="00DC1757">
        <w:tc>
          <w:tcPr>
            <w:tcW w:w="797" w:type="dxa"/>
          </w:tcPr>
          <w:p w14:paraId="6662222A" w14:textId="0EE3A3E0" w:rsidR="00D3440C" w:rsidRDefault="00D3440C" w:rsidP="00D3440C">
            <w:r>
              <w:t>3.107.</w:t>
            </w:r>
          </w:p>
        </w:tc>
        <w:tc>
          <w:tcPr>
            <w:tcW w:w="5152" w:type="dxa"/>
          </w:tcPr>
          <w:p w14:paraId="2168C26F" w14:textId="77777777" w:rsidR="00D47910" w:rsidRDefault="00D3440C" w:rsidP="00D3440C">
            <w:r>
              <w:t>Ако работодателите, регистрираните лица и лицензиантите престанат да извършват дейности, при които работниците са изложени на професионално облъчване, те трябва да вземат мерки за съхраняване на записите за професионалното облъчване на работниците при регулаторния орган или в държавен регистър, или при съответния работодател, регистрирано лице или лицензиант, според случая.</w:t>
            </w:r>
          </w:p>
          <w:p w14:paraId="5DC5A143" w14:textId="6A95180E" w:rsidR="00411024" w:rsidRDefault="00411024" w:rsidP="00D3440C"/>
        </w:tc>
        <w:tc>
          <w:tcPr>
            <w:tcW w:w="1559" w:type="dxa"/>
          </w:tcPr>
          <w:p w14:paraId="01C878C9" w14:textId="101E8677" w:rsidR="00D3440C" w:rsidRDefault="00DE5355" w:rsidP="00D3440C">
            <w:pPr>
              <w:jc w:val="center"/>
            </w:pPr>
            <w:r>
              <w:t>OR, EP</w:t>
            </w:r>
          </w:p>
        </w:tc>
        <w:tc>
          <w:tcPr>
            <w:tcW w:w="5987" w:type="dxa"/>
          </w:tcPr>
          <w:p w14:paraId="02CE6AA6" w14:textId="4BA78E24" w:rsidR="00D3440C" w:rsidRDefault="00DE5355" w:rsidP="00D3440C">
            <w:r>
              <w:t>Това е отговорност на Собственика/Лицензианта и/или други външни страни.</w:t>
            </w:r>
          </w:p>
        </w:tc>
      </w:tr>
      <w:tr w:rsidR="00D3440C" w14:paraId="05CD92FA" w14:textId="77777777" w:rsidTr="004210F0">
        <w:tc>
          <w:tcPr>
            <w:tcW w:w="13495" w:type="dxa"/>
            <w:gridSpan w:val="4"/>
          </w:tcPr>
          <w:p w14:paraId="7AD984EE" w14:textId="1E083327" w:rsidR="00D3440C" w:rsidRPr="00317B7E" w:rsidRDefault="00D3440C" w:rsidP="00D3440C">
            <w:pPr>
              <w:jc w:val="center"/>
              <w:rPr>
                <w:i/>
                <w:iCs/>
              </w:rPr>
            </w:pPr>
            <w:r>
              <w:rPr>
                <w:i/>
              </w:rPr>
              <w:lastRenderedPageBreak/>
              <w:t>Наблюдение на здравето на работниците</w:t>
            </w:r>
          </w:p>
        </w:tc>
      </w:tr>
      <w:tr w:rsidR="00D3440C" w14:paraId="3A418ADA" w14:textId="77777777" w:rsidTr="00DC1757">
        <w:tc>
          <w:tcPr>
            <w:tcW w:w="797" w:type="dxa"/>
          </w:tcPr>
          <w:p w14:paraId="6014730D" w14:textId="4E126E97" w:rsidR="00D3440C" w:rsidRDefault="00D3440C" w:rsidP="00D3440C">
            <w:r>
              <w:t>3.108.</w:t>
            </w:r>
          </w:p>
        </w:tc>
        <w:tc>
          <w:tcPr>
            <w:tcW w:w="5152" w:type="dxa"/>
          </w:tcPr>
          <w:p w14:paraId="0B8EAA45" w14:textId="45D97261" w:rsidR="00D3440C" w:rsidRDefault="00D3440C" w:rsidP="00D3440C">
            <w:r>
              <w:t xml:space="preserve">Програмите за наблюдение на здравето на работниците, както се изисква в т. 3.76 (е): </w:t>
            </w:r>
            <w:r>
              <w:br/>
              <w:t xml:space="preserve">(а) се основават на общите принципи на хигиената на труда [22]; </w:t>
            </w:r>
            <w:r>
              <w:br/>
              <w:t>(б) са предназначени за оценка на първоначалната и продължаващата годност на работниците за изпълнение на предвидените за тях задачи.</w:t>
            </w:r>
          </w:p>
        </w:tc>
        <w:tc>
          <w:tcPr>
            <w:tcW w:w="1559" w:type="dxa"/>
          </w:tcPr>
          <w:p w14:paraId="7B26C5CC" w14:textId="4C702C5B" w:rsidR="00D3440C" w:rsidRDefault="00DE5355" w:rsidP="00D3440C">
            <w:pPr>
              <w:jc w:val="center"/>
            </w:pPr>
            <w:r>
              <w:t>OR, EP</w:t>
            </w:r>
          </w:p>
        </w:tc>
        <w:tc>
          <w:tcPr>
            <w:tcW w:w="5987" w:type="dxa"/>
          </w:tcPr>
          <w:p w14:paraId="197F0DCF" w14:textId="0C973C88" w:rsidR="00D3440C" w:rsidRDefault="00DE5355" w:rsidP="00D3440C">
            <w:r>
              <w:t>Това е отговорност на Собственика/Лицензианта или/и други външни страни.</w:t>
            </w:r>
          </w:p>
        </w:tc>
      </w:tr>
      <w:tr w:rsidR="00D3440C" w14:paraId="3557236D" w14:textId="77777777" w:rsidTr="00DC1757">
        <w:tc>
          <w:tcPr>
            <w:tcW w:w="797" w:type="dxa"/>
          </w:tcPr>
          <w:p w14:paraId="008178A0" w14:textId="7B063442" w:rsidR="00D3440C" w:rsidRDefault="00D3440C" w:rsidP="00D3440C">
            <w:r>
              <w:t>3.109.</w:t>
            </w:r>
          </w:p>
        </w:tc>
        <w:tc>
          <w:tcPr>
            <w:tcW w:w="5152" w:type="dxa"/>
          </w:tcPr>
          <w:p w14:paraId="01FD3652" w14:textId="0E395AC7" w:rsidR="003A1621" w:rsidRDefault="00D3440C" w:rsidP="00607CD6">
            <w:pPr>
              <w:spacing w:after="200"/>
            </w:pPr>
            <w:r>
              <w:t xml:space="preserve">Ако един или повече работници ще бъдат ангажирани с работа, при която са или биха могли да бъдат изложени на </w:t>
            </w:r>
            <w:r w:rsidR="000621F0">
              <w:t xml:space="preserve">йонизиращо лъчение </w:t>
            </w:r>
            <w:r>
              <w:t>от източник, който не е под контрола на техния работодател, регистрираното лице и лицензиантът, отговарящ за източника, като предварително условие за ангажирането на такива работници приема с работодателя всички специални мерки за наблюдение на здравето на работниците, необходими за осигуряване спазването на правилата, установени от регулаторния орган или друг съответен орган.</w:t>
            </w:r>
          </w:p>
        </w:tc>
        <w:tc>
          <w:tcPr>
            <w:tcW w:w="1559" w:type="dxa"/>
          </w:tcPr>
          <w:p w14:paraId="6A199100" w14:textId="1527CABB" w:rsidR="00D3440C" w:rsidRDefault="00DE5355" w:rsidP="00D3440C">
            <w:pPr>
              <w:jc w:val="center"/>
            </w:pPr>
            <w:r>
              <w:t>OR, EP</w:t>
            </w:r>
          </w:p>
        </w:tc>
        <w:tc>
          <w:tcPr>
            <w:tcW w:w="5987" w:type="dxa"/>
          </w:tcPr>
          <w:p w14:paraId="71DC8E97" w14:textId="3F5680A9" w:rsidR="00D3440C" w:rsidRDefault="00DE5355" w:rsidP="00D3440C">
            <w:r>
              <w:t>Това е отговорност на Собственика/Лицензианта и/или други външни страни.</w:t>
            </w:r>
          </w:p>
        </w:tc>
      </w:tr>
    </w:tbl>
    <w:p w14:paraId="7EA5CFA2" w14:textId="47CE914E" w:rsidR="00683002" w:rsidRPr="00317B7E" w:rsidRDefault="00317B7E" w:rsidP="00190D0E">
      <w:pPr>
        <w:pStyle w:val="Heading3"/>
        <w:spacing w:before="240"/>
        <w:rPr>
          <w:caps/>
        </w:rPr>
      </w:pPr>
      <w:bookmarkStart w:id="56" w:name="_Toc155347803"/>
      <w:r>
        <w:t>Изискване 26: Информация, инструктаж и обучение</w:t>
      </w:r>
      <w:bookmarkEnd w:id="56"/>
    </w:p>
    <w:tbl>
      <w:tblPr>
        <w:tblStyle w:val="TableGrid"/>
        <w:tblW w:w="13495" w:type="dxa"/>
        <w:tblLayout w:type="fixed"/>
        <w:tblLook w:val="04A0" w:firstRow="1" w:lastRow="0" w:firstColumn="1" w:lastColumn="0" w:noHBand="0" w:noVBand="1"/>
      </w:tblPr>
      <w:tblGrid>
        <w:gridCol w:w="797"/>
        <w:gridCol w:w="5152"/>
        <w:gridCol w:w="1559"/>
        <w:gridCol w:w="5987"/>
      </w:tblGrid>
      <w:tr w:rsidR="00683002" w14:paraId="3927B8B9" w14:textId="77777777" w:rsidTr="00DC1757">
        <w:trPr>
          <w:tblHeader/>
        </w:trPr>
        <w:tc>
          <w:tcPr>
            <w:tcW w:w="797" w:type="dxa"/>
          </w:tcPr>
          <w:p w14:paraId="3A1B68AC" w14:textId="77777777" w:rsidR="00683002" w:rsidRDefault="00683002" w:rsidP="00B723E1"/>
        </w:tc>
        <w:tc>
          <w:tcPr>
            <w:tcW w:w="5152" w:type="dxa"/>
          </w:tcPr>
          <w:p w14:paraId="488B5AD6" w14:textId="77777777" w:rsidR="00683002" w:rsidRDefault="00683002" w:rsidP="00B723E1">
            <w:r>
              <w:rPr>
                <w:b/>
              </w:rPr>
              <w:t>Описание</w:t>
            </w:r>
          </w:p>
        </w:tc>
        <w:tc>
          <w:tcPr>
            <w:tcW w:w="1559" w:type="dxa"/>
          </w:tcPr>
          <w:p w14:paraId="2528A11B" w14:textId="77777777" w:rsidR="00683002" w:rsidRDefault="00683002" w:rsidP="00B723E1">
            <w:r>
              <w:rPr>
                <w:b/>
              </w:rPr>
              <w:t>Съответствие</w:t>
            </w:r>
          </w:p>
        </w:tc>
        <w:tc>
          <w:tcPr>
            <w:tcW w:w="5987" w:type="dxa"/>
          </w:tcPr>
          <w:p w14:paraId="22B948B9" w14:textId="77777777" w:rsidR="00683002" w:rsidRDefault="00683002" w:rsidP="00B723E1">
            <w:r>
              <w:rPr>
                <w:b/>
              </w:rPr>
              <w:t>Обосновка</w:t>
            </w:r>
          </w:p>
        </w:tc>
      </w:tr>
      <w:tr w:rsidR="00683002" w14:paraId="5E49B4E2" w14:textId="77777777" w:rsidTr="00DC1757">
        <w:tc>
          <w:tcPr>
            <w:tcW w:w="797" w:type="dxa"/>
          </w:tcPr>
          <w:p w14:paraId="43E6710A" w14:textId="77777777" w:rsidR="00683002" w:rsidRDefault="00683002" w:rsidP="00B723E1"/>
        </w:tc>
        <w:tc>
          <w:tcPr>
            <w:tcW w:w="5152" w:type="dxa"/>
          </w:tcPr>
          <w:p w14:paraId="7A8B72AF" w14:textId="28AFA7DB" w:rsidR="00683002" w:rsidRPr="00C726AE" w:rsidRDefault="00C726AE" w:rsidP="00607CD6">
            <w:pPr>
              <w:spacing w:after="0"/>
              <w:rPr>
                <w:b/>
                <w:bCs/>
              </w:rPr>
            </w:pPr>
            <w:r>
              <w:rPr>
                <w:b/>
              </w:rPr>
              <w:t xml:space="preserve">Работодателите, регистрираните лица и лицензиантите трябва да предоставят на работниците подходяща информация, инструктаж </w:t>
            </w:r>
            <w:r>
              <w:rPr>
                <w:b/>
              </w:rPr>
              <w:lastRenderedPageBreak/>
              <w:t>и обучение по въпросите на защитата и безопасността.</w:t>
            </w:r>
          </w:p>
        </w:tc>
        <w:tc>
          <w:tcPr>
            <w:tcW w:w="1559" w:type="dxa"/>
          </w:tcPr>
          <w:p w14:paraId="52BB8C8C" w14:textId="5240544E" w:rsidR="00683002" w:rsidRDefault="00DE5355" w:rsidP="00D27590">
            <w:pPr>
              <w:jc w:val="center"/>
            </w:pPr>
            <w:r>
              <w:lastRenderedPageBreak/>
              <w:t>OR, EP</w:t>
            </w:r>
          </w:p>
        </w:tc>
        <w:tc>
          <w:tcPr>
            <w:tcW w:w="5987" w:type="dxa"/>
          </w:tcPr>
          <w:p w14:paraId="1C25BEFE" w14:textId="55D7FD30" w:rsidR="00683002" w:rsidRDefault="00DE5355" w:rsidP="00B723E1">
            <w:pPr>
              <w:rPr>
                <w:rFonts w:eastAsiaTheme="minorHAnsi" w:cstheme="minorBidi"/>
                <w:kern w:val="0"/>
              </w:rPr>
            </w:pPr>
            <w:r>
              <w:t>Това е отговорност на Собственика/Лицензианта и/или други външни страни.</w:t>
            </w:r>
          </w:p>
          <w:p w14:paraId="000BC323" w14:textId="418AA0C1" w:rsidR="007D07CB" w:rsidRDefault="009534FD" w:rsidP="00B723E1">
            <w:r>
              <w:lastRenderedPageBreak/>
              <w:t xml:space="preserve">В този случай ДКП, изготвен за централата AP1000, може да помогне. В Глава 18 на ДКП се разглеждат аспектите на човешките фактори. Цялата необходима информация за радиационната защита и безопасността може да бъде намерена в Глава 12 на ДКП. Що се отнася до процедурите, в Глава 13 на ДКП е описано провеждането на операциите. Аварийното планиране е една от точките на тази глава. Някои функции за безопасност са описани в Глава 16 на ДКП, в която се обсъждат техническите спецификации. </w:t>
            </w:r>
          </w:p>
        </w:tc>
      </w:tr>
      <w:tr w:rsidR="00F85923" w14:paraId="3BB964C7" w14:textId="77777777" w:rsidTr="00DC1757">
        <w:tc>
          <w:tcPr>
            <w:tcW w:w="797" w:type="dxa"/>
          </w:tcPr>
          <w:p w14:paraId="4CAD3185" w14:textId="67FB44BD" w:rsidR="00F85923" w:rsidRDefault="00F85923" w:rsidP="00F85923">
            <w:r>
              <w:lastRenderedPageBreak/>
              <w:t>3.110.</w:t>
            </w:r>
          </w:p>
        </w:tc>
        <w:tc>
          <w:tcPr>
            <w:tcW w:w="5152" w:type="dxa"/>
          </w:tcPr>
          <w:p w14:paraId="2B51A69E" w14:textId="5219FCCA" w:rsidR="00F85923" w:rsidRDefault="00F85923" w:rsidP="00F85923">
            <w:r>
              <w:t>Работодателите, в сътрудничество с регистрираните лица и лицензиантите:</w:t>
            </w:r>
            <w:r>
              <w:br/>
              <w:t xml:space="preserve">(а) предоставят на всички работници адекватна информация за рисковете за здравето, дължащи се на тяхното професионално облъчване при нормална експлоатация, очаквани експлоатационни събития и аварийни условия, подходящи инструктажи и обучение и периодично преквалифициране в областта на защитата и безопасността, както и адекватна информация за значението на техните действия за защитата и безопасността; </w:t>
            </w:r>
            <w:r>
              <w:br/>
              <w:t xml:space="preserve">б) предоставят на работниците, които биха могли да участват или да бъдат въвлечени в реагирането на извънредна ситуация или да бъдат засегнати от нея, подходяща информация и адекватен инструктаж, както и обучение и периодично преквалифициране за целите на защитата и безопасността; </w:t>
            </w:r>
            <w:r>
              <w:br/>
              <w:t>в) водят документация за обучението, предоставено на отделните работници.</w:t>
            </w:r>
          </w:p>
        </w:tc>
        <w:tc>
          <w:tcPr>
            <w:tcW w:w="1559" w:type="dxa"/>
          </w:tcPr>
          <w:p w14:paraId="7671B311" w14:textId="2312C065" w:rsidR="00F85923" w:rsidRDefault="00DE5355" w:rsidP="00F85923">
            <w:pPr>
              <w:jc w:val="center"/>
            </w:pPr>
            <w:r>
              <w:t>OR, EP</w:t>
            </w:r>
          </w:p>
        </w:tc>
        <w:tc>
          <w:tcPr>
            <w:tcW w:w="5987" w:type="dxa"/>
          </w:tcPr>
          <w:p w14:paraId="5CBAC4DD" w14:textId="20796D53" w:rsidR="00F85923" w:rsidRDefault="00DE5355" w:rsidP="00F85923">
            <w:pPr>
              <w:rPr>
                <w:rFonts w:eastAsiaTheme="minorHAnsi" w:cstheme="minorBidi"/>
                <w:kern w:val="0"/>
              </w:rPr>
            </w:pPr>
            <w:r>
              <w:t>Това е отговорност на Собственика/Лицензианта и/или други външни страни.</w:t>
            </w:r>
          </w:p>
          <w:p w14:paraId="02EF91CF" w14:textId="495C30E0" w:rsidR="002D6EFB" w:rsidRPr="00F85923" w:rsidRDefault="00FD1215" w:rsidP="00F85923">
            <w:pPr>
              <w:rPr>
                <w:rFonts w:eastAsiaTheme="minorEastAsia" w:cstheme="minorBidi"/>
                <w:kern w:val="0"/>
              </w:rPr>
            </w:pPr>
            <w:r>
              <w:t>Както беше споменато по-горе в това изискване, ДК</w:t>
            </w:r>
            <w:r w:rsidR="00741184">
              <w:t>П</w:t>
            </w:r>
            <w:r>
              <w:t xml:space="preserve"> може да помогне за изготвянето на съответната информация, която е от значение за радиационната защита и безопасността.</w:t>
            </w:r>
          </w:p>
        </w:tc>
      </w:tr>
    </w:tbl>
    <w:p w14:paraId="211ECFB6" w14:textId="7C4C444A" w:rsidR="00683002" w:rsidRPr="00C726AE" w:rsidRDefault="00C726AE" w:rsidP="00190D0E">
      <w:pPr>
        <w:pStyle w:val="Heading3"/>
        <w:spacing w:before="240"/>
        <w:rPr>
          <w:caps/>
        </w:rPr>
      </w:pPr>
      <w:bookmarkStart w:id="57" w:name="_Toc155347804"/>
      <w:r>
        <w:lastRenderedPageBreak/>
        <w:t>Изискване 27: Условия на труд</w:t>
      </w:r>
      <w:bookmarkEnd w:id="57"/>
    </w:p>
    <w:tbl>
      <w:tblPr>
        <w:tblStyle w:val="TableGrid"/>
        <w:tblW w:w="13495" w:type="dxa"/>
        <w:tblLayout w:type="fixed"/>
        <w:tblLook w:val="04A0" w:firstRow="1" w:lastRow="0" w:firstColumn="1" w:lastColumn="0" w:noHBand="0" w:noVBand="1"/>
      </w:tblPr>
      <w:tblGrid>
        <w:gridCol w:w="797"/>
        <w:gridCol w:w="5152"/>
        <w:gridCol w:w="1559"/>
        <w:gridCol w:w="5987"/>
      </w:tblGrid>
      <w:tr w:rsidR="00683002" w14:paraId="4CD391C4" w14:textId="77777777" w:rsidTr="00DC1757">
        <w:trPr>
          <w:tblHeader/>
        </w:trPr>
        <w:tc>
          <w:tcPr>
            <w:tcW w:w="797" w:type="dxa"/>
          </w:tcPr>
          <w:p w14:paraId="3613300A" w14:textId="77777777" w:rsidR="00683002" w:rsidRDefault="00683002" w:rsidP="00B723E1"/>
        </w:tc>
        <w:tc>
          <w:tcPr>
            <w:tcW w:w="5152" w:type="dxa"/>
          </w:tcPr>
          <w:p w14:paraId="1926CEF2" w14:textId="77777777" w:rsidR="00683002" w:rsidRDefault="00683002" w:rsidP="00B723E1">
            <w:r>
              <w:rPr>
                <w:b/>
              </w:rPr>
              <w:t>Описание</w:t>
            </w:r>
          </w:p>
        </w:tc>
        <w:tc>
          <w:tcPr>
            <w:tcW w:w="1559" w:type="dxa"/>
          </w:tcPr>
          <w:p w14:paraId="00DDCF31" w14:textId="77777777" w:rsidR="00683002" w:rsidRDefault="00683002" w:rsidP="00B723E1">
            <w:r>
              <w:rPr>
                <w:b/>
              </w:rPr>
              <w:t>Съответствие</w:t>
            </w:r>
          </w:p>
        </w:tc>
        <w:tc>
          <w:tcPr>
            <w:tcW w:w="5987" w:type="dxa"/>
          </w:tcPr>
          <w:p w14:paraId="586243E5" w14:textId="77777777" w:rsidR="00683002" w:rsidRDefault="00683002" w:rsidP="00B723E1">
            <w:r>
              <w:rPr>
                <w:b/>
              </w:rPr>
              <w:t>Обосновка</w:t>
            </w:r>
          </w:p>
        </w:tc>
      </w:tr>
      <w:tr w:rsidR="00683002" w14:paraId="141FB018" w14:textId="77777777" w:rsidTr="00DC1757">
        <w:tc>
          <w:tcPr>
            <w:tcW w:w="797" w:type="dxa"/>
          </w:tcPr>
          <w:p w14:paraId="6B8BEEE2" w14:textId="77777777" w:rsidR="00683002" w:rsidRDefault="00683002" w:rsidP="00B723E1"/>
        </w:tc>
        <w:tc>
          <w:tcPr>
            <w:tcW w:w="5152" w:type="dxa"/>
          </w:tcPr>
          <w:p w14:paraId="72583668" w14:textId="70CBDE22" w:rsidR="00683002" w:rsidRPr="00675C63" w:rsidRDefault="00C726AE" w:rsidP="00675C63">
            <w:pPr>
              <w:rPr>
                <w:b/>
                <w:bCs/>
              </w:rPr>
            </w:pPr>
            <w:r>
              <w:rPr>
                <w:b/>
              </w:rPr>
              <w:t xml:space="preserve">Работодателите, регистрираните лица и лицензиантите не предлагат </w:t>
            </w:r>
            <w:r w:rsidR="00E92448">
              <w:rPr>
                <w:b/>
              </w:rPr>
              <w:t>допълнителни ползи</w:t>
            </w:r>
            <w:r>
              <w:rPr>
                <w:b/>
              </w:rPr>
              <w:t xml:space="preserve"> като заместители на мерки за защита и безопасност.</w:t>
            </w:r>
          </w:p>
        </w:tc>
        <w:tc>
          <w:tcPr>
            <w:tcW w:w="1559" w:type="dxa"/>
          </w:tcPr>
          <w:p w14:paraId="3D2C199C" w14:textId="240B6488" w:rsidR="00683002" w:rsidRDefault="00DE5355" w:rsidP="00D27590">
            <w:pPr>
              <w:jc w:val="center"/>
            </w:pPr>
            <w:r>
              <w:t>OR, EP</w:t>
            </w:r>
          </w:p>
        </w:tc>
        <w:tc>
          <w:tcPr>
            <w:tcW w:w="5987" w:type="dxa"/>
          </w:tcPr>
          <w:p w14:paraId="5FDF49D1" w14:textId="7A5BA30C" w:rsidR="00FE39EB" w:rsidRPr="00FE39EB" w:rsidRDefault="00DE5355" w:rsidP="00B723E1">
            <w:r>
              <w:t>Това е отговорност на Собственика/Лицензианта и/или други външни страни.</w:t>
            </w:r>
          </w:p>
        </w:tc>
      </w:tr>
      <w:tr w:rsidR="00683002" w14:paraId="2222304D" w14:textId="77777777" w:rsidTr="00DC1757">
        <w:tc>
          <w:tcPr>
            <w:tcW w:w="797" w:type="dxa"/>
          </w:tcPr>
          <w:p w14:paraId="1EB3420B" w14:textId="5CF14ECA" w:rsidR="00683002" w:rsidRDefault="00FA0463" w:rsidP="00B723E1">
            <w:r>
              <w:t>3.111.</w:t>
            </w:r>
          </w:p>
        </w:tc>
        <w:tc>
          <w:tcPr>
            <w:tcW w:w="5152" w:type="dxa"/>
          </w:tcPr>
          <w:p w14:paraId="5DF951BF" w14:textId="25AEC49D" w:rsidR="00683002" w:rsidRDefault="00C726AE" w:rsidP="00C726AE">
            <w:r>
              <w:t>Условията на труд на работниците не зависят от това дали те са или биха могли да бъдат изложени на професионално облъчване. Специални компенсаторни мерки или преференциални условия по отношение на заплата, специално застрахователно покритие, работно време, продължителност на отпуската, допълнителни почивни дни или обезщетения при пенсиониране не могат да се предоставят, нито да се използват като заместители на мерките за защита и безопасност в съответствие с изискванията на настоящите стандарти.</w:t>
            </w:r>
          </w:p>
        </w:tc>
        <w:tc>
          <w:tcPr>
            <w:tcW w:w="1559" w:type="dxa"/>
          </w:tcPr>
          <w:p w14:paraId="40C1FD9B" w14:textId="5202ADC6" w:rsidR="00683002" w:rsidRDefault="00DE5355" w:rsidP="00D27590">
            <w:pPr>
              <w:jc w:val="center"/>
            </w:pPr>
            <w:r>
              <w:t>OR, EP</w:t>
            </w:r>
          </w:p>
        </w:tc>
        <w:tc>
          <w:tcPr>
            <w:tcW w:w="5987" w:type="dxa"/>
          </w:tcPr>
          <w:p w14:paraId="6D2AE864" w14:textId="1AE6A6E8" w:rsidR="00683002" w:rsidRDefault="00DE5355" w:rsidP="00B723E1">
            <w:r>
              <w:t>Това е отговорност на Собственика/Лицензианта и/или други външни страни.</w:t>
            </w:r>
          </w:p>
        </w:tc>
      </w:tr>
      <w:tr w:rsidR="00F11479" w14:paraId="689F8D8A" w14:textId="77777777" w:rsidTr="00DC1757">
        <w:tc>
          <w:tcPr>
            <w:tcW w:w="797" w:type="dxa"/>
          </w:tcPr>
          <w:p w14:paraId="14A3CA13" w14:textId="25493B53" w:rsidR="00F11479" w:rsidRDefault="00F11479" w:rsidP="00F11479">
            <w:r>
              <w:t>3.112.</w:t>
            </w:r>
          </w:p>
        </w:tc>
        <w:tc>
          <w:tcPr>
            <w:tcW w:w="5152" w:type="dxa"/>
          </w:tcPr>
          <w:p w14:paraId="6A8BF50B" w14:textId="5815B99C" w:rsidR="003A1621" w:rsidRDefault="00F11479" w:rsidP="00F11479">
            <w:r>
              <w:t>Работодателите полагат всички разумни усилия, за да осигурят на работниците подходяща алтернативна заетост при обстоятелства, за които е установено от регулаторния орган или в рамките на програмата за наблюдение на здравето на работниците в съответствие с изискванията на настоящите стандарти, че работниците по здравословни причини не могат повече да продължат работата, при която са или биха могли да бъдат подложени на професионално облъчване.</w:t>
            </w:r>
          </w:p>
        </w:tc>
        <w:tc>
          <w:tcPr>
            <w:tcW w:w="1559" w:type="dxa"/>
          </w:tcPr>
          <w:p w14:paraId="1644A567" w14:textId="4E8B58A0" w:rsidR="00F11479" w:rsidRDefault="00DE5355" w:rsidP="00F11479">
            <w:pPr>
              <w:jc w:val="center"/>
            </w:pPr>
            <w:r>
              <w:t>OR, EP</w:t>
            </w:r>
          </w:p>
        </w:tc>
        <w:tc>
          <w:tcPr>
            <w:tcW w:w="5987" w:type="dxa"/>
          </w:tcPr>
          <w:p w14:paraId="628A244D" w14:textId="7AB09271" w:rsidR="00F11479" w:rsidRDefault="00DE5355" w:rsidP="00F11479">
            <w:r>
              <w:t>Това е отговорност на Собственика/Лицензианта и/или други външни страни.</w:t>
            </w:r>
          </w:p>
        </w:tc>
      </w:tr>
    </w:tbl>
    <w:p w14:paraId="78B72600" w14:textId="547E67DE" w:rsidR="00683002" w:rsidRPr="00C726AE" w:rsidRDefault="00C726AE" w:rsidP="00190D0E">
      <w:pPr>
        <w:pStyle w:val="Heading3"/>
        <w:spacing w:before="240"/>
        <w:rPr>
          <w:caps/>
        </w:rPr>
      </w:pPr>
      <w:bookmarkStart w:id="58" w:name="_Toc155347805"/>
      <w:r>
        <w:lastRenderedPageBreak/>
        <w:t xml:space="preserve">Изискване 28: Специални мерки за защита и безопасност на </w:t>
      </w:r>
      <w:r w:rsidR="00D95AB1">
        <w:t>бременни и кърмещи жени</w:t>
      </w:r>
      <w:r>
        <w:t xml:space="preserve"> и лица под 18 години, които се обучават</w:t>
      </w:r>
      <w:bookmarkEnd w:id="58"/>
    </w:p>
    <w:tbl>
      <w:tblPr>
        <w:tblStyle w:val="TableGrid"/>
        <w:tblW w:w="13495" w:type="dxa"/>
        <w:tblLayout w:type="fixed"/>
        <w:tblLook w:val="04A0" w:firstRow="1" w:lastRow="0" w:firstColumn="1" w:lastColumn="0" w:noHBand="0" w:noVBand="1"/>
      </w:tblPr>
      <w:tblGrid>
        <w:gridCol w:w="797"/>
        <w:gridCol w:w="5152"/>
        <w:gridCol w:w="1559"/>
        <w:gridCol w:w="5987"/>
      </w:tblGrid>
      <w:tr w:rsidR="00683002" w14:paraId="1E077472" w14:textId="77777777" w:rsidTr="00DC1757">
        <w:trPr>
          <w:tblHeader/>
        </w:trPr>
        <w:tc>
          <w:tcPr>
            <w:tcW w:w="797" w:type="dxa"/>
          </w:tcPr>
          <w:p w14:paraId="2539B747" w14:textId="77777777" w:rsidR="00683002" w:rsidRDefault="00683002" w:rsidP="00B723E1"/>
        </w:tc>
        <w:tc>
          <w:tcPr>
            <w:tcW w:w="5152" w:type="dxa"/>
          </w:tcPr>
          <w:p w14:paraId="3238DA36" w14:textId="77777777" w:rsidR="00683002" w:rsidRDefault="00683002" w:rsidP="00B723E1">
            <w:r>
              <w:rPr>
                <w:b/>
              </w:rPr>
              <w:t>Описание</w:t>
            </w:r>
          </w:p>
        </w:tc>
        <w:tc>
          <w:tcPr>
            <w:tcW w:w="1559" w:type="dxa"/>
          </w:tcPr>
          <w:p w14:paraId="4A182508" w14:textId="77777777" w:rsidR="00683002" w:rsidRDefault="00683002" w:rsidP="00B723E1">
            <w:r>
              <w:rPr>
                <w:b/>
              </w:rPr>
              <w:t>Съответствие</w:t>
            </w:r>
          </w:p>
        </w:tc>
        <w:tc>
          <w:tcPr>
            <w:tcW w:w="5987" w:type="dxa"/>
          </w:tcPr>
          <w:p w14:paraId="1B516E76" w14:textId="77777777" w:rsidR="00683002" w:rsidRDefault="00683002" w:rsidP="00B723E1">
            <w:r>
              <w:rPr>
                <w:b/>
              </w:rPr>
              <w:t>Обосновка</w:t>
            </w:r>
          </w:p>
        </w:tc>
      </w:tr>
      <w:tr w:rsidR="004C2147" w14:paraId="00A56BEF" w14:textId="77777777" w:rsidTr="00DC1757">
        <w:tc>
          <w:tcPr>
            <w:tcW w:w="797" w:type="dxa"/>
          </w:tcPr>
          <w:p w14:paraId="1F0AE925" w14:textId="77777777" w:rsidR="004C2147" w:rsidRDefault="004C2147" w:rsidP="004C2147"/>
        </w:tc>
        <w:tc>
          <w:tcPr>
            <w:tcW w:w="5152" w:type="dxa"/>
          </w:tcPr>
          <w:p w14:paraId="009EFEF8" w14:textId="2321C12B" w:rsidR="004C2147" w:rsidRPr="00C726AE" w:rsidRDefault="004C2147" w:rsidP="00D47910">
            <w:pPr>
              <w:spacing w:after="240"/>
              <w:rPr>
                <w:b/>
                <w:bCs/>
              </w:rPr>
            </w:pPr>
            <w:r>
              <w:rPr>
                <w:b/>
              </w:rPr>
              <w:t xml:space="preserve">Работодателите, регистрираните лица и лицензиантите предприемат специални мерки за </w:t>
            </w:r>
            <w:r w:rsidR="00D95AB1">
              <w:rPr>
                <w:b/>
              </w:rPr>
              <w:t>бременните и кърмещи жени</w:t>
            </w:r>
            <w:r>
              <w:rPr>
                <w:b/>
              </w:rPr>
              <w:t>, ако е необходимо, с цел защита на зародиша или плода и кърмачетата. Работодателите, регистрираните лица и лицензиантите вземат специални мерки за защита и безопасност на лица под 18 години, които преминават обучение.</w:t>
            </w:r>
          </w:p>
        </w:tc>
        <w:tc>
          <w:tcPr>
            <w:tcW w:w="1559" w:type="dxa"/>
          </w:tcPr>
          <w:p w14:paraId="6EA8315B" w14:textId="370334DE" w:rsidR="004C2147" w:rsidRDefault="00DE5355" w:rsidP="004C2147">
            <w:pPr>
              <w:jc w:val="center"/>
            </w:pPr>
            <w:r>
              <w:t>OR, EP</w:t>
            </w:r>
          </w:p>
        </w:tc>
        <w:tc>
          <w:tcPr>
            <w:tcW w:w="5987" w:type="dxa"/>
          </w:tcPr>
          <w:p w14:paraId="457A51EB" w14:textId="20BA5016" w:rsidR="004C2147" w:rsidRPr="001D4FC4" w:rsidRDefault="00DE5355" w:rsidP="008D5B65">
            <w:pPr>
              <w:tabs>
                <w:tab w:val="clear" w:pos="720"/>
                <w:tab w:val="clear" w:pos="1296"/>
                <w:tab w:val="clear" w:pos="1872"/>
                <w:tab w:val="clear" w:pos="2448"/>
              </w:tabs>
              <w:autoSpaceDE w:val="0"/>
              <w:autoSpaceDN w:val="0"/>
              <w:adjustRightInd w:val="0"/>
              <w:spacing w:after="0" w:line="240" w:lineRule="auto"/>
              <w:rPr>
                <w:rFonts w:eastAsiaTheme="minorEastAsia" w:cstheme="minorBidi"/>
              </w:rPr>
            </w:pPr>
            <w:r>
              <w:t>Собственикът/Лицензиантът и/или други външни страни са отговорни за създаването на специални мерки за защита и безопасност, за да се гарантира, че за лицата, описани в изискването, не се превишава установената граница, докато има желание се позволи на описаното лице да влезе на площадката на електроцентралата AP1000.</w:t>
            </w:r>
          </w:p>
        </w:tc>
      </w:tr>
      <w:tr w:rsidR="004C2147" w14:paraId="6492F918" w14:textId="77777777" w:rsidTr="00DC1757">
        <w:tc>
          <w:tcPr>
            <w:tcW w:w="797" w:type="dxa"/>
          </w:tcPr>
          <w:p w14:paraId="652A4ED8" w14:textId="68D06F5F" w:rsidR="004C2147" w:rsidRDefault="004C2147" w:rsidP="004C2147">
            <w:r>
              <w:t>3.113.</w:t>
            </w:r>
          </w:p>
        </w:tc>
        <w:tc>
          <w:tcPr>
            <w:tcW w:w="5152" w:type="dxa"/>
          </w:tcPr>
          <w:p w14:paraId="231F95F4" w14:textId="499FFDD2" w:rsidR="004C2147" w:rsidRDefault="004C2147" w:rsidP="00D47910">
            <w:pPr>
              <w:spacing w:after="240"/>
            </w:pPr>
            <w:r>
              <w:t xml:space="preserve">Работодателите, в сътрудничество с регистрираните лица и лицензиантите, трябва да предоставят на </w:t>
            </w:r>
            <w:r w:rsidR="008967ED">
              <w:rPr>
                <w:b/>
              </w:rPr>
              <w:t>бременните и кърмещи жени</w:t>
            </w:r>
            <w:r>
              <w:t xml:space="preserve">, които могат да влизат в контролирани или наблюдавани зони, или които могат да поемат служебни задължения в извънредна ситуация, съответна информация относно: </w:t>
            </w:r>
            <w:r>
              <w:br/>
              <w:t xml:space="preserve">(а) рискът за зародиша или плода поради облъчване на бременна жена; </w:t>
            </w:r>
            <w:r>
              <w:br/>
              <w:t xml:space="preserve">(б) важността за </w:t>
            </w:r>
            <w:r w:rsidR="008967ED">
              <w:t>жената</w:t>
            </w:r>
            <w:r>
              <w:t xml:space="preserve"> да уведоми работодателя си възможно най-скоро, ако подозира, че е бременна</w:t>
            </w:r>
            <w:r>
              <w:rPr>
                <w:vertAlign w:val="superscript"/>
              </w:rPr>
              <w:t>35</w:t>
            </w:r>
            <w:r>
              <w:rPr>
                <w:sz w:val="14"/>
              </w:rPr>
              <w:t xml:space="preserve"> </w:t>
            </w:r>
            <w:r>
              <w:t xml:space="preserve">или ако кърми; </w:t>
            </w:r>
            <w:r>
              <w:br/>
              <w:t>(в) риска от последици върху здравето на кърмачето поради поглъщане на радиоактивни вещества.</w:t>
            </w:r>
          </w:p>
        </w:tc>
        <w:tc>
          <w:tcPr>
            <w:tcW w:w="1559" w:type="dxa"/>
          </w:tcPr>
          <w:p w14:paraId="0DC87CA6" w14:textId="4CE7B07C" w:rsidR="004C2147" w:rsidRDefault="00DE5355" w:rsidP="004C2147">
            <w:pPr>
              <w:jc w:val="center"/>
            </w:pPr>
            <w:r>
              <w:t>OR, EP</w:t>
            </w:r>
          </w:p>
        </w:tc>
        <w:tc>
          <w:tcPr>
            <w:tcW w:w="5987" w:type="dxa"/>
          </w:tcPr>
          <w:p w14:paraId="5F6298F6" w14:textId="08EEA1C5" w:rsidR="004C2147" w:rsidRDefault="00DE5355" w:rsidP="004C2147">
            <w:r>
              <w:t>Това е отговорност на Собственика/Лицензианта и/или други външни страни.</w:t>
            </w:r>
          </w:p>
        </w:tc>
      </w:tr>
      <w:tr w:rsidR="004C2147" w14:paraId="2F153E9D" w14:textId="77777777" w:rsidTr="00DC1757">
        <w:tc>
          <w:tcPr>
            <w:tcW w:w="797" w:type="dxa"/>
          </w:tcPr>
          <w:p w14:paraId="756B04DA" w14:textId="4E5F819D" w:rsidR="004C2147" w:rsidRDefault="004C2147" w:rsidP="004C2147">
            <w:r>
              <w:t>3.114.</w:t>
            </w:r>
          </w:p>
        </w:tc>
        <w:tc>
          <w:tcPr>
            <w:tcW w:w="5152" w:type="dxa"/>
          </w:tcPr>
          <w:p w14:paraId="25A6180E" w14:textId="68F94329" w:rsidR="004C2147" w:rsidRDefault="004C2147" w:rsidP="00D47910">
            <w:pPr>
              <w:spacing w:after="240"/>
            </w:pPr>
            <w:r>
              <w:t xml:space="preserve">Уведомлението от работничката до работодателя, ако работничката подозира, че е бременна или ако кърми, не се смята за причина за отстраняване на </w:t>
            </w:r>
            <w:r>
              <w:lastRenderedPageBreak/>
              <w:t>работничката от работа. Работодателят на работничка, който е бил уведомен за предполагаема бременност или за кърмене, адаптира условията на труд по отношение на професионалното облъчване, така че да гарантира, че на зародиша, плода или кърмачето да се осигури същото широко ниво на защита, както се изисква за лицата от населението.</w:t>
            </w:r>
          </w:p>
        </w:tc>
        <w:tc>
          <w:tcPr>
            <w:tcW w:w="1559" w:type="dxa"/>
          </w:tcPr>
          <w:p w14:paraId="6FF5AA79" w14:textId="321BEC2F" w:rsidR="004C2147" w:rsidRDefault="00DE5355" w:rsidP="004C2147">
            <w:pPr>
              <w:jc w:val="center"/>
            </w:pPr>
            <w:r>
              <w:lastRenderedPageBreak/>
              <w:t>OR, EP</w:t>
            </w:r>
          </w:p>
        </w:tc>
        <w:tc>
          <w:tcPr>
            <w:tcW w:w="5987" w:type="dxa"/>
          </w:tcPr>
          <w:p w14:paraId="3E99D88C" w14:textId="7FA97DB1" w:rsidR="004C2147" w:rsidRDefault="00DE5355" w:rsidP="004C2147">
            <w:r>
              <w:t>Това е отговорност на Собственика/Лицензианта или други външни страни.</w:t>
            </w:r>
          </w:p>
        </w:tc>
      </w:tr>
      <w:tr w:rsidR="004C2147" w14:paraId="01F84850" w14:textId="77777777" w:rsidTr="00DC1757">
        <w:tc>
          <w:tcPr>
            <w:tcW w:w="797" w:type="dxa"/>
          </w:tcPr>
          <w:p w14:paraId="5D0FD903" w14:textId="0CCD2ED2" w:rsidR="004C2147" w:rsidRDefault="004C2147" w:rsidP="004C2147">
            <w:r>
              <w:t>3.115.</w:t>
            </w:r>
          </w:p>
        </w:tc>
        <w:tc>
          <w:tcPr>
            <w:tcW w:w="5152" w:type="dxa"/>
          </w:tcPr>
          <w:p w14:paraId="440528F9" w14:textId="34E99CB3" w:rsidR="004C2147" w:rsidRDefault="004C2147" w:rsidP="008C0E6E">
            <w:pPr>
              <w:spacing w:after="160"/>
            </w:pPr>
            <w:r>
              <w:t>Работодателите, регистрираните лица и лицензиантите гарантират, че нито едно лице под 16-годишна възраст не е или не би могло да бъде подложено на професионално облъчване.</w:t>
            </w:r>
          </w:p>
        </w:tc>
        <w:tc>
          <w:tcPr>
            <w:tcW w:w="1559" w:type="dxa"/>
          </w:tcPr>
          <w:p w14:paraId="1501ACFB" w14:textId="5AEDAED7" w:rsidR="004C2147" w:rsidRDefault="00DE5355" w:rsidP="004C2147">
            <w:pPr>
              <w:jc w:val="center"/>
            </w:pPr>
            <w:r>
              <w:t>OR, EP</w:t>
            </w:r>
          </w:p>
        </w:tc>
        <w:tc>
          <w:tcPr>
            <w:tcW w:w="5987" w:type="dxa"/>
          </w:tcPr>
          <w:p w14:paraId="7C55C876" w14:textId="7027B0ED" w:rsidR="004C2147" w:rsidRDefault="00DE5355" w:rsidP="004C2147">
            <w:r>
              <w:t>Това е отговорност на Собственика/Лицензианта или други външни страни.</w:t>
            </w:r>
          </w:p>
        </w:tc>
      </w:tr>
      <w:tr w:rsidR="004C2147" w14:paraId="6572F745" w14:textId="77777777" w:rsidTr="00DC1757">
        <w:tc>
          <w:tcPr>
            <w:tcW w:w="797" w:type="dxa"/>
          </w:tcPr>
          <w:p w14:paraId="2CFAD8D7" w14:textId="2F50F38D" w:rsidR="004C2147" w:rsidRDefault="004C2147" w:rsidP="004C2147">
            <w:r>
              <w:t>3.116.</w:t>
            </w:r>
          </w:p>
        </w:tc>
        <w:tc>
          <w:tcPr>
            <w:tcW w:w="5152" w:type="dxa"/>
          </w:tcPr>
          <w:p w14:paraId="2E5D774B" w14:textId="0CCCE4A0" w:rsidR="003166AA" w:rsidRPr="00894DF1" w:rsidRDefault="004C2147" w:rsidP="00D47910">
            <w:r>
              <w:t>Работодателите, регистрираните лица и лицензиантите гарантират, че на лица под 18-годишна възраст се разрешава достъп до контролирана зона само под наблюдение и само за целите на обучение за работа, при която те са или биха могли да бъдат изложени на професионално облъчване, или за целите на изследвания, при които се използват източници.</w:t>
            </w:r>
          </w:p>
        </w:tc>
        <w:tc>
          <w:tcPr>
            <w:tcW w:w="1559" w:type="dxa"/>
          </w:tcPr>
          <w:p w14:paraId="52B631CA" w14:textId="351F4C07" w:rsidR="004C2147" w:rsidRDefault="00DE5355" w:rsidP="004C2147">
            <w:pPr>
              <w:jc w:val="center"/>
            </w:pPr>
            <w:r>
              <w:t>OR, EP</w:t>
            </w:r>
          </w:p>
        </w:tc>
        <w:tc>
          <w:tcPr>
            <w:tcW w:w="5987" w:type="dxa"/>
          </w:tcPr>
          <w:p w14:paraId="32A0FF68" w14:textId="07437966" w:rsidR="004C2147" w:rsidRDefault="00DE5355" w:rsidP="004C2147">
            <w:r>
              <w:t>Това е отговорност на Собственика/Лицензианта или други външни страни.</w:t>
            </w:r>
          </w:p>
        </w:tc>
      </w:tr>
    </w:tbl>
    <w:p w14:paraId="3B81211A" w14:textId="5D9E2DED" w:rsidR="00894DF1" w:rsidRDefault="00894DF1" w:rsidP="00894DF1">
      <w:pPr>
        <w:spacing w:before="240" w:after="0"/>
        <w:rPr>
          <w:b/>
          <w:bCs/>
          <w:caps/>
          <w:sz w:val="24"/>
          <w:szCs w:val="24"/>
        </w:rPr>
      </w:pPr>
      <w:r>
        <w:rPr>
          <w:b/>
          <w:caps/>
          <w:sz w:val="24"/>
        </w:rPr>
        <w:tab/>
        <w:t>Облъчване на населението</w:t>
      </w:r>
    </w:p>
    <w:p w14:paraId="70463883" w14:textId="5DDB0F57" w:rsidR="00683002" w:rsidRPr="00894DF1" w:rsidRDefault="00894DF1" w:rsidP="00894DF1">
      <w:pPr>
        <w:rPr>
          <w:b/>
          <w:bCs/>
          <w:sz w:val="24"/>
        </w:rPr>
      </w:pPr>
      <w:r>
        <w:rPr>
          <w:b/>
          <w:caps/>
          <w:sz w:val="24"/>
        </w:rPr>
        <w:tab/>
      </w:r>
      <w:r>
        <w:rPr>
          <w:b/>
          <w:sz w:val="24"/>
        </w:rPr>
        <w:t>Обхват</w:t>
      </w:r>
    </w:p>
    <w:tbl>
      <w:tblPr>
        <w:tblStyle w:val="TableGrid"/>
        <w:tblW w:w="13495" w:type="dxa"/>
        <w:tblLayout w:type="fixed"/>
        <w:tblLook w:val="04A0" w:firstRow="1" w:lastRow="0" w:firstColumn="1" w:lastColumn="0" w:noHBand="0" w:noVBand="1"/>
      </w:tblPr>
      <w:tblGrid>
        <w:gridCol w:w="797"/>
        <w:gridCol w:w="5152"/>
        <w:gridCol w:w="1559"/>
        <w:gridCol w:w="5987"/>
      </w:tblGrid>
      <w:tr w:rsidR="00683002" w14:paraId="3111B4D9" w14:textId="77777777" w:rsidTr="006E0B09">
        <w:trPr>
          <w:tblHeader/>
        </w:trPr>
        <w:tc>
          <w:tcPr>
            <w:tcW w:w="797" w:type="dxa"/>
          </w:tcPr>
          <w:p w14:paraId="50F2FE4A" w14:textId="77777777" w:rsidR="00683002" w:rsidRDefault="00683002" w:rsidP="00B723E1"/>
        </w:tc>
        <w:tc>
          <w:tcPr>
            <w:tcW w:w="5152" w:type="dxa"/>
          </w:tcPr>
          <w:p w14:paraId="15122ABC" w14:textId="77777777" w:rsidR="00683002" w:rsidRDefault="00683002" w:rsidP="00B723E1">
            <w:r>
              <w:rPr>
                <w:b/>
              </w:rPr>
              <w:t>Описание</w:t>
            </w:r>
          </w:p>
        </w:tc>
        <w:tc>
          <w:tcPr>
            <w:tcW w:w="1559" w:type="dxa"/>
          </w:tcPr>
          <w:p w14:paraId="74FE3D91" w14:textId="77777777" w:rsidR="00683002" w:rsidRDefault="00683002" w:rsidP="00B723E1">
            <w:r>
              <w:rPr>
                <w:b/>
              </w:rPr>
              <w:t>Съответствие</w:t>
            </w:r>
          </w:p>
        </w:tc>
        <w:tc>
          <w:tcPr>
            <w:tcW w:w="5987" w:type="dxa"/>
          </w:tcPr>
          <w:p w14:paraId="588CEA9F" w14:textId="77777777" w:rsidR="00683002" w:rsidRDefault="00683002" w:rsidP="00B723E1">
            <w:r>
              <w:rPr>
                <w:b/>
              </w:rPr>
              <w:t>Обосновка</w:t>
            </w:r>
          </w:p>
        </w:tc>
      </w:tr>
      <w:tr w:rsidR="00683002" w14:paraId="0852EA1B" w14:textId="77777777" w:rsidTr="006E0B09">
        <w:tc>
          <w:tcPr>
            <w:tcW w:w="797" w:type="dxa"/>
          </w:tcPr>
          <w:p w14:paraId="0F53AF91" w14:textId="78069B52" w:rsidR="00683002" w:rsidRDefault="00FA0463" w:rsidP="00B723E1">
            <w:r>
              <w:t>3.117.</w:t>
            </w:r>
          </w:p>
        </w:tc>
        <w:tc>
          <w:tcPr>
            <w:tcW w:w="5152" w:type="dxa"/>
          </w:tcPr>
          <w:p w14:paraId="18831323" w14:textId="6F42A435" w:rsidR="003A1621" w:rsidRPr="00815E9C" w:rsidRDefault="00FA0463" w:rsidP="00D47910">
            <w:r>
              <w:t xml:space="preserve">Изискванията по отношение на облъчването на населението в ситуации на планирано облъчване (т. </w:t>
            </w:r>
            <w:r>
              <w:lastRenderedPageBreak/>
              <w:t>3.118-3.144) се прилагат за облъчване на населението, дължащо се на практическа дейност или източник в рамките на практическата дейност, както е посочено в т. 3.1-3.3. За облъчване, дължащо се на природни (естествени) източници, такива изисквания се прилагат само за типовете облъчване на населението, посочени в т. 3.4 (а) и (б).</w:t>
            </w:r>
          </w:p>
        </w:tc>
        <w:tc>
          <w:tcPr>
            <w:tcW w:w="1559" w:type="dxa"/>
          </w:tcPr>
          <w:p w14:paraId="7781E7CC" w14:textId="420C2521" w:rsidR="00683002" w:rsidRDefault="002149C5" w:rsidP="00D27590">
            <w:pPr>
              <w:jc w:val="center"/>
            </w:pPr>
            <w:r>
              <w:lastRenderedPageBreak/>
              <w:t>NR</w:t>
            </w:r>
          </w:p>
        </w:tc>
        <w:tc>
          <w:tcPr>
            <w:tcW w:w="5987" w:type="dxa"/>
          </w:tcPr>
          <w:p w14:paraId="4DA68541" w14:textId="7DE3F735" w:rsidR="00683002" w:rsidRDefault="004C2147" w:rsidP="00B723E1">
            <w:r>
              <w:t>Това е пояснение, а не изискване.</w:t>
            </w:r>
          </w:p>
        </w:tc>
      </w:tr>
    </w:tbl>
    <w:p w14:paraId="19A5DB9B" w14:textId="6BB84CA0" w:rsidR="00683002" w:rsidRPr="00FA0463" w:rsidRDefault="00FA0463" w:rsidP="00190D0E">
      <w:pPr>
        <w:pStyle w:val="Heading3"/>
        <w:spacing w:before="240"/>
        <w:rPr>
          <w:caps/>
        </w:rPr>
      </w:pPr>
      <w:bookmarkStart w:id="59" w:name="_Toc155347806"/>
      <w:r>
        <w:t>Изискване 29: Отговорности на правителството и регулаторния орган по отношение на облъчването на населението</w:t>
      </w:r>
      <w:bookmarkEnd w:id="59"/>
    </w:p>
    <w:tbl>
      <w:tblPr>
        <w:tblStyle w:val="TableGrid"/>
        <w:tblW w:w="13495" w:type="dxa"/>
        <w:tblLayout w:type="fixed"/>
        <w:tblLook w:val="04A0" w:firstRow="1" w:lastRow="0" w:firstColumn="1" w:lastColumn="0" w:noHBand="0" w:noVBand="1"/>
      </w:tblPr>
      <w:tblGrid>
        <w:gridCol w:w="797"/>
        <w:gridCol w:w="5152"/>
        <w:gridCol w:w="1559"/>
        <w:gridCol w:w="5987"/>
      </w:tblGrid>
      <w:tr w:rsidR="00683002" w14:paraId="7E6670D0" w14:textId="77777777" w:rsidTr="006E0B09">
        <w:trPr>
          <w:tblHeader/>
        </w:trPr>
        <w:tc>
          <w:tcPr>
            <w:tcW w:w="797" w:type="dxa"/>
          </w:tcPr>
          <w:p w14:paraId="0AE697FD" w14:textId="77777777" w:rsidR="00683002" w:rsidRDefault="00683002" w:rsidP="00B723E1"/>
        </w:tc>
        <w:tc>
          <w:tcPr>
            <w:tcW w:w="5152" w:type="dxa"/>
          </w:tcPr>
          <w:p w14:paraId="4B616DBF" w14:textId="77777777" w:rsidR="00683002" w:rsidRDefault="00683002" w:rsidP="00B723E1">
            <w:r>
              <w:rPr>
                <w:b/>
              </w:rPr>
              <w:t>Описание</w:t>
            </w:r>
          </w:p>
        </w:tc>
        <w:tc>
          <w:tcPr>
            <w:tcW w:w="1559" w:type="dxa"/>
          </w:tcPr>
          <w:p w14:paraId="73BC1200" w14:textId="77777777" w:rsidR="00683002" w:rsidRDefault="00683002" w:rsidP="00B723E1">
            <w:r>
              <w:rPr>
                <w:b/>
              </w:rPr>
              <w:t>Съответствие</w:t>
            </w:r>
          </w:p>
        </w:tc>
        <w:tc>
          <w:tcPr>
            <w:tcW w:w="5987" w:type="dxa"/>
          </w:tcPr>
          <w:p w14:paraId="110B6D22" w14:textId="77777777" w:rsidR="00683002" w:rsidRDefault="00683002" w:rsidP="00B723E1">
            <w:r>
              <w:rPr>
                <w:b/>
              </w:rPr>
              <w:t>Обосновка</w:t>
            </w:r>
          </w:p>
        </w:tc>
      </w:tr>
      <w:tr w:rsidR="004C2147" w14:paraId="36D32E73" w14:textId="77777777" w:rsidTr="006E0B09">
        <w:tc>
          <w:tcPr>
            <w:tcW w:w="797" w:type="dxa"/>
          </w:tcPr>
          <w:p w14:paraId="3B02D5FF" w14:textId="77777777" w:rsidR="004C2147" w:rsidRDefault="004C2147" w:rsidP="004C2147"/>
        </w:tc>
        <w:tc>
          <w:tcPr>
            <w:tcW w:w="5152" w:type="dxa"/>
          </w:tcPr>
          <w:p w14:paraId="76D869FB" w14:textId="19D94492" w:rsidR="004C2147" w:rsidRPr="009B615F" w:rsidRDefault="004C2147" w:rsidP="004C2147">
            <w:pPr>
              <w:rPr>
                <w:b/>
                <w:bCs/>
              </w:rPr>
            </w:pPr>
            <w:r>
              <w:rPr>
                <w:b/>
              </w:rPr>
              <w:t xml:space="preserve">Правителството или регулаторният орган определя отговорностите на съответните страни по отношение на облъчването на населението, установява и налага изисквания за оптимизация и установява, а регулаторният орган налага спазването на </w:t>
            </w:r>
            <w:r w:rsidR="009A7970">
              <w:rPr>
                <w:b/>
              </w:rPr>
              <w:t>дозови ограничения</w:t>
            </w:r>
            <w:r>
              <w:rPr>
                <w:b/>
              </w:rPr>
              <w:t xml:space="preserve"> за облъчването на населението.</w:t>
            </w:r>
          </w:p>
        </w:tc>
        <w:tc>
          <w:tcPr>
            <w:tcW w:w="1559" w:type="dxa"/>
          </w:tcPr>
          <w:p w14:paraId="6766B3EC" w14:textId="14E32407" w:rsidR="004C2147" w:rsidRDefault="00FF1019" w:rsidP="004C2147">
            <w:pPr>
              <w:jc w:val="center"/>
            </w:pPr>
            <w:r>
              <w:t>EP</w:t>
            </w:r>
          </w:p>
        </w:tc>
        <w:tc>
          <w:tcPr>
            <w:tcW w:w="5987" w:type="dxa"/>
          </w:tcPr>
          <w:p w14:paraId="6A115ABF" w14:textId="7D4FF190" w:rsidR="004C2147" w:rsidRDefault="00C4156F" w:rsidP="004C2147">
            <w:r>
              <w:t>Това е отговорност на Правителството / Регулаторния орган.</w:t>
            </w:r>
          </w:p>
        </w:tc>
      </w:tr>
      <w:tr w:rsidR="004C2147" w14:paraId="7732CEAD" w14:textId="77777777" w:rsidTr="006E0B09">
        <w:tc>
          <w:tcPr>
            <w:tcW w:w="797" w:type="dxa"/>
          </w:tcPr>
          <w:p w14:paraId="5EA9BC2E" w14:textId="004B17BC" w:rsidR="004C2147" w:rsidRDefault="004C2147" w:rsidP="004C2147">
            <w:r>
              <w:t>3.118.</w:t>
            </w:r>
          </w:p>
        </w:tc>
        <w:tc>
          <w:tcPr>
            <w:tcW w:w="5152" w:type="dxa"/>
          </w:tcPr>
          <w:p w14:paraId="30A518B6" w14:textId="755FA4CA" w:rsidR="004C2147" w:rsidRDefault="004C2147" w:rsidP="004C2147">
            <w:r>
              <w:t xml:space="preserve">Правителството или регулаторният орган определя отговорностите на регистрираните лица и лицензиантите, доставчиците на изделия и доставчиците на потребителски </w:t>
            </w:r>
            <w:r w:rsidR="00E75206">
              <w:t>стоки</w:t>
            </w:r>
            <w:r>
              <w:rPr>
                <w:vertAlign w:val="superscript"/>
              </w:rPr>
              <w:t>36</w:t>
            </w:r>
            <w:r>
              <w:rPr>
                <w:sz w:val="14"/>
              </w:rPr>
              <w:t xml:space="preserve"> </w:t>
            </w:r>
            <w:r>
              <w:t>относно прилагането на изискванията по облъчване на населението в ситуации на планирано облъчване.</w:t>
            </w:r>
          </w:p>
        </w:tc>
        <w:tc>
          <w:tcPr>
            <w:tcW w:w="1559" w:type="dxa"/>
          </w:tcPr>
          <w:p w14:paraId="48B1DC74" w14:textId="049A9C5C" w:rsidR="004C2147" w:rsidRDefault="00FF1019" w:rsidP="004C2147">
            <w:pPr>
              <w:jc w:val="center"/>
            </w:pPr>
            <w:r>
              <w:t>EP</w:t>
            </w:r>
          </w:p>
        </w:tc>
        <w:tc>
          <w:tcPr>
            <w:tcW w:w="5987" w:type="dxa"/>
          </w:tcPr>
          <w:p w14:paraId="6A631BEA" w14:textId="50C77A8F" w:rsidR="004C2147" w:rsidRDefault="00C4156F" w:rsidP="004C2147">
            <w:r>
              <w:t>Това е отговорност на Правителството / Регулаторния орган.</w:t>
            </w:r>
          </w:p>
        </w:tc>
      </w:tr>
      <w:tr w:rsidR="004C2147" w14:paraId="6F9E70C7" w14:textId="77777777" w:rsidTr="006E0B09">
        <w:tc>
          <w:tcPr>
            <w:tcW w:w="797" w:type="dxa"/>
          </w:tcPr>
          <w:p w14:paraId="732FA78C" w14:textId="7C8730FE" w:rsidR="004C2147" w:rsidRDefault="004C2147" w:rsidP="004C2147">
            <w:r>
              <w:t>3.119.</w:t>
            </w:r>
          </w:p>
        </w:tc>
        <w:tc>
          <w:tcPr>
            <w:tcW w:w="5152" w:type="dxa"/>
          </w:tcPr>
          <w:p w14:paraId="063BAADC" w14:textId="50BA2352" w:rsidR="004C2147" w:rsidRDefault="004C2147" w:rsidP="004C2147">
            <w:r>
              <w:t xml:space="preserve">Правителството или регулаторният орган установява и налага изисквания за оптимизация на </w:t>
            </w:r>
            <w:r>
              <w:lastRenderedPageBreak/>
              <w:t>защитата и безопасността в ситуации, при които лицата са или биха могли да бъдат подложени на облъчване на населението.</w:t>
            </w:r>
          </w:p>
        </w:tc>
        <w:tc>
          <w:tcPr>
            <w:tcW w:w="1559" w:type="dxa"/>
          </w:tcPr>
          <w:p w14:paraId="3A167D48" w14:textId="1BDB2671" w:rsidR="004C2147" w:rsidRDefault="00FF1019" w:rsidP="004C2147">
            <w:pPr>
              <w:jc w:val="center"/>
            </w:pPr>
            <w:r>
              <w:lastRenderedPageBreak/>
              <w:t>EP</w:t>
            </w:r>
          </w:p>
        </w:tc>
        <w:tc>
          <w:tcPr>
            <w:tcW w:w="5987" w:type="dxa"/>
          </w:tcPr>
          <w:p w14:paraId="0BD11850" w14:textId="6E391353" w:rsidR="004C2147" w:rsidRDefault="00C4156F" w:rsidP="004C2147">
            <w:r>
              <w:t>Това е отговорност на Правителството / Регулаторния орган.</w:t>
            </w:r>
          </w:p>
        </w:tc>
      </w:tr>
      <w:tr w:rsidR="004C2147" w14:paraId="3B8A9436" w14:textId="77777777" w:rsidTr="006E0B09">
        <w:tc>
          <w:tcPr>
            <w:tcW w:w="797" w:type="dxa"/>
          </w:tcPr>
          <w:p w14:paraId="2C597995" w14:textId="694B29B3" w:rsidR="004C2147" w:rsidRDefault="004C2147" w:rsidP="004C2147">
            <w:r>
              <w:t>3.120.</w:t>
            </w:r>
          </w:p>
        </w:tc>
        <w:tc>
          <w:tcPr>
            <w:tcW w:w="5152" w:type="dxa"/>
          </w:tcPr>
          <w:p w14:paraId="7F9A0332" w14:textId="7141DC21" w:rsidR="004C2147" w:rsidRPr="00021215" w:rsidRDefault="004C2147" w:rsidP="00D117B5">
            <w:pPr>
              <w:spacing w:after="0"/>
              <w:rPr>
                <w:highlight w:val="cyan"/>
              </w:rPr>
            </w:pPr>
            <w:r>
              <w:t xml:space="preserve">Правителството или регулаторният орган установява или одобрява ограничения за дозата и ограниченията за риска, които се използват при оптимизацията на защитата и безопасността на населението. Когато установява или одобрява ограничения по отношение на даден източник в рамките на дадена практическа дейност, правителството или регулаторният орган взема предвид, ако е необходимо: </w:t>
            </w:r>
            <w:r>
              <w:br/>
              <w:t xml:space="preserve">(а) характеристиките на източника и практическата дейност, които са от значение за облъчването на населението; </w:t>
            </w:r>
            <w:r>
              <w:br/>
              <w:t xml:space="preserve">(б) добрите практики при експлоатацията на подобни източници; </w:t>
            </w:r>
            <w:r>
              <w:br/>
              <w:t>(в) приносът за дозата от други разрешени практически дейности или от възможни бъдещи разрешени практически дейности</w:t>
            </w:r>
            <w:r>
              <w:rPr>
                <w:vertAlign w:val="superscript"/>
              </w:rPr>
              <w:t>37</w:t>
            </w:r>
            <w:r>
              <w:t xml:space="preserve">, оценен на етапа на проектиране и планиране, така че да не се очаква сумарната доза на облъчване за лица от населението да превиши </w:t>
            </w:r>
            <w:r w:rsidR="00E75206">
              <w:t>граничната</w:t>
            </w:r>
            <w:r>
              <w:t xml:space="preserve"> доза в нито един момент след началото на експлоатацията на източника; </w:t>
            </w:r>
            <w:r>
              <w:br/>
              <w:t>(г) мненията на заинтересованите страни.</w:t>
            </w:r>
          </w:p>
        </w:tc>
        <w:tc>
          <w:tcPr>
            <w:tcW w:w="1559" w:type="dxa"/>
          </w:tcPr>
          <w:p w14:paraId="52798C99" w14:textId="0DA05E1B" w:rsidR="004C2147" w:rsidRDefault="00FF1019" w:rsidP="004C2147">
            <w:pPr>
              <w:jc w:val="center"/>
            </w:pPr>
            <w:r>
              <w:t>EP</w:t>
            </w:r>
          </w:p>
        </w:tc>
        <w:tc>
          <w:tcPr>
            <w:tcW w:w="5987" w:type="dxa"/>
          </w:tcPr>
          <w:p w14:paraId="1C13B81B" w14:textId="565EFECD" w:rsidR="004C2147" w:rsidRDefault="00C4156F" w:rsidP="004C2147">
            <w:r>
              <w:t>Това е отговорност на Правителството / Регулаторния орган.</w:t>
            </w:r>
          </w:p>
        </w:tc>
      </w:tr>
      <w:tr w:rsidR="004C2147" w14:paraId="0800E86D" w14:textId="77777777" w:rsidTr="006E0B09">
        <w:tc>
          <w:tcPr>
            <w:tcW w:w="797" w:type="dxa"/>
          </w:tcPr>
          <w:p w14:paraId="4E64C27E" w14:textId="04093809" w:rsidR="004C2147" w:rsidRDefault="004C2147" w:rsidP="004C2147">
            <w:r>
              <w:t>3.121.</w:t>
            </w:r>
          </w:p>
        </w:tc>
        <w:tc>
          <w:tcPr>
            <w:tcW w:w="5152" w:type="dxa"/>
          </w:tcPr>
          <w:p w14:paraId="0A8644AD" w14:textId="06A6DCD9" w:rsidR="004C2147" w:rsidRPr="00815E9C" w:rsidRDefault="004C2147" w:rsidP="004C2147">
            <w:pPr>
              <w:rPr>
                <w:b/>
                <w:bCs/>
              </w:rPr>
            </w:pPr>
            <w:r>
              <w:t xml:space="preserve">Правителството или регулаторният орган определя и регулаторният орган следи за спазването на </w:t>
            </w:r>
            <w:r w:rsidR="001F7FE1">
              <w:lastRenderedPageBreak/>
              <w:t>дозовите ограничения</w:t>
            </w:r>
            <w:r>
              <w:t xml:space="preserve"> за облъчване на населението, посочени в Приложение III.</w:t>
            </w:r>
          </w:p>
        </w:tc>
        <w:tc>
          <w:tcPr>
            <w:tcW w:w="1559" w:type="dxa"/>
          </w:tcPr>
          <w:p w14:paraId="5C055FB6" w14:textId="13A7FCA5" w:rsidR="004C2147" w:rsidRDefault="00FF1019" w:rsidP="004C2147">
            <w:pPr>
              <w:jc w:val="center"/>
            </w:pPr>
            <w:r>
              <w:lastRenderedPageBreak/>
              <w:t>EP</w:t>
            </w:r>
          </w:p>
        </w:tc>
        <w:tc>
          <w:tcPr>
            <w:tcW w:w="5987" w:type="dxa"/>
          </w:tcPr>
          <w:p w14:paraId="5535B22A" w14:textId="4769C607" w:rsidR="006E4F10" w:rsidRDefault="00C4156F" w:rsidP="004C2147">
            <w:r>
              <w:t>Това е отговорност на Правителството / Регулаторния орган.</w:t>
            </w:r>
          </w:p>
        </w:tc>
      </w:tr>
      <w:tr w:rsidR="004C2147" w14:paraId="11346188" w14:textId="77777777" w:rsidTr="006E0B09">
        <w:tc>
          <w:tcPr>
            <w:tcW w:w="797" w:type="dxa"/>
          </w:tcPr>
          <w:p w14:paraId="25E1580B" w14:textId="5E026389" w:rsidR="004C2147" w:rsidRDefault="004C2147" w:rsidP="004C2147">
            <w:r>
              <w:t>3.122.</w:t>
            </w:r>
          </w:p>
        </w:tc>
        <w:tc>
          <w:tcPr>
            <w:tcW w:w="5152" w:type="dxa"/>
          </w:tcPr>
          <w:p w14:paraId="50FB6B8C" w14:textId="7B36DF86" w:rsidR="004C2147" w:rsidRPr="00607331" w:rsidRDefault="004C2147" w:rsidP="004C2147">
            <w:pPr>
              <w:rPr>
                <w:highlight w:val="cyan"/>
              </w:rPr>
            </w:pPr>
            <w:r>
              <w:t>Преди издаването на официално разрешение за осъществяване на нова или модифицирана практическа дейност регулаторният орган изисква от отговорните страни да представят оценките на безопасността (т. 3.29-3.36) и други свързани с проектирането документи, отнасящи се до оптимизирането на защитата и безопасността, критериите за проектиране и проектните решения, свързани с оценката на полученото облъчване и потенциалното облъчване на лицата от населението, и преглежда тези оценки и документи.</w:t>
            </w:r>
          </w:p>
        </w:tc>
        <w:tc>
          <w:tcPr>
            <w:tcW w:w="1559" w:type="dxa"/>
          </w:tcPr>
          <w:p w14:paraId="5859B39F" w14:textId="17C4F2FA" w:rsidR="004C2147" w:rsidRDefault="00FF1019" w:rsidP="004C2147">
            <w:pPr>
              <w:jc w:val="center"/>
            </w:pPr>
            <w:r>
              <w:t>EP</w:t>
            </w:r>
          </w:p>
        </w:tc>
        <w:tc>
          <w:tcPr>
            <w:tcW w:w="5987" w:type="dxa"/>
          </w:tcPr>
          <w:p w14:paraId="044CCBD5" w14:textId="3A3B633A" w:rsidR="00607331" w:rsidRPr="00607331" w:rsidRDefault="00C4156F" w:rsidP="004C2147">
            <w:pPr>
              <w:rPr>
                <w:rFonts w:eastAsiaTheme="minorHAnsi" w:cstheme="minorBidi"/>
                <w:kern w:val="0"/>
              </w:rPr>
            </w:pPr>
            <w:r>
              <w:t>Това е отговорност на Регулаторния орган.</w:t>
            </w:r>
          </w:p>
        </w:tc>
      </w:tr>
      <w:tr w:rsidR="004C2147" w14:paraId="5F17AA58" w14:textId="77777777" w:rsidTr="006E0B09">
        <w:tc>
          <w:tcPr>
            <w:tcW w:w="797" w:type="dxa"/>
          </w:tcPr>
          <w:p w14:paraId="66F4F5F2" w14:textId="12467A6D" w:rsidR="004C2147" w:rsidRDefault="004C2147" w:rsidP="004C2147">
            <w:r>
              <w:t>3.123.</w:t>
            </w:r>
          </w:p>
        </w:tc>
        <w:tc>
          <w:tcPr>
            <w:tcW w:w="5152" w:type="dxa"/>
          </w:tcPr>
          <w:p w14:paraId="5E8C238C" w14:textId="3B819C30" w:rsidR="004C2147" w:rsidRDefault="004C2147" w:rsidP="00D117B5">
            <w:pPr>
              <w:spacing w:after="0"/>
            </w:pPr>
            <w:r>
              <w:t xml:space="preserve">Регулаторният орган установява или одобрява експлоатационни граници и условия, свързани с облъчването на населението, включително разрешените предели за изхвърлянията. Тези експлоатационни </w:t>
            </w:r>
            <w:r w:rsidR="00A8281F">
              <w:t>предели</w:t>
            </w:r>
            <w:r>
              <w:t xml:space="preserve"> и условия: </w:t>
            </w:r>
            <w:r>
              <w:br/>
              <w:t xml:space="preserve">(а) се използват от регистрираните лица и лицензиантите като критерии за доказване на съответствие с изискванията след започване на експлоатацията на източника; </w:t>
            </w:r>
            <w:r>
              <w:br/>
              <w:t xml:space="preserve">б) съответстват на дози под </w:t>
            </w:r>
            <w:r w:rsidR="00A8281F">
              <w:t>дозовите ограничения</w:t>
            </w:r>
            <w:r>
              <w:t xml:space="preserve">, като се вземат предвид резултатите от оптимизацията на защитата и безопасността; </w:t>
            </w:r>
            <w:r>
              <w:br/>
              <w:t xml:space="preserve">в) отразяват добрата практика при експлоатацията на подобни съоръжения или осъществяването на подобни дейности; </w:t>
            </w:r>
            <w:r>
              <w:br/>
            </w:r>
            <w:r>
              <w:lastRenderedPageBreak/>
              <w:t xml:space="preserve">г) позволяват оперативна гъвкавост; </w:t>
            </w:r>
            <w:r>
              <w:br/>
              <w:t>д) вземат предвид резултатите от перспективната оценка на радиологичните въздействия върху околната среда, която се извършва в съответствие с изискванията на регулаторния орган (вж. буква д) на т. 3.9 и буква г) на т. 3.15).</w:t>
            </w:r>
          </w:p>
        </w:tc>
        <w:tc>
          <w:tcPr>
            <w:tcW w:w="1559" w:type="dxa"/>
          </w:tcPr>
          <w:p w14:paraId="413C9B82" w14:textId="105C7619" w:rsidR="004C2147" w:rsidRDefault="00E767BE" w:rsidP="004C2147">
            <w:pPr>
              <w:jc w:val="center"/>
            </w:pPr>
            <w:r>
              <w:lastRenderedPageBreak/>
              <w:t>OR, EP</w:t>
            </w:r>
          </w:p>
        </w:tc>
        <w:tc>
          <w:tcPr>
            <w:tcW w:w="5987" w:type="dxa"/>
          </w:tcPr>
          <w:p w14:paraId="4D26A869" w14:textId="56E38BFD" w:rsidR="006E4F10" w:rsidRDefault="00E70076" w:rsidP="004C2147">
            <w:r>
              <w:t>Това е отговорност на Регулаторния орган и Собственика/Лицензианта.</w:t>
            </w:r>
          </w:p>
        </w:tc>
      </w:tr>
      <w:tr w:rsidR="00CF45F9" w14:paraId="1ABF3F3D" w14:textId="77777777" w:rsidTr="006E0B09">
        <w:tc>
          <w:tcPr>
            <w:tcW w:w="797" w:type="dxa"/>
          </w:tcPr>
          <w:p w14:paraId="4AD37FEB" w14:textId="2EB52461" w:rsidR="00CF45F9" w:rsidRDefault="00CF45F9" w:rsidP="00CF45F9">
            <w:r>
              <w:t>3.124.</w:t>
            </w:r>
          </w:p>
        </w:tc>
        <w:tc>
          <w:tcPr>
            <w:tcW w:w="5152" w:type="dxa"/>
          </w:tcPr>
          <w:p w14:paraId="2EDF33B0" w14:textId="4D7627BD" w:rsidR="00CF45F9" w:rsidRDefault="00CF45F9" w:rsidP="00CF45F9">
            <w:r>
              <w:t xml:space="preserve">Когато източник в рамките на дадена практическа дейност може да причини облъчване на населението извън територията или друга зона под юрисдикцията или контрола на държавата, в която се намира източникът, правителството или регулаторният орган: </w:t>
            </w:r>
            <w:r>
              <w:br/>
              <w:t xml:space="preserve">(а) гарантира, че оценката на радиологичните въздействия включва и въздействията извън територията или друга зона под юрисдикцията или контрола на държавата; </w:t>
            </w:r>
            <w:r>
              <w:br/>
              <w:t xml:space="preserve">б) установява, доколкото е възможно, изисквания за контрол на изхвърлянията; </w:t>
            </w:r>
            <w:r>
              <w:br/>
              <w:t>в) организира със засегнатата държава средства за обмен на информация и консултации, ако е необходимо.</w:t>
            </w:r>
          </w:p>
        </w:tc>
        <w:tc>
          <w:tcPr>
            <w:tcW w:w="1559" w:type="dxa"/>
          </w:tcPr>
          <w:p w14:paraId="43CEAE32" w14:textId="4C01A0BA" w:rsidR="00CF45F9" w:rsidRDefault="00FF1019" w:rsidP="00CF45F9">
            <w:pPr>
              <w:jc w:val="center"/>
            </w:pPr>
            <w:r>
              <w:t>EP</w:t>
            </w:r>
          </w:p>
        </w:tc>
        <w:tc>
          <w:tcPr>
            <w:tcW w:w="5987" w:type="dxa"/>
          </w:tcPr>
          <w:p w14:paraId="6AFD8409" w14:textId="5BC54CA9" w:rsidR="00CF45F9" w:rsidRDefault="0070300C" w:rsidP="00CF45F9">
            <w:r>
              <w:t>Това е отговорност на Правителството / Регулаторния орган.</w:t>
            </w:r>
          </w:p>
        </w:tc>
      </w:tr>
    </w:tbl>
    <w:p w14:paraId="5B42314E" w14:textId="3B0A33BA" w:rsidR="00683002" w:rsidRPr="00C638CD" w:rsidRDefault="00C638CD" w:rsidP="00190D0E">
      <w:pPr>
        <w:pStyle w:val="Heading3"/>
        <w:spacing w:before="240"/>
        <w:rPr>
          <w:caps/>
        </w:rPr>
      </w:pPr>
      <w:bookmarkStart w:id="60" w:name="_Toc155347807"/>
      <w:r>
        <w:t>Изискване 30: Отговорности на съответните страни по отношение на облъчването на населението</w:t>
      </w:r>
      <w:bookmarkEnd w:id="60"/>
    </w:p>
    <w:tbl>
      <w:tblPr>
        <w:tblStyle w:val="TableGrid"/>
        <w:tblW w:w="13495" w:type="dxa"/>
        <w:tblLayout w:type="fixed"/>
        <w:tblLook w:val="04A0" w:firstRow="1" w:lastRow="0" w:firstColumn="1" w:lastColumn="0" w:noHBand="0" w:noVBand="1"/>
      </w:tblPr>
      <w:tblGrid>
        <w:gridCol w:w="797"/>
        <w:gridCol w:w="5152"/>
        <w:gridCol w:w="1559"/>
        <w:gridCol w:w="5987"/>
      </w:tblGrid>
      <w:tr w:rsidR="00683002" w14:paraId="248A4030" w14:textId="77777777" w:rsidTr="00AB2CE3">
        <w:trPr>
          <w:tblHeader/>
        </w:trPr>
        <w:tc>
          <w:tcPr>
            <w:tcW w:w="797" w:type="dxa"/>
          </w:tcPr>
          <w:p w14:paraId="156A58C0" w14:textId="77777777" w:rsidR="00683002" w:rsidRDefault="00683002" w:rsidP="00B723E1"/>
        </w:tc>
        <w:tc>
          <w:tcPr>
            <w:tcW w:w="5152" w:type="dxa"/>
          </w:tcPr>
          <w:p w14:paraId="2BDB884E" w14:textId="77777777" w:rsidR="00683002" w:rsidRDefault="00683002" w:rsidP="00B723E1">
            <w:r>
              <w:rPr>
                <w:b/>
              </w:rPr>
              <w:t>Описание</w:t>
            </w:r>
          </w:p>
        </w:tc>
        <w:tc>
          <w:tcPr>
            <w:tcW w:w="1559" w:type="dxa"/>
          </w:tcPr>
          <w:p w14:paraId="2008E7E9" w14:textId="77777777" w:rsidR="00683002" w:rsidRDefault="00683002" w:rsidP="00B723E1">
            <w:r>
              <w:rPr>
                <w:b/>
              </w:rPr>
              <w:t>Съответствие</w:t>
            </w:r>
          </w:p>
        </w:tc>
        <w:tc>
          <w:tcPr>
            <w:tcW w:w="5987" w:type="dxa"/>
          </w:tcPr>
          <w:p w14:paraId="10B5ABBE" w14:textId="77777777" w:rsidR="00683002" w:rsidRDefault="00683002" w:rsidP="00B723E1">
            <w:r>
              <w:rPr>
                <w:b/>
              </w:rPr>
              <w:t>Обосновка</w:t>
            </w:r>
          </w:p>
        </w:tc>
      </w:tr>
      <w:tr w:rsidR="00797D5A" w14:paraId="5D8463A1" w14:textId="77777777" w:rsidTr="00AB2CE3">
        <w:tc>
          <w:tcPr>
            <w:tcW w:w="797" w:type="dxa"/>
          </w:tcPr>
          <w:p w14:paraId="66CD32B3" w14:textId="77777777" w:rsidR="00797D5A" w:rsidRDefault="00797D5A" w:rsidP="00797D5A"/>
        </w:tc>
        <w:tc>
          <w:tcPr>
            <w:tcW w:w="5152" w:type="dxa"/>
          </w:tcPr>
          <w:p w14:paraId="691EDEE2" w14:textId="74432B19" w:rsidR="00797D5A" w:rsidRPr="00815E9C" w:rsidRDefault="00797D5A" w:rsidP="00797D5A">
            <w:r>
              <w:rPr>
                <w:b/>
              </w:rPr>
              <w:t>Съответните страни прилагат системата за защита и безопасност, за да защитят лицата от населението от облъчване.</w:t>
            </w:r>
          </w:p>
        </w:tc>
        <w:tc>
          <w:tcPr>
            <w:tcW w:w="1559" w:type="dxa"/>
          </w:tcPr>
          <w:p w14:paraId="6059667B" w14:textId="4FA03D87" w:rsidR="00797D5A" w:rsidRDefault="001717D0" w:rsidP="00797D5A">
            <w:pPr>
              <w:jc w:val="center"/>
            </w:pPr>
            <w:r>
              <w:t>COM, OR</w:t>
            </w:r>
          </w:p>
        </w:tc>
        <w:tc>
          <w:tcPr>
            <w:tcW w:w="5987" w:type="dxa"/>
          </w:tcPr>
          <w:p w14:paraId="03587CE3" w14:textId="50C6CF1B" w:rsidR="00607331" w:rsidRDefault="00DE5355" w:rsidP="00797D5A">
            <w:r>
              <w:t>Това е отговорност на Собственика/Лицензианта.</w:t>
            </w:r>
          </w:p>
          <w:p w14:paraId="08AD1744" w14:textId="34929743" w:rsidR="00797D5A" w:rsidRDefault="00797D5A" w:rsidP="00797D5A">
            <w:r>
              <w:t xml:space="preserve">Компанията Уестингхаус е провела разработването на проекта на AP1000 в рамките на своята призната система за </w:t>
            </w:r>
            <w:r>
              <w:lastRenderedPageBreak/>
              <w:t xml:space="preserve">управление на качеството (СУК) и е поела основната отговорност за безопасността по време на разработването на проекта. Основната цел на проекта AP1000 е да се постигне много нисък риск от увреждане на хората и околната среда. Проектът на AP1000 включва мерки за намаляване на риска за </w:t>
            </w:r>
            <w:r w:rsidR="00F10FBD">
              <w:t>населението</w:t>
            </w:r>
            <w:r>
              <w:t xml:space="preserve"> и околната среда по време на отделните етапи от жизнения цикъл на централата. Тези мерки са обсъдени в ДКП. В Глава 2 на ДКП се обсъждат аспектите, свързани с избора на площадка. В Глави от 3 до 10 на ДКП се обсъждат аспектите на проектирането, </w:t>
            </w:r>
            <w:r w:rsidR="00F10FBD">
              <w:t>производството</w:t>
            </w:r>
            <w:r>
              <w:t xml:space="preserve"> и строителството. В Глава 11 на ДКП се обсъждат аспектите на управлението на радиоактивните отпадъци. В Глава 12 на ДКП се обсъжда радиационната защита. В Глава 14 на ДКП се обсъждат аспектите на въвеждането в експлоатация. В Глава 15 на ДКП се обсъждат анализите на авариите, в Глава 18 на ДКП се обсъждат аспектите на човешките фактори, а в Глава 19 на ДКП се обсъжда вероятностният анализ на безопасността.</w:t>
            </w:r>
          </w:p>
          <w:p w14:paraId="60BD697A" w14:textId="1818095E" w:rsidR="008C0E6E" w:rsidRPr="001717D0" w:rsidRDefault="001717D0" w:rsidP="001717D0">
            <w:pPr>
              <w:jc w:val="both"/>
              <w:rPr>
                <w:rFonts w:cstheme="minorBidi"/>
              </w:rPr>
            </w:pPr>
            <w:r>
              <w:t>AP1000 беше проектирана в съответствие с регулаторната рамка на NRC на САЩ (US NRC). Тази регулаторна рамка е събрана главно в следното: Заглавие 10, Част 20 от Код</w:t>
            </w:r>
            <w:r w:rsidR="00F10FBD">
              <w:t>ът</w:t>
            </w:r>
            <w:r>
              <w:t xml:space="preserve"> на федералните наредби (10 CFR, Част 20), “Стандарти за защита от </w:t>
            </w:r>
            <w:r w:rsidR="00F10FBD">
              <w:t>йонизиращи лъчения</w:t>
            </w:r>
            <w:r>
              <w:t xml:space="preserve">”; 10 CFR, Част 50, “Вътрешно лицензиране на съоръжения за производство и утилизация”; и Приложение I към 10 CFR, Част 50, “Числени ръководства за целите на проектирането и ограничителни условия за експлоатация, за да се изпълни критерия “толкова ниско, колкото е разумно постижимо” за радиоактивните материали </w:t>
            </w:r>
            <w:r>
              <w:lastRenderedPageBreak/>
              <w:t xml:space="preserve">в </w:t>
            </w:r>
            <w:r w:rsidR="00F10FBD">
              <w:t xml:space="preserve">радиоактивните </w:t>
            </w:r>
            <w:r>
              <w:t>отпадъчни</w:t>
            </w:r>
            <w:r w:rsidR="00F10FBD">
              <w:t xml:space="preserve"> води</w:t>
            </w:r>
            <w:r>
              <w:t xml:space="preserve"> на леководни ядрени реактори”.</w:t>
            </w:r>
          </w:p>
        </w:tc>
      </w:tr>
      <w:tr w:rsidR="00797D5A" w14:paraId="53BD50DF" w14:textId="77777777" w:rsidTr="00E94ECE">
        <w:tc>
          <w:tcPr>
            <w:tcW w:w="13495" w:type="dxa"/>
            <w:gridSpan w:val="4"/>
          </w:tcPr>
          <w:p w14:paraId="5A539664" w14:textId="52F6C8B3" w:rsidR="00797D5A" w:rsidRPr="00C638CD" w:rsidRDefault="00797D5A" w:rsidP="00797D5A">
            <w:pPr>
              <w:jc w:val="center"/>
              <w:rPr>
                <w:i/>
                <w:iCs/>
              </w:rPr>
            </w:pPr>
            <w:r>
              <w:rPr>
                <w:i/>
              </w:rPr>
              <w:lastRenderedPageBreak/>
              <w:t>Общи съображения</w:t>
            </w:r>
          </w:p>
        </w:tc>
      </w:tr>
      <w:tr w:rsidR="00797D5A" w14:paraId="1C18F4EF" w14:textId="77777777" w:rsidTr="00AB2CE3">
        <w:tc>
          <w:tcPr>
            <w:tcW w:w="797" w:type="dxa"/>
          </w:tcPr>
          <w:p w14:paraId="20D44CFC" w14:textId="6A65FABF" w:rsidR="00797D5A" w:rsidRDefault="00797D5A" w:rsidP="00797D5A">
            <w:r>
              <w:t>3.125.</w:t>
            </w:r>
          </w:p>
        </w:tc>
        <w:tc>
          <w:tcPr>
            <w:tcW w:w="5152" w:type="dxa"/>
          </w:tcPr>
          <w:p w14:paraId="0B9A2E73" w14:textId="6D2C18D0" w:rsidR="00797D5A" w:rsidRDefault="00797D5A" w:rsidP="00797D5A">
            <w:r>
              <w:t xml:space="preserve">Регистрираните лица и лицензиантите, в сътрудничество с доставчиците на изделия и доставчиците на потребителски </w:t>
            </w:r>
            <w:r w:rsidR="005E13DC">
              <w:t>стоки</w:t>
            </w:r>
            <w:r>
              <w:t xml:space="preserve"> прилагат изискванията на настоящите стандарти и проверяват и демонстрират тяхното спазване, както е определено от регулаторния орган, във връзка с всякакво облъчване на населението от източник, за който те носят отговорност.</w:t>
            </w:r>
          </w:p>
        </w:tc>
        <w:tc>
          <w:tcPr>
            <w:tcW w:w="1559" w:type="dxa"/>
          </w:tcPr>
          <w:p w14:paraId="34F4AF85" w14:textId="003E7FB8" w:rsidR="00797D5A" w:rsidRDefault="002D3FD3" w:rsidP="00797D5A">
            <w:pPr>
              <w:jc w:val="center"/>
            </w:pPr>
            <w:r>
              <w:t>CWO, OR</w:t>
            </w:r>
          </w:p>
        </w:tc>
        <w:tc>
          <w:tcPr>
            <w:tcW w:w="5987" w:type="dxa"/>
          </w:tcPr>
          <w:p w14:paraId="17FD0443" w14:textId="77777777" w:rsidR="00797D5A" w:rsidRDefault="002D3FD3" w:rsidP="00797D5A">
            <w:pPr>
              <w:rPr>
                <w:rFonts w:eastAsiaTheme="minorHAnsi" w:cstheme="minorBidi"/>
              </w:rPr>
            </w:pPr>
            <w:r>
              <w:t>Това е отговорност на Собственика/Лицензианта.</w:t>
            </w:r>
          </w:p>
          <w:p w14:paraId="29FE4E92" w14:textId="31E6E00B" w:rsidR="005E40C1" w:rsidRDefault="000E2AF6" w:rsidP="00E04164">
            <w:pPr>
              <w:jc w:val="both"/>
            </w:pPr>
            <w:r>
              <w:t xml:space="preserve">Както е обяснено в Раздел 1.4 на настоящата оценка, в стандарта съществуват някои разлики по отношение на облъчването на населението; не с </w:t>
            </w:r>
            <w:r w:rsidR="005E13DC">
              <w:t>граничната</w:t>
            </w:r>
            <w:r>
              <w:t xml:space="preserve"> доза, която и в двата случая е определена на 1 mSv ефективна доза, а в други области, като например </w:t>
            </w:r>
            <w:r w:rsidR="005E13DC">
              <w:t>граничната</w:t>
            </w:r>
            <w:r>
              <w:t xml:space="preserve"> доза за очната леща. Въпреки това, компанията Уестингхаус е убедена, че централата AP1000 може да спази </w:t>
            </w:r>
            <w:r w:rsidR="005E13DC">
              <w:t>граничните</w:t>
            </w:r>
            <w:r>
              <w:t xml:space="preserve"> дози, предвидени в този стандарт, като извърши допълнителни изчисления, основани на съответни допускания.</w:t>
            </w:r>
          </w:p>
        </w:tc>
      </w:tr>
      <w:tr w:rsidR="00797D5A" w14:paraId="65E45533" w14:textId="77777777" w:rsidTr="00AB2CE3">
        <w:tc>
          <w:tcPr>
            <w:tcW w:w="797" w:type="dxa"/>
          </w:tcPr>
          <w:p w14:paraId="047929A7" w14:textId="2E1787B6" w:rsidR="00797D5A" w:rsidRDefault="00797D5A" w:rsidP="00797D5A">
            <w:bookmarkStart w:id="61" w:name="_Hlk119415207"/>
            <w:r>
              <w:t>3.126.</w:t>
            </w:r>
          </w:p>
        </w:tc>
        <w:tc>
          <w:tcPr>
            <w:tcW w:w="5152" w:type="dxa"/>
          </w:tcPr>
          <w:p w14:paraId="373FA151" w14:textId="744ACE63" w:rsidR="00797D5A" w:rsidRPr="00C638CD" w:rsidRDefault="00797D5A" w:rsidP="00797D5A">
            <w:pPr>
              <w:rPr>
                <w:b/>
                <w:bCs/>
              </w:rPr>
            </w:pPr>
            <w:r>
              <w:t xml:space="preserve">Регистрираните лица и лицензиантите, в сътрудничество с доставчиците, при прилагането на принципа за оптимизиране на защитата и безопасността при проектирането, планирането, експлоатацията и извеждането от експлоатация на даден източник (или при затварянето и периода след затварянето на съоръжения за погребване на отпадъци), трябва да вземат предвид: </w:t>
            </w:r>
            <w:r>
              <w:br/>
              <w:t xml:space="preserve">(а) Възможни промени във всякакви условия, които биха могли да повлияят на облъчването на лица от населението, като например промени в характеристиките и използването на източника, промени в условията на разсейване в околната среда, промени в пътищата на облъчване или </w:t>
            </w:r>
            <w:r>
              <w:lastRenderedPageBreak/>
              <w:t xml:space="preserve">промени в стойностите на параметрите, използвани за определяне на представителното лице; </w:t>
            </w:r>
            <w:r>
              <w:br/>
              <w:t xml:space="preserve">(б) добрата практика при експлоатацията на подобни източници или осъществяването на подобни практически дейности; </w:t>
            </w:r>
            <w:r>
              <w:br/>
              <w:t xml:space="preserve">в) възможното разпространение и натрупване в околната среда на радиоактивни вещества от изхвърляния по време жизнения цикъл на източника; </w:t>
            </w:r>
            <w:r>
              <w:br/>
              <w:t xml:space="preserve">г) </w:t>
            </w:r>
            <w:r w:rsidR="00655A19">
              <w:t>неизвестните фактори</w:t>
            </w:r>
            <w:r>
              <w:t xml:space="preserve"> при оценката на дозите, особено </w:t>
            </w:r>
            <w:r w:rsidR="00655A19">
              <w:t>неизвестните фактори</w:t>
            </w:r>
            <w:r>
              <w:t xml:space="preserve"> на приносите към дозите, ако източникът и представителното лице са разделени в пространството или във времето.</w:t>
            </w:r>
          </w:p>
        </w:tc>
        <w:tc>
          <w:tcPr>
            <w:tcW w:w="1559" w:type="dxa"/>
          </w:tcPr>
          <w:p w14:paraId="1F1C7C5D" w14:textId="0583CD3C" w:rsidR="00797D5A" w:rsidRDefault="00DE5355" w:rsidP="00797D5A">
            <w:pPr>
              <w:jc w:val="center"/>
            </w:pPr>
            <w:r>
              <w:lastRenderedPageBreak/>
              <w:t>OR</w:t>
            </w:r>
          </w:p>
        </w:tc>
        <w:tc>
          <w:tcPr>
            <w:tcW w:w="5987" w:type="dxa"/>
          </w:tcPr>
          <w:p w14:paraId="551E42A5" w14:textId="1D47199C" w:rsidR="00797D5A" w:rsidRPr="00490FC3" w:rsidRDefault="00DE5355" w:rsidP="00797D5A">
            <w:pPr>
              <w:rPr>
                <w:rFonts w:ascii="Calibri" w:hAnsi="Calibri" w:cs="Calibri"/>
                <w:kern w:val="0"/>
              </w:rPr>
            </w:pPr>
            <w:r>
              <w:t>Това е отговорност на Собственика/Лицензианта.</w:t>
            </w:r>
          </w:p>
          <w:p w14:paraId="22DBD0C2" w14:textId="44B7AABF" w:rsidR="004E3CCD" w:rsidRDefault="004E3CCD" w:rsidP="00797D5A"/>
        </w:tc>
      </w:tr>
      <w:bookmarkEnd w:id="61"/>
      <w:tr w:rsidR="00797D5A" w14:paraId="6CBDDA92" w14:textId="77777777" w:rsidTr="00AB2CE3">
        <w:tc>
          <w:tcPr>
            <w:tcW w:w="797" w:type="dxa"/>
          </w:tcPr>
          <w:p w14:paraId="03A5849C" w14:textId="53349B2F" w:rsidR="00797D5A" w:rsidRDefault="00797D5A" w:rsidP="00797D5A">
            <w:r>
              <w:t>3.127.</w:t>
            </w:r>
          </w:p>
        </w:tc>
        <w:tc>
          <w:tcPr>
            <w:tcW w:w="5152" w:type="dxa"/>
          </w:tcPr>
          <w:p w14:paraId="63F763E2" w14:textId="0196BE6D" w:rsidR="00831B76" w:rsidRPr="006F51FA" w:rsidRDefault="00797D5A" w:rsidP="00831B76">
            <w:pPr>
              <w:spacing w:after="0"/>
            </w:pPr>
            <w:r>
              <w:t xml:space="preserve">По отношение на източниците, за които носят отговорност, регистрираните лица и лицензиантите трябва да установят, осъществяват и поддържат: </w:t>
            </w:r>
            <w:r>
              <w:br/>
              <w:t xml:space="preserve">(а) политики, процедури и организационни мерки за защита и безопасност във връзка с облъчването на населението в съответствие с изискванията на настоящите стандарти; </w:t>
            </w:r>
            <w:r>
              <w:br/>
              <w:t>(б) мерки за осигуряване на:</w:t>
            </w:r>
          </w:p>
          <w:p w14:paraId="00C730FF" w14:textId="5F060157" w:rsidR="00831B76" w:rsidRPr="006F51FA" w:rsidRDefault="00797D5A" w:rsidP="00831B76">
            <w:pPr>
              <w:spacing w:after="0"/>
              <w:ind w:left="616"/>
            </w:pPr>
            <w:r>
              <w:t xml:space="preserve">(i) оптимизация на защитата и безопасността; </w:t>
            </w:r>
            <w:r>
              <w:br/>
              <w:t>(ii) ограничаване на облъчването на населението от такива източници в съответствие с полученото официално разрешение;</w:t>
            </w:r>
          </w:p>
          <w:p w14:paraId="7FDD0A8B" w14:textId="6A19F48A" w:rsidR="00797D5A" w:rsidRPr="004836A7" w:rsidRDefault="00797D5A" w:rsidP="00797D5A">
            <w:r>
              <w:t xml:space="preserve">(в) мерки за осигуряване безопасността на такива източници. </w:t>
            </w:r>
            <w:r>
              <w:br/>
              <w:t xml:space="preserve">(г) осигуряване на подходящи и адекватни ресурси (включително съоръжения, оборудване и услуги) за </w:t>
            </w:r>
            <w:r>
              <w:lastRenderedPageBreak/>
              <w:t xml:space="preserve">защита и безопасност на лицата от населението, съизмерими с вероятността и големината на облъчванията; </w:t>
            </w:r>
            <w:r>
              <w:br/>
              <w:t xml:space="preserve">(д) програми за подходящо обучение на персонала, който изпълнява функции, свързани със защитата и безопасността на лицата от населението, както и периодично преквалифициране на този персонал, ако е необходимо, за да се осигури необходимото ниво на компетентност; </w:t>
            </w:r>
            <w:r>
              <w:br/>
              <w:t xml:space="preserve">(е) осигуряване на подходящо оборудване за мониторинг, програми за мониторинг и методи за оценка на облъчването на населението; </w:t>
            </w:r>
            <w:r>
              <w:br/>
              <w:t xml:space="preserve">(ж) водене на адекватни записи на резултатите от осъществяването на програмите за мониторинг; </w:t>
            </w:r>
            <w:r>
              <w:br/>
              <w:t>(з) аварийни планове, аварийни процедури и аварийни мерки в съответствие с естеството и големината на радиационните рискове, свързани с източниците.</w:t>
            </w:r>
          </w:p>
        </w:tc>
        <w:tc>
          <w:tcPr>
            <w:tcW w:w="1559" w:type="dxa"/>
          </w:tcPr>
          <w:p w14:paraId="5DEA6756" w14:textId="4A6ED218" w:rsidR="00797D5A" w:rsidRDefault="00DE5355" w:rsidP="00797D5A">
            <w:pPr>
              <w:jc w:val="center"/>
            </w:pPr>
            <w:r>
              <w:lastRenderedPageBreak/>
              <w:t>OR</w:t>
            </w:r>
          </w:p>
        </w:tc>
        <w:tc>
          <w:tcPr>
            <w:tcW w:w="5987" w:type="dxa"/>
          </w:tcPr>
          <w:p w14:paraId="35A8B111" w14:textId="01C2B7D6" w:rsidR="00490FC3" w:rsidRPr="00490FC3" w:rsidRDefault="00DE5355" w:rsidP="00490FC3">
            <w:pPr>
              <w:rPr>
                <w:rFonts w:ascii="Calibri" w:hAnsi="Calibri" w:cs="Calibri"/>
                <w:kern w:val="0"/>
              </w:rPr>
            </w:pPr>
            <w:r>
              <w:t>Това е отговорност на Собственика/Лицензианта.</w:t>
            </w:r>
          </w:p>
          <w:p w14:paraId="36F01F61" w14:textId="6929BC92" w:rsidR="00450050" w:rsidRDefault="0042191B" w:rsidP="00450050">
            <w:pPr>
              <w:tabs>
                <w:tab w:val="clear" w:pos="720"/>
                <w:tab w:val="clear" w:pos="1296"/>
                <w:tab w:val="clear" w:pos="1872"/>
                <w:tab w:val="clear" w:pos="2448"/>
              </w:tabs>
              <w:spacing w:line="240" w:lineRule="auto"/>
            </w:pPr>
            <w:r>
              <w:t xml:space="preserve">ДКП, изготвен за централата AP1000, може да бъде полезен в случай на изброените изисквания. В Глава 12 на ДКП се съдържа информация за радиационната защита и безопасност. В тази глава се съдържа обяснение на политиката ALARA, което потвърждава, че радиационната защита и безопасност са оптимизирани. Глава 13 на ДКП може да помогне при установяването на оперативни и аварийни процедури и предоставя указания за обучението на персонала. Глава 18 на ДКП се отнася до аспектите на човешките фактори. В Глава 7 на ДКП се съдържа информация за системите за мониторинг. Системите на централата AP1000 са оборудвани с контролно-измервателни </w:t>
            </w:r>
            <w:r w:rsidR="00952CFA">
              <w:t>прибори</w:t>
            </w:r>
            <w:r>
              <w:t>, осигуряващи безопасност, и подходящи средства за управление, които осигуряват бърза обратна връзка в случай на всякакв</w:t>
            </w:r>
            <w:r w:rsidR="00952CFA">
              <w:t xml:space="preserve">и нарушени </w:t>
            </w:r>
            <w:r>
              <w:t>нормалн</w:t>
            </w:r>
            <w:r w:rsidR="00952CFA">
              <w:t xml:space="preserve">и </w:t>
            </w:r>
            <w:r w:rsidR="00952CFA">
              <w:lastRenderedPageBreak/>
              <w:t>условия на</w:t>
            </w:r>
            <w:r>
              <w:t xml:space="preserve"> работа на централата. Свързаните с безопасността контролно-измервателни </w:t>
            </w:r>
            <w:r w:rsidR="00952CFA">
              <w:t xml:space="preserve">прибори </w:t>
            </w:r>
            <w:r>
              <w:t>са резервирани и включени в многостепенна обучена система за мониторинг на централата.</w:t>
            </w:r>
          </w:p>
          <w:p w14:paraId="086BBCD8" w14:textId="22251B05" w:rsidR="00450050" w:rsidRPr="00EB0F71" w:rsidRDefault="00450050" w:rsidP="00450050">
            <w:pPr>
              <w:tabs>
                <w:tab w:val="clear" w:pos="720"/>
                <w:tab w:val="clear" w:pos="1296"/>
                <w:tab w:val="clear" w:pos="1872"/>
                <w:tab w:val="clear" w:pos="2448"/>
              </w:tabs>
              <w:spacing w:line="240" w:lineRule="auto"/>
              <w:rPr>
                <w:kern w:val="0"/>
              </w:rPr>
            </w:pPr>
            <w:r>
              <w:t>СР</w:t>
            </w:r>
            <w:r w:rsidR="00952CFA">
              <w:t>М</w:t>
            </w:r>
            <w:r>
              <w:t xml:space="preserve"> на AP1000 осигурява непрекъснат контрол на радиационните параметри, както е описано в Раздел 11.5 на ДКП. Това включва </w:t>
            </w:r>
            <w:r w:rsidR="00952CFA">
              <w:t>измерване</w:t>
            </w:r>
            <w:r>
              <w:t xml:space="preserve"> на активността на газообразните и течните </w:t>
            </w:r>
            <w:r w:rsidR="00952CFA">
              <w:t>емисии</w:t>
            </w:r>
            <w:r>
              <w:t xml:space="preserve">, </w:t>
            </w:r>
            <w:r w:rsidR="00952CFA">
              <w:t>радиоактивните отпадъчни води и газове</w:t>
            </w:r>
            <w:r>
              <w:t xml:space="preserve">, въздуха на </w:t>
            </w:r>
            <w:r w:rsidR="00952CFA">
              <w:t xml:space="preserve">площадката на </w:t>
            </w:r>
            <w:r>
              <w:t>централата и определени зони, както е показано в Таблица 11.5-2 на ДКП.</w:t>
            </w:r>
          </w:p>
          <w:p w14:paraId="048B3D5D" w14:textId="283854A8" w:rsidR="006F51FA" w:rsidRPr="0042191B" w:rsidRDefault="006F51FA" w:rsidP="006F51FA"/>
        </w:tc>
      </w:tr>
      <w:tr w:rsidR="00797D5A" w14:paraId="4B357E5D" w14:textId="77777777" w:rsidTr="00E94ECE">
        <w:tc>
          <w:tcPr>
            <w:tcW w:w="13495" w:type="dxa"/>
            <w:gridSpan w:val="4"/>
          </w:tcPr>
          <w:p w14:paraId="169E1FC5" w14:textId="349D21D4" w:rsidR="00797D5A" w:rsidRPr="004836A7" w:rsidRDefault="00797D5A" w:rsidP="00797D5A">
            <w:pPr>
              <w:jc w:val="center"/>
              <w:rPr>
                <w:i/>
                <w:iCs/>
              </w:rPr>
            </w:pPr>
            <w:r>
              <w:rPr>
                <w:i/>
              </w:rPr>
              <w:lastRenderedPageBreak/>
              <w:t>Посетители</w:t>
            </w:r>
          </w:p>
        </w:tc>
      </w:tr>
      <w:tr w:rsidR="00AB15DD" w14:paraId="5C31ACC9" w14:textId="77777777" w:rsidTr="00AB2CE3">
        <w:tc>
          <w:tcPr>
            <w:tcW w:w="797" w:type="dxa"/>
          </w:tcPr>
          <w:p w14:paraId="0CE336F3" w14:textId="06A58E30" w:rsidR="00AB15DD" w:rsidRDefault="00AB15DD" w:rsidP="00AB15DD">
            <w:r>
              <w:t>3.128.</w:t>
            </w:r>
          </w:p>
        </w:tc>
        <w:tc>
          <w:tcPr>
            <w:tcW w:w="5152" w:type="dxa"/>
          </w:tcPr>
          <w:p w14:paraId="03BFAF52" w14:textId="5E0A0089" w:rsidR="003166AA" w:rsidRPr="003A1621" w:rsidRDefault="00AB15DD" w:rsidP="00AB15DD">
            <w:r>
              <w:t>Регистрираните лица и лицензиантите, в сътрудничество с работодателите, когато е уместно:</w:t>
            </w:r>
            <w:r>
              <w:br/>
              <w:t xml:space="preserve">(а) прилагат съответните изисквания на настоящите стандарти по отношение на облъчването на населението за посетителите на контролирана зона или наблюдавана зона; </w:t>
            </w:r>
            <w:r>
              <w:br/>
              <w:t xml:space="preserve">б) гарантират, че във всяка контролирана зона посетителите са придружени от лице, което познава мерките за защита и безопасност за контролираната зона; </w:t>
            </w:r>
            <w:r>
              <w:br/>
            </w:r>
            <w:r>
              <w:lastRenderedPageBreak/>
              <w:t xml:space="preserve">(в) предоставят адекватна информация и инструктаж на посетителите, преди да влязат в контролирана зона или наблюдавана зона, така че да се осигури защита и безопасност за посетителите и за други лица, които биха могли да бъдат засегнати от техните действия; </w:t>
            </w:r>
            <w:r>
              <w:br/>
              <w:t>г) гарантират, че се поддържа адекватен контрол върху влизането на посетители в контролирана зона или наблюдавана зона, включително използване на знаци за такива зони.</w:t>
            </w:r>
          </w:p>
        </w:tc>
        <w:tc>
          <w:tcPr>
            <w:tcW w:w="1559" w:type="dxa"/>
          </w:tcPr>
          <w:p w14:paraId="6BB58240" w14:textId="5B88E18B" w:rsidR="00AB15DD" w:rsidRDefault="00DE5355" w:rsidP="00AB15DD">
            <w:pPr>
              <w:jc w:val="center"/>
            </w:pPr>
            <w:r>
              <w:lastRenderedPageBreak/>
              <w:t>OR</w:t>
            </w:r>
          </w:p>
        </w:tc>
        <w:tc>
          <w:tcPr>
            <w:tcW w:w="5987" w:type="dxa"/>
          </w:tcPr>
          <w:p w14:paraId="2D52CA8F" w14:textId="4BD5930B" w:rsidR="00AB15DD" w:rsidRDefault="00DE5355" w:rsidP="00AB15DD">
            <w:r>
              <w:t>Това е отговорност на Собственика/Лицензианта.</w:t>
            </w:r>
          </w:p>
        </w:tc>
      </w:tr>
      <w:tr w:rsidR="00AB15DD" w14:paraId="651AEF6C" w14:textId="77777777" w:rsidTr="00E94ECE">
        <w:tc>
          <w:tcPr>
            <w:tcW w:w="13495" w:type="dxa"/>
            <w:gridSpan w:val="4"/>
          </w:tcPr>
          <w:p w14:paraId="52F39153" w14:textId="199BB68E" w:rsidR="00AB15DD" w:rsidRPr="004836A7" w:rsidRDefault="00AB15DD" w:rsidP="00AB15DD">
            <w:pPr>
              <w:jc w:val="center"/>
              <w:rPr>
                <w:i/>
                <w:iCs/>
              </w:rPr>
            </w:pPr>
            <w:r>
              <w:rPr>
                <w:i/>
              </w:rPr>
              <w:t>Външно облъчване и радиоактивно замърсяване в зони, достъпни за лица от населението</w:t>
            </w:r>
          </w:p>
        </w:tc>
      </w:tr>
      <w:tr w:rsidR="00445554" w14:paraId="5861ACFF" w14:textId="77777777" w:rsidTr="00AB2CE3">
        <w:tc>
          <w:tcPr>
            <w:tcW w:w="797" w:type="dxa"/>
          </w:tcPr>
          <w:p w14:paraId="77278963" w14:textId="2C9EE7F4" w:rsidR="00445554" w:rsidRDefault="00445554" w:rsidP="00445554">
            <w:r>
              <w:t>3.129.</w:t>
            </w:r>
          </w:p>
        </w:tc>
        <w:tc>
          <w:tcPr>
            <w:tcW w:w="5152" w:type="dxa"/>
          </w:tcPr>
          <w:p w14:paraId="42CE922D" w14:textId="048A5361" w:rsidR="00445554" w:rsidRDefault="00445554" w:rsidP="00445554">
            <w:r>
              <w:t xml:space="preserve">Регистрираните лица и лицензиантите гарантират, че ако даден източник може да доведе до външно облъчване на лица от населението: </w:t>
            </w:r>
            <w:r>
              <w:br/>
              <w:t xml:space="preserve">(а) </w:t>
            </w:r>
            <w:r w:rsidR="00EC0136">
              <w:t>етажни планове</w:t>
            </w:r>
            <w:r>
              <w:t xml:space="preserve"> и разположението на оборудването за всички нови инсталации, използващи такива източници, както и всички значителни модификации на съществуващи инсталации, подлежат, ако е необходимо, на преглед и одобрение от регулаторния орган преди въвеждането им в експлоатация; </w:t>
            </w:r>
            <w:r>
              <w:br/>
              <w:t>б) екраниране и други мерки за защита и безопасност, включително контрол на достъпа, се осигуряват, ако е необходимо, за ограничаване на облъчването на населението, по-специално на открити площадки, като например за някои приложения на промишлената радиография.</w:t>
            </w:r>
          </w:p>
        </w:tc>
        <w:tc>
          <w:tcPr>
            <w:tcW w:w="1559" w:type="dxa"/>
          </w:tcPr>
          <w:p w14:paraId="09CAA1E4" w14:textId="1CB0990E" w:rsidR="00445554" w:rsidRDefault="00E94ECE" w:rsidP="00445554">
            <w:pPr>
              <w:jc w:val="center"/>
            </w:pPr>
            <w:r>
              <w:t>COM, OR</w:t>
            </w:r>
          </w:p>
        </w:tc>
        <w:tc>
          <w:tcPr>
            <w:tcW w:w="5987" w:type="dxa"/>
          </w:tcPr>
          <w:p w14:paraId="3D42D272" w14:textId="4725BF53" w:rsidR="00AF6F4F" w:rsidRPr="002E5D05" w:rsidRDefault="00486AD9" w:rsidP="00AF6F4F">
            <w:pPr>
              <w:pStyle w:val="ListParagraph"/>
              <w:numPr>
                <w:ilvl w:val="0"/>
                <w:numId w:val="66"/>
              </w:numPr>
              <w:tabs>
                <w:tab w:val="clear" w:pos="720"/>
                <w:tab w:val="clear" w:pos="1296"/>
                <w:tab w:val="clear" w:pos="1872"/>
                <w:tab w:val="clear" w:pos="2448"/>
              </w:tabs>
              <w:autoSpaceDE w:val="0"/>
              <w:autoSpaceDN w:val="0"/>
              <w:adjustRightInd w:val="0"/>
              <w:spacing w:line="240" w:lineRule="auto"/>
              <w:rPr>
                <w:rFonts w:eastAsiaTheme="minorEastAsia" w:cstheme="minorBidi"/>
                <w:kern w:val="0"/>
              </w:rPr>
            </w:pPr>
            <w:r>
              <w:t>Преди издаването на разрешение за строеж технологията се оценява задълбочено от националния регулатор. Всякакви промени в одобрения проект, които оказват влияние върху безопасността, изискват преоценка. Това се отнася и за съществуващите инсталации. Проектът на централата AP1000 преминава през процеса на лицензиране във всяка държава и изисква одобрение от националния регулатор преди изграждане и въвеждане в експлоатация на централата.</w:t>
            </w:r>
          </w:p>
          <w:p w14:paraId="1E15B21B" w14:textId="08738D4D" w:rsidR="00AF6F4F" w:rsidRPr="002E5D05" w:rsidRDefault="00A40496" w:rsidP="00A40496">
            <w:pPr>
              <w:pStyle w:val="ListParagraph"/>
              <w:numPr>
                <w:ilvl w:val="0"/>
                <w:numId w:val="66"/>
              </w:numPr>
              <w:tabs>
                <w:tab w:val="clear" w:pos="720"/>
                <w:tab w:val="clear" w:pos="1296"/>
                <w:tab w:val="clear" w:pos="1872"/>
                <w:tab w:val="clear" w:pos="2448"/>
              </w:tabs>
              <w:autoSpaceDE w:val="0"/>
              <w:autoSpaceDN w:val="0"/>
              <w:adjustRightInd w:val="0"/>
              <w:spacing w:line="240" w:lineRule="auto"/>
              <w:rPr>
                <w:rFonts w:eastAsiaTheme="minorEastAsia" w:cstheme="minorBidi"/>
                <w:kern w:val="0"/>
              </w:rPr>
            </w:pPr>
            <w:r>
              <w:t xml:space="preserve">Това изискване е взето предвид в проекта. За целите на радиационната защита зоните в централата AP1000 са класифицирани като нерадиационни зони и радиологично контролирани зони. Зоните с ограничен достъп се категоризират допълнително като радиационни зони, зони с високо ниво на радиация, зони с </w:t>
            </w:r>
            <w:r w:rsidR="00D63743">
              <w:t>концентрация на радиоактивни аерозоли</w:t>
            </w:r>
            <w:r>
              <w:t>, зони с ради</w:t>
            </w:r>
            <w:r w:rsidR="00743473">
              <w:t>оактивно</w:t>
            </w:r>
            <w:r>
              <w:t xml:space="preserve"> замърсяване и зони с </w:t>
            </w:r>
            <w:r>
              <w:lastRenderedPageBreak/>
              <w:t>радиоактивни материали, за да се спазят изискванията на 10 CFR 20 и процедурите и инструкциите на централата.</w:t>
            </w:r>
          </w:p>
          <w:p w14:paraId="7025E532" w14:textId="54006B0F" w:rsidR="00C0465B" w:rsidRPr="002E5D05" w:rsidRDefault="00A40496" w:rsidP="00AF6F4F">
            <w:pPr>
              <w:pStyle w:val="ListParagraph"/>
              <w:tabs>
                <w:tab w:val="clear" w:pos="720"/>
                <w:tab w:val="clear" w:pos="1296"/>
                <w:tab w:val="clear" w:pos="1872"/>
                <w:tab w:val="clear" w:pos="2448"/>
              </w:tabs>
              <w:autoSpaceDE w:val="0"/>
              <w:autoSpaceDN w:val="0"/>
              <w:adjustRightInd w:val="0"/>
              <w:spacing w:line="240" w:lineRule="auto"/>
              <w:rPr>
                <w:rFonts w:eastAsiaTheme="minorEastAsia" w:cstheme="minorBidi"/>
                <w:kern w:val="0"/>
              </w:rPr>
            </w:pPr>
            <w:r>
              <w:t xml:space="preserve">Влизането в РКЗ обикновено става през зоната с контролиран достъп </w:t>
            </w:r>
            <w:r w:rsidR="00424D83">
              <w:t>през санитарен пропускник</w:t>
            </w:r>
            <w:r>
              <w:t xml:space="preserve"> в пристройката, както е описано в Подраздел 12.5.2 на ДКП. Зоните с висока и много висока радиация са отделени и идентифицирани в съответствие с 10 CFR 20. Входовете към зоните с висока и много висока радиация се заключват или заграждат и при необходимост се оборудват със звукова и/или визуална сигнализация.</w:t>
            </w:r>
            <w:r>
              <w:rPr>
                <w:rFonts w:ascii="CIDFont+F1" w:hAnsi="CIDFont+F1"/>
              </w:rPr>
              <w:br/>
            </w:r>
            <w:r>
              <w:t>Функциите на радиационната защита са описани в Глава 12 на ДКП.</w:t>
            </w:r>
          </w:p>
          <w:p w14:paraId="3DB15DA1" w14:textId="27FA4865" w:rsidR="00A40496" w:rsidRPr="002E5D05" w:rsidRDefault="00A40496" w:rsidP="008C0E6E">
            <w:pPr>
              <w:rPr>
                <w:rFonts w:eastAsiaTheme="minorEastAsia" w:cstheme="minorBidi"/>
              </w:rPr>
            </w:pPr>
            <w:r>
              <w:t>Собственикът/Лицензиантът е отговорен за контрола на достъпа до централата след въвеждането ѝ в експлоатация, включително влизането на лица от населението със специално разрешение.</w:t>
            </w:r>
          </w:p>
        </w:tc>
      </w:tr>
      <w:tr w:rsidR="00445554" w14:paraId="3B948F06" w14:textId="77777777" w:rsidTr="00AB2CE3">
        <w:tc>
          <w:tcPr>
            <w:tcW w:w="797" w:type="dxa"/>
          </w:tcPr>
          <w:p w14:paraId="4B5D97A7" w14:textId="51615C44" w:rsidR="00445554" w:rsidRDefault="00445554" w:rsidP="00445554">
            <w:r>
              <w:lastRenderedPageBreak/>
              <w:t>3.130.</w:t>
            </w:r>
          </w:p>
        </w:tc>
        <w:tc>
          <w:tcPr>
            <w:tcW w:w="5152" w:type="dxa"/>
          </w:tcPr>
          <w:p w14:paraId="608FAD6B" w14:textId="71967ADE" w:rsidR="00445554" w:rsidRDefault="00445554" w:rsidP="00445554">
            <w:r>
              <w:t xml:space="preserve">Регистрираните лица и лицензиантите гарантират, според случая, че: </w:t>
            </w:r>
            <w:r>
              <w:br/>
              <w:t xml:space="preserve">(а) при проектирането и експлоатацията на източник, който може да предизвика разпространение на радиоактивно замърсяване в зони, достъпни за лица от населението, са предвидени специфични мерки за неговото изолиране (херметизиране); </w:t>
            </w:r>
            <w:r>
              <w:br/>
              <w:t xml:space="preserve">(б) се прилагат мерки за защита и безопасност с цел ограничаване на облъчването на населението поради радиоактивно замърсяване в зони в </w:t>
            </w:r>
            <w:r>
              <w:lastRenderedPageBreak/>
              <w:t>рамките на едно съоръжение, които са достъпни за лица от населението.</w:t>
            </w:r>
          </w:p>
        </w:tc>
        <w:tc>
          <w:tcPr>
            <w:tcW w:w="1559" w:type="dxa"/>
          </w:tcPr>
          <w:p w14:paraId="02FCD437" w14:textId="681CD33A" w:rsidR="00445554" w:rsidRDefault="00BC6F44" w:rsidP="00445554">
            <w:pPr>
              <w:jc w:val="center"/>
            </w:pPr>
            <w:r>
              <w:lastRenderedPageBreak/>
              <w:t>COM, OR</w:t>
            </w:r>
          </w:p>
        </w:tc>
        <w:tc>
          <w:tcPr>
            <w:tcW w:w="5987" w:type="dxa"/>
          </w:tcPr>
          <w:p w14:paraId="330D77CC" w14:textId="2F17FF1C" w:rsidR="009E14A9" w:rsidRPr="002E5D05" w:rsidRDefault="009E14A9" w:rsidP="00FD2A02">
            <w:pPr>
              <w:rPr>
                <w:rFonts w:eastAsiaTheme="minorEastAsia" w:cstheme="minorBidi"/>
              </w:rPr>
            </w:pPr>
            <w:r>
              <w:t xml:space="preserve">Това изискване е взето предвид в проекта. За целите на радиационната защита зоните в централата AP1000 са класифицирани като нерадиационни зони и радиологично контролирани зони. Зоните с ограничен достъп се категоризират допълнително като радиационни зони, зони с високо ниво на радиация, зони с </w:t>
            </w:r>
            <w:r w:rsidR="00030DAF">
              <w:t>концентрация на радиоактивни аерозоли</w:t>
            </w:r>
            <w:r>
              <w:t>, зони с радиационно замърсяване и зони с радиоактивни материали, за да се спазят изискванията на 10 CFR 20 и процедурите и инструкциите на централата.</w:t>
            </w:r>
          </w:p>
          <w:p w14:paraId="0A1F7AFB" w14:textId="5988F1FF" w:rsidR="00391277" w:rsidRPr="002E5D05" w:rsidRDefault="009E14A9" w:rsidP="0078410A">
            <w:pPr>
              <w:tabs>
                <w:tab w:val="clear" w:pos="720"/>
                <w:tab w:val="clear" w:pos="1296"/>
                <w:tab w:val="clear" w:pos="1872"/>
                <w:tab w:val="clear" w:pos="2448"/>
              </w:tabs>
              <w:autoSpaceDE w:val="0"/>
              <w:autoSpaceDN w:val="0"/>
              <w:adjustRightInd w:val="0"/>
              <w:spacing w:line="240" w:lineRule="auto"/>
              <w:rPr>
                <w:rFonts w:eastAsiaTheme="minorEastAsia" w:cstheme="minorBidi"/>
                <w:kern w:val="0"/>
              </w:rPr>
            </w:pPr>
            <w:r>
              <w:lastRenderedPageBreak/>
              <w:t xml:space="preserve">Влизането в РКЗ обикновено става през зоната с контролиран достъп </w:t>
            </w:r>
            <w:r w:rsidR="00030DAF">
              <w:t xml:space="preserve">през санитарен пропускник </w:t>
            </w:r>
            <w:r>
              <w:t>в пристройката, както е описано в Подраздел 12.5.2 на ДКП. Зоните с висока и много висока радиация са отделени и идентифицирани в съответствие с 10 CFR 20. Входовете към зоните с висока и много висока радиация се заключват или заграждат и при необходимост се оборудват със звукова и/или визуална сигнализация.</w:t>
            </w:r>
            <w:r>
              <w:rPr>
                <w:rFonts w:ascii="CIDFont+F1" w:hAnsi="CIDFont+F1"/>
              </w:rPr>
              <w:br/>
            </w:r>
            <w:r>
              <w:t>СР</w:t>
            </w:r>
            <w:r w:rsidR="00952CFA">
              <w:t>М</w:t>
            </w:r>
            <w:r>
              <w:t xml:space="preserve"> на AP1000 осигурява непрекъснат контрол на радиационните параметри, както е описано в Раздел 11.5 на ДКП. В този смисъл достъпът до зоните, съдържащи радиоактивни източници, е ограничен и строго контролиран, като тези предпазни мерки предотвратяват разпространението на радиоактивно замърсяване и осигуряват постоянен мониторинг на опасността от ради</w:t>
            </w:r>
            <w:r w:rsidR="00030DAF">
              <w:t>оактивно</w:t>
            </w:r>
            <w:r>
              <w:t xml:space="preserve"> облъчване. Компанията Уестингхаус гарантира, че на ниво проектиране са взети всички икономически обосновани мерки и предпазни мерки за свеждане до минимум на риска за облъчване на населението.</w:t>
            </w:r>
          </w:p>
          <w:p w14:paraId="3865FC80" w14:textId="0F69FE55" w:rsidR="008C0E6E" w:rsidRPr="002E5D05" w:rsidRDefault="0A9D5798" w:rsidP="009E14A9">
            <w:pPr>
              <w:tabs>
                <w:tab w:val="clear" w:pos="720"/>
                <w:tab w:val="clear" w:pos="1296"/>
                <w:tab w:val="clear" w:pos="1872"/>
                <w:tab w:val="clear" w:pos="2448"/>
              </w:tabs>
              <w:autoSpaceDE w:val="0"/>
              <w:autoSpaceDN w:val="0"/>
              <w:adjustRightInd w:val="0"/>
              <w:spacing w:line="240" w:lineRule="auto"/>
              <w:rPr>
                <w:rFonts w:eastAsiaTheme="minorEastAsia" w:cstheme="minorBidi"/>
                <w:kern w:val="0"/>
              </w:rPr>
            </w:pPr>
            <w:r>
              <w:t>Собственикът/Лицензиантът е отговорен за контрола на достъпа до централата след въвеждането ѝ в експлоатация, включително влизането на лица от населението със специално разрешение.</w:t>
            </w:r>
          </w:p>
        </w:tc>
      </w:tr>
    </w:tbl>
    <w:p w14:paraId="7D22E31E" w14:textId="618B851D" w:rsidR="00683002" w:rsidRPr="00BC2743" w:rsidRDefault="00BC2743" w:rsidP="00190D0E">
      <w:pPr>
        <w:pStyle w:val="Heading3"/>
        <w:spacing w:before="240"/>
        <w:rPr>
          <w:caps/>
        </w:rPr>
      </w:pPr>
      <w:bookmarkStart w:id="62" w:name="_Toc155347808"/>
      <w:r>
        <w:lastRenderedPageBreak/>
        <w:t>Изискване 31: Радиоактивни отпадъци и изхвърляния</w:t>
      </w:r>
      <w:bookmarkEnd w:id="62"/>
    </w:p>
    <w:tbl>
      <w:tblPr>
        <w:tblStyle w:val="TableGrid"/>
        <w:tblW w:w="13495" w:type="dxa"/>
        <w:tblLayout w:type="fixed"/>
        <w:tblLook w:val="04A0" w:firstRow="1" w:lastRow="0" w:firstColumn="1" w:lastColumn="0" w:noHBand="0" w:noVBand="1"/>
      </w:tblPr>
      <w:tblGrid>
        <w:gridCol w:w="797"/>
        <w:gridCol w:w="5152"/>
        <w:gridCol w:w="1559"/>
        <w:gridCol w:w="5987"/>
      </w:tblGrid>
      <w:tr w:rsidR="00683002" w14:paraId="694D0020" w14:textId="77777777" w:rsidTr="00AB2CE3">
        <w:trPr>
          <w:tblHeader/>
        </w:trPr>
        <w:tc>
          <w:tcPr>
            <w:tcW w:w="797" w:type="dxa"/>
          </w:tcPr>
          <w:p w14:paraId="3E6FF61A" w14:textId="77777777" w:rsidR="00683002" w:rsidRDefault="00683002" w:rsidP="00B723E1"/>
        </w:tc>
        <w:tc>
          <w:tcPr>
            <w:tcW w:w="5152" w:type="dxa"/>
          </w:tcPr>
          <w:p w14:paraId="68411531" w14:textId="77777777" w:rsidR="00683002" w:rsidRDefault="00683002" w:rsidP="00B723E1">
            <w:r>
              <w:rPr>
                <w:b/>
              </w:rPr>
              <w:t>Описание</w:t>
            </w:r>
          </w:p>
        </w:tc>
        <w:tc>
          <w:tcPr>
            <w:tcW w:w="1559" w:type="dxa"/>
          </w:tcPr>
          <w:p w14:paraId="23D6D929" w14:textId="77777777" w:rsidR="00683002" w:rsidRDefault="00683002" w:rsidP="00B723E1">
            <w:r>
              <w:rPr>
                <w:b/>
              </w:rPr>
              <w:t>Съответствие</w:t>
            </w:r>
          </w:p>
        </w:tc>
        <w:tc>
          <w:tcPr>
            <w:tcW w:w="5987" w:type="dxa"/>
          </w:tcPr>
          <w:p w14:paraId="0455C401" w14:textId="77777777" w:rsidR="00683002" w:rsidRDefault="00683002" w:rsidP="00B723E1">
            <w:r>
              <w:rPr>
                <w:b/>
              </w:rPr>
              <w:t>Обосновка</w:t>
            </w:r>
          </w:p>
        </w:tc>
      </w:tr>
      <w:tr w:rsidR="00683002" w14:paraId="2DE3D52C" w14:textId="77777777" w:rsidTr="00AB2CE3">
        <w:tc>
          <w:tcPr>
            <w:tcW w:w="797" w:type="dxa"/>
          </w:tcPr>
          <w:p w14:paraId="4A0ABA72" w14:textId="77777777" w:rsidR="00683002" w:rsidRDefault="00683002" w:rsidP="00B723E1"/>
        </w:tc>
        <w:tc>
          <w:tcPr>
            <w:tcW w:w="5152" w:type="dxa"/>
          </w:tcPr>
          <w:p w14:paraId="189F73B2" w14:textId="076419ED" w:rsidR="00683002" w:rsidRPr="00BC2743" w:rsidRDefault="00BC2743" w:rsidP="00BC2743">
            <w:pPr>
              <w:rPr>
                <w:b/>
                <w:bCs/>
              </w:rPr>
            </w:pPr>
            <w:r>
              <w:rPr>
                <w:b/>
              </w:rPr>
              <w:t>Съответните страни гарантират, че радиоактивните отпадъци и изхвърлянията на радиоактивни материали в околната среда се управляват в съответствие с полученото официално разрешение.</w:t>
            </w:r>
          </w:p>
        </w:tc>
        <w:tc>
          <w:tcPr>
            <w:tcW w:w="1559" w:type="dxa"/>
          </w:tcPr>
          <w:p w14:paraId="382623B2" w14:textId="362B0284" w:rsidR="00683002" w:rsidRDefault="00DE5355" w:rsidP="00D27590">
            <w:pPr>
              <w:jc w:val="center"/>
            </w:pPr>
            <w:r>
              <w:t>OR, EP</w:t>
            </w:r>
          </w:p>
        </w:tc>
        <w:tc>
          <w:tcPr>
            <w:tcW w:w="5987" w:type="dxa"/>
          </w:tcPr>
          <w:p w14:paraId="16AEF47A" w14:textId="3BEB25A9" w:rsidR="00C22E19" w:rsidRDefault="00DE5355" w:rsidP="00C22E19">
            <w:pPr>
              <w:rPr>
                <w:rFonts w:eastAsiaTheme="minorHAnsi" w:cstheme="minorBidi"/>
              </w:rPr>
            </w:pPr>
            <w:r>
              <w:t>Това е отговорност на Собственика/Лицензианта и/или външна страна.</w:t>
            </w:r>
          </w:p>
          <w:p w14:paraId="2A3427B3" w14:textId="13199766" w:rsidR="00683002" w:rsidRPr="00C22E19" w:rsidRDefault="5842428D" w:rsidP="00B723E1">
            <w:r>
              <w:t>В ДКП, изготвен за централата AP1000, в Глава 11 е описан процесът на управление на радиоактивните отпадъци, който може да бъде полезен в този случай.</w:t>
            </w:r>
          </w:p>
        </w:tc>
      </w:tr>
      <w:tr w:rsidR="00BC2743" w14:paraId="14546CE6" w14:textId="77777777" w:rsidTr="004210F0">
        <w:tc>
          <w:tcPr>
            <w:tcW w:w="13495" w:type="dxa"/>
            <w:gridSpan w:val="4"/>
          </w:tcPr>
          <w:p w14:paraId="0F5393A9" w14:textId="38D9C222" w:rsidR="00BC2743" w:rsidRPr="00BC2743" w:rsidRDefault="00BC2743" w:rsidP="00BC2743">
            <w:pPr>
              <w:jc w:val="center"/>
              <w:rPr>
                <w:i/>
                <w:iCs/>
              </w:rPr>
            </w:pPr>
            <w:r>
              <w:rPr>
                <w:i/>
              </w:rPr>
              <w:t>Радиоактивни отпадъци</w:t>
            </w:r>
          </w:p>
        </w:tc>
      </w:tr>
      <w:tr w:rsidR="00683002" w14:paraId="4F960AAB" w14:textId="77777777" w:rsidTr="00AB2CE3">
        <w:tc>
          <w:tcPr>
            <w:tcW w:w="797" w:type="dxa"/>
          </w:tcPr>
          <w:p w14:paraId="05E2775E" w14:textId="7D561120" w:rsidR="00683002" w:rsidRDefault="00D3220E" w:rsidP="00B723E1">
            <w:r>
              <w:t>3.131.</w:t>
            </w:r>
          </w:p>
        </w:tc>
        <w:tc>
          <w:tcPr>
            <w:tcW w:w="5152" w:type="dxa"/>
          </w:tcPr>
          <w:p w14:paraId="5C0A1362" w14:textId="75B8B586" w:rsidR="005E537A" w:rsidRPr="00862F15" w:rsidRDefault="00BC2743">
            <w:bookmarkStart w:id="63" w:name="_Hlk146796602"/>
            <w:r>
              <w:t xml:space="preserve">Регистрираните лица и лицензиантите в сътрудничество с доставчиците и в зависимост от обстоятелствата: </w:t>
            </w:r>
            <w:r>
              <w:br/>
              <w:t xml:space="preserve">(а) гарантират, че всички генерирани радиоактивни отпадъци са сведени до практически постижимия минимум както по отношение на активността, така и по отношение на обема; </w:t>
            </w:r>
            <w:r>
              <w:br/>
              <w:t xml:space="preserve">(б) гарантират, че радиоактивните отпадъци се управляват в съответствие с изискванията на настоящите стандарти и изискванията на други приложими стандарти на МААЕ, както и в съответствие полученото официално разрешение; </w:t>
            </w:r>
            <w:r>
              <w:br/>
              <w:t xml:space="preserve">(в) гарантират, че се извършва разделна обработка на радиоактивни отпадъци от различни типове, когато това е обусловено от различията в такива фактори като радионуклиден състав, период на полуразпад, концентрация на активност, обем и физични и химични свойства, с отчитане на наличните възможности за съхранение и погребване на радиоактивните отпадъци, без да се </w:t>
            </w:r>
            <w:r>
              <w:lastRenderedPageBreak/>
              <w:t xml:space="preserve">изключва смесването на радиоактивни отпадъци с цел защита и безопасност; </w:t>
            </w:r>
            <w:r>
              <w:br/>
              <w:t>(г) гарантират, че дейностите по управление на радиоактивните отпадъци преди погребване и по погребване на радиоактивните отпадъци се извършват в съответствие с изискванията на приложимите стандарти на МААЕ</w:t>
            </w:r>
            <w:r>
              <w:rPr>
                <w:vertAlign w:val="superscript"/>
              </w:rPr>
              <w:t>38</w:t>
            </w:r>
            <w:r>
              <w:t xml:space="preserve"> и в съответствие с полученото официалното разрешение; </w:t>
            </w:r>
            <w:r>
              <w:br/>
              <w:t xml:space="preserve">д) </w:t>
            </w:r>
            <w:r w:rsidR="00B13DCA">
              <w:t xml:space="preserve">извършват </w:t>
            </w:r>
            <w:r>
              <w:t xml:space="preserve">инвентаризация на всички радиоактивни отпадъци, които се генерират, съхраняват, прехвърлят или погребват; </w:t>
            </w:r>
            <w:r>
              <w:br/>
              <w:t>е) разработват и прилагат стратегия за управление на радиоактивните отпадъци и предоставят съответни доказателства, че защитата и безопасността са оптимизирани.</w:t>
            </w:r>
            <w:bookmarkEnd w:id="63"/>
          </w:p>
        </w:tc>
        <w:tc>
          <w:tcPr>
            <w:tcW w:w="1559" w:type="dxa"/>
          </w:tcPr>
          <w:p w14:paraId="09968653" w14:textId="3C56B6A9" w:rsidR="00683002" w:rsidRDefault="003C3C12" w:rsidP="00D27590">
            <w:pPr>
              <w:jc w:val="center"/>
            </w:pPr>
            <w:r>
              <w:lastRenderedPageBreak/>
              <w:t>COM, OR, EP</w:t>
            </w:r>
          </w:p>
        </w:tc>
        <w:tc>
          <w:tcPr>
            <w:tcW w:w="5987" w:type="dxa"/>
          </w:tcPr>
          <w:p w14:paraId="7AF4B9F7" w14:textId="141BBA06" w:rsidR="00D26021" w:rsidRDefault="00DE5355" w:rsidP="00D26021">
            <w:pPr>
              <w:rPr>
                <w:rFonts w:eastAsiaTheme="minorHAnsi" w:cstheme="minorBidi"/>
              </w:rPr>
            </w:pPr>
            <w:r>
              <w:t>Това е отговорност на Собственика/Лицензианта.</w:t>
            </w:r>
          </w:p>
          <w:p w14:paraId="4DD1B8FD" w14:textId="7C7A6941" w:rsidR="0022426C" w:rsidRDefault="0022426C" w:rsidP="00D26021">
            <w:pPr>
              <w:rPr>
                <w:rFonts w:eastAsiaTheme="minorHAnsi" w:cstheme="minorBidi"/>
              </w:rPr>
            </w:pPr>
            <w:r>
              <w:rPr>
                <w:shd w:val="clear" w:color="auto" w:fill="FFFFFF"/>
              </w:rPr>
              <w:t>В Глава 11 на ДКП са описани стандартните системи за управление на отпадъците в централата AP1000.</w:t>
            </w:r>
          </w:p>
          <w:p w14:paraId="0A50FFD0" w14:textId="60BF4ECD" w:rsidR="00D26021" w:rsidRDefault="00CC4E2F" w:rsidP="00700683">
            <w:pPr>
              <w:rPr>
                <w:shd w:val="clear" w:color="auto" w:fill="FFFFFF"/>
              </w:rPr>
            </w:pPr>
            <w:r>
              <w:rPr>
                <w:shd w:val="clear" w:color="auto" w:fill="FFFFFF"/>
              </w:rPr>
              <w:t xml:space="preserve">(а) Проектът на централата AP1000 е съобразен с принципите за управление на отпадъците, доколкото това е практически възможно, и изпълнява тези изисквания. Минимизацията на количеството на радиоактивните отпадъци обикновено силно зависи от оперативните програми, прилагани в рамките на дадена централа (по-специално по отношение на сухите отпадъци). От гледна точка на конструкцията на реактора са взети подходящи мерки за минимизация на образуването на радиоактивни отпадъци. Това включва доказани методики за третиране на радиоактивни отпадъци и минимизация на източниците на радиоактивност в реактора чрез подходящ избор на материали. Спецификациите за материалите, свързани с намаляването на източниците на радиоактивност, са </w:t>
            </w:r>
            <w:r>
              <w:rPr>
                <w:shd w:val="clear" w:color="auto" w:fill="FFFFFF"/>
              </w:rPr>
              <w:lastRenderedPageBreak/>
              <w:t xml:space="preserve">описани в “Материали” в Подраздел 12.3.1.1.1 и в Таблица 12.3-1 на ДКП.  </w:t>
            </w:r>
          </w:p>
          <w:p w14:paraId="7DCE807A" w14:textId="4357F959" w:rsidR="00384D9A" w:rsidRDefault="00384D9A" w:rsidP="00384D9A">
            <w:pPr>
              <w:rPr>
                <w:shd w:val="clear" w:color="auto" w:fill="FFFFFF"/>
              </w:rPr>
            </w:pPr>
            <w:r>
              <w:rPr>
                <w:shd w:val="clear" w:color="auto" w:fill="FFFFFF"/>
              </w:rPr>
              <w:t>Стандартният проект на централата AP1000 не включва мерки за опаковане или намаляване на обема на твърдите радиоактивни отпадъци. Окончателният избор на решения за опаковането и третирането на отпадъците ще се извърши като част на разработката на проекта за конкретната площадка.</w:t>
            </w:r>
          </w:p>
          <w:p w14:paraId="05D529AD" w14:textId="10F06BB8" w:rsidR="00EF300D" w:rsidRDefault="00EF300D" w:rsidP="00384D9A">
            <w:pPr>
              <w:rPr>
                <w:shd w:val="clear" w:color="auto" w:fill="FFFFFF"/>
              </w:rPr>
            </w:pPr>
            <w:r>
              <w:rPr>
                <w:shd w:val="clear" w:color="auto" w:fill="FFFFFF"/>
              </w:rPr>
              <w:t>(б) Управлението на радиоактивните отпадъците е отговорност на Собственика.</w:t>
            </w:r>
          </w:p>
          <w:p w14:paraId="154FD0AB" w14:textId="3FAAF4C9" w:rsidR="00B033C0" w:rsidRDefault="004E61F4" w:rsidP="00BA144E">
            <w:pPr>
              <w:rPr>
                <w:shd w:val="clear" w:color="auto" w:fill="FFFFFF"/>
              </w:rPr>
            </w:pPr>
            <w:r>
              <w:rPr>
                <w:shd w:val="clear" w:color="auto" w:fill="FFFFFF"/>
              </w:rPr>
              <w:t>(в) Както е обсъдено в Глава 11 на ДКП, стандартният проект на централата AP1000 предвижда подходящи проектни мерки за управление на течните и газообразните радиоактивни отпадъци през целия жизнен цикъл (генериране, сортиране, събиране, третиране и контролирано погребване).</w:t>
            </w:r>
          </w:p>
          <w:p w14:paraId="383ECCD3" w14:textId="0ED5521D" w:rsidR="00D250E0" w:rsidRDefault="00ED4420" w:rsidP="00BA144E">
            <w:pPr>
              <w:rPr>
                <w:shd w:val="clear" w:color="auto" w:fill="FFFFFF"/>
              </w:rPr>
            </w:pPr>
            <w:r>
              <w:rPr>
                <w:shd w:val="clear" w:color="auto" w:fill="FFFFFF"/>
              </w:rPr>
              <w:t xml:space="preserve">(г) (EP) Допустимите дейности за </w:t>
            </w:r>
            <w:r w:rsidR="00B13DCA">
              <w:rPr>
                <w:shd w:val="clear" w:color="auto" w:fill="FFFFFF"/>
              </w:rPr>
              <w:t xml:space="preserve">опаковките </w:t>
            </w:r>
            <w:r>
              <w:rPr>
                <w:shd w:val="clear" w:color="auto" w:fill="FFFFFF"/>
              </w:rPr>
              <w:t>с отпадъци се определят от всяка страна, като се вземат предвид наличните възможности за погребване (в съответствие с указанията на МААЕ).</w:t>
            </w:r>
          </w:p>
          <w:p w14:paraId="150A9224" w14:textId="6C274D22" w:rsidR="00EF12D7" w:rsidRDefault="00D76F5D" w:rsidP="00B12657">
            <w:pPr>
              <w:rPr>
                <w:shd w:val="clear" w:color="auto" w:fill="FFFFFF"/>
              </w:rPr>
            </w:pPr>
            <w:r>
              <w:rPr>
                <w:shd w:val="clear" w:color="auto" w:fill="FFFFFF"/>
              </w:rPr>
              <w:t>(д) Записите от инвентаризацията ще трябва да бъдат включени от Собственика като част от оперативните програми на Собственика, приложими към радиационната защита, управлението на радиоактивните отпадъци и отработеното гориво.</w:t>
            </w:r>
          </w:p>
          <w:p w14:paraId="6EABCAF5" w14:textId="7E584768" w:rsidR="00D26021" w:rsidRPr="0044280E" w:rsidRDefault="00062A03" w:rsidP="00D26021">
            <w:pPr>
              <w:rPr>
                <w:shd w:val="clear" w:color="auto" w:fill="FFFFFF"/>
              </w:rPr>
            </w:pPr>
            <w:r>
              <w:rPr>
                <w:shd w:val="clear" w:color="auto" w:fill="FFFFFF"/>
              </w:rPr>
              <w:lastRenderedPageBreak/>
              <w:t>(е) Управлението на радиоактивните отпадъци трябва да бъде включено от Собственика в оперативните програми, приложими към радиационната защита, управлението на радиоактивните отпадъци и отработеното гориво.</w:t>
            </w:r>
          </w:p>
        </w:tc>
      </w:tr>
      <w:tr w:rsidR="00BC2743" w14:paraId="05FC5A98" w14:textId="77777777" w:rsidTr="004210F0">
        <w:tc>
          <w:tcPr>
            <w:tcW w:w="13495" w:type="dxa"/>
            <w:gridSpan w:val="4"/>
          </w:tcPr>
          <w:p w14:paraId="348C5096" w14:textId="538365C2" w:rsidR="00BC2743" w:rsidRPr="00D3220E" w:rsidRDefault="00BC2743" w:rsidP="00D3220E">
            <w:pPr>
              <w:jc w:val="center"/>
              <w:rPr>
                <w:i/>
                <w:iCs/>
              </w:rPr>
            </w:pPr>
            <w:r>
              <w:rPr>
                <w:i/>
              </w:rPr>
              <w:lastRenderedPageBreak/>
              <w:t>Изхвърляния</w:t>
            </w:r>
          </w:p>
        </w:tc>
      </w:tr>
      <w:tr w:rsidR="00683002" w:rsidRPr="00CD224D" w14:paraId="448B49DC" w14:textId="77777777" w:rsidTr="00AB2CE3">
        <w:tc>
          <w:tcPr>
            <w:tcW w:w="797" w:type="dxa"/>
          </w:tcPr>
          <w:p w14:paraId="3D2C335D" w14:textId="762FF1F6" w:rsidR="00683002" w:rsidRDefault="00EC74C2" w:rsidP="00B723E1">
            <w:bookmarkStart w:id="64" w:name="_Hlk146796658"/>
            <w:r>
              <w:t>3.132.</w:t>
            </w:r>
          </w:p>
        </w:tc>
        <w:tc>
          <w:tcPr>
            <w:tcW w:w="5152" w:type="dxa"/>
          </w:tcPr>
          <w:p w14:paraId="63BB4ED3" w14:textId="28BBD5A3" w:rsidR="00BC2743" w:rsidRPr="00AB6A99" w:rsidRDefault="00BC2743">
            <w:r>
              <w:t>Регистрираните лица и лицензиантите, в сътрудничество с доставчиците, при кандидатстване за разрешение за изхвърляне, ако е необходимо:</w:t>
            </w:r>
            <w:r>
              <w:br/>
              <w:t xml:space="preserve">(а) определят характеристиките и активността на материала, който ще се изхвърля, както и възможните точки и методи на изхвърляне; </w:t>
            </w:r>
            <w:r>
              <w:br/>
              <w:t xml:space="preserve">б) определят чрез подходящо предексплоатационно проучване всички значими пътища на облъчване, по които изхвърляните радионуклиди могат да доведат до облъчване на лица от населението; </w:t>
            </w:r>
            <w:r>
              <w:br/>
              <w:t xml:space="preserve">в) оценяват дозите </w:t>
            </w:r>
            <w:r w:rsidR="00B13DCA">
              <w:t xml:space="preserve">за </w:t>
            </w:r>
            <w:r>
              <w:t xml:space="preserve">представителното лице, дължащи се на планираните изхвърляния; </w:t>
            </w:r>
            <w:r>
              <w:br/>
              <w:t xml:space="preserve">(г) разглеждат радиологичните въздействия върху околната среда в комплекс със средствата на системата за защита и безопасност, както се изисква от регулаторния орган; </w:t>
            </w:r>
            <w:r>
              <w:br/>
              <w:t>д) представят на регулаторния орган констатациите по букви а)-г) по-горе като данни, използвани от регулаторния орган, в съответствие с т. 3.123, на разрешените предели за изхвърляне и условията за тяхното спазване.</w:t>
            </w:r>
          </w:p>
        </w:tc>
        <w:tc>
          <w:tcPr>
            <w:tcW w:w="1559" w:type="dxa"/>
          </w:tcPr>
          <w:p w14:paraId="23CBDEE7" w14:textId="75FC7778" w:rsidR="00683002" w:rsidRDefault="003C3C12" w:rsidP="00D27590">
            <w:pPr>
              <w:jc w:val="center"/>
            </w:pPr>
            <w:r>
              <w:t>COM, OR</w:t>
            </w:r>
          </w:p>
        </w:tc>
        <w:tc>
          <w:tcPr>
            <w:tcW w:w="5987" w:type="dxa"/>
          </w:tcPr>
          <w:p w14:paraId="71998B4A" w14:textId="7DA6E965" w:rsidR="00683002" w:rsidRDefault="00DE5355" w:rsidP="00B723E1">
            <w:pPr>
              <w:rPr>
                <w:rFonts w:eastAsiaTheme="minorHAnsi" w:cstheme="minorBidi"/>
              </w:rPr>
            </w:pPr>
            <w:r>
              <w:t>Това е отговорност на Собственика/Лицензианта.</w:t>
            </w:r>
          </w:p>
          <w:p w14:paraId="45B40C14" w14:textId="04012113" w:rsidR="008A1F4B" w:rsidRDefault="008A1F4B" w:rsidP="008A1F4B">
            <w:pPr>
              <w:rPr>
                <w:rFonts w:eastAsiaTheme="minorEastAsia" w:cstheme="minorBidi"/>
              </w:rPr>
            </w:pPr>
            <w:r>
              <w:t>(а) В проекта на AP1000 са предвидени функции за мониторинг в рамките на централата, за да се гарантира, че планираните изхвърляния в околната среда се извършват по подходящ начин и че линиите за изхвърляне са изолирани, ако изхвърлянията надхвърлят очакванията. Вж. Глава 11 на ДКП за описание на контролираните газови и течни изхвърляния, както и за информация за системата за радиационен контрол на централата. Разпоредбите за вземане на проби са включени в системите за радиоактивни отпадъци.</w:t>
            </w:r>
          </w:p>
          <w:p w14:paraId="5F330D1F" w14:textId="48FFA368" w:rsidR="00BF6450" w:rsidRPr="00CD224D" w:rsidRDefault="00580357">
            <w:r>
              <w:t xml:space="preserve">(б) (в) (г) (д) Това е изискване на Собственика и ще бъде предмет на специфично за проекта проучване, което ще вземе предвид специфичната за обекта информация, нормативните изисквания (предели, дозови </w:t>
            </w:r>
            <w:r w:rsidR="006B75CE">
              <w:t>ограничения</w:t>
            </w:r>
            <w:r>
              <w:t>) и информацията за изхвърлянията, вж. буква (а).</w:t>
            </w:r>
          </w:p>
        </w:tc>
      </w:tr>
      <w:bookmarkEnd w:id="64"/>
      <w:tr w:rsidR="00683002" w14:paraId="51C9EDE7" w14:textId="77777777" w:rsidTr="00AB2CE3">
        <w:tc>
          <w:tcPr>
            <w:tcW w:w="797" w:type="dxa"/>
          </w:tcPr>
          <w:p w14:paraId="2E9D5078" w14:textId="50879658" w:rsidR="00EC74C2" w:rsidRDefault="00EC74C2" w:rsidP="00B723E1">
            <w:r>
              <w:lastRenderedPageBreak/>
              <w:t>3.133.</w:t>
            </w:r>
          </w:p>
        </w:tc>
        <w:tc>
          <w:tcPr>
            <w:tcW w:w="5152" w:type="dxa"/>
          </w:tcPr>
          <w:p w14:paraId="6424D360" w14:textId="5375FB40" w:rsidR="00683002" w:rsidRPr="00ED7A6A" w:rsidRDefault="00BC2743">
            <w:pPr>
              <w:rPr>
                <w:highlight w:val="red"/>
              </w:rPr>
            </w:pPr>
            <w:r>
              <w:t xml:space="preserve">Регистрираните лица и лицензиантите гарантират, че експлоатационните </w:t>
            </w:r>
            <w:r w:rsidR="007E44A2">
              <w:t xml:space="preserve">предели </w:t>
            </w:r>
            <w:r>
              <w:t>и условията, свързани с облъчването на населението, са спазени в съответствие с т. 3.123 и 3.124.</w:t>
            </w:r>
          </w:p>
        </w:tc>
        <w:tc>
          <w:tcPr>
            <w:tcW w:w="1559" w:type="dxa"/>
          </w:tcPr>
          <w:p w14:paraId="73CDE429" w14:textId="7CC25D44" w:rsidR="00683002" w:rsidRDefault="00DE5355" w:rsidP="00D27590">
            <w:pPr>
              <w:jc w:val="center"/>
            </w:pPr>
            <w:r>
              <w:t>OR</w:t>
            </w:r>
          </w:p>
        </w:tc>
        <w:tc>
          <w:tcPr>
            <w:tcW w:w="5987" w:type="dxa"/>
          </w:tcPr>
          <w:p w14:paraId="3CB6F460" w14:textId="55477888" w:rsidR="004B0778" w:rsidRPr="00112CB6" w:rsidRDefault="00DE5355" w:rsidP="00B723E1">
            <w:pPr>
              <w:rPr>
                <w:rFonts w:eastAsiaTheme="minorHAnsi" w:cstheme="minorBidi"/>
              </w:rPr>
            </w:pPr>
            <w:r>
              <w:t>Това е отговорност на Собственика/Лицензианта.</w:t>
            </w:r>
          </w:p>
        </w:tc>
      </w:tr>
      <w:tr w:rsidR="00ED7A6A" w14:paraId="31C339F1" w14:textId="77777777" w:rsidTr="00AB2CE3">
        <w:tc>
          <w:tcPr>
            <w:tcW w:w="797" w:type="dxa"/>
          </w:tcPr>
          <w:p w14:paraId="56F334A9" w14:textId="78F24197" w:rsidR="00ED7A6A" w:rsidRDefault="00ED7A6A" w:rsidP="00ED7A6A">
            <w:r>
              <w:t>3.134.</w:t>
            </w:r>
          </w:p>
        </w:tc>
        <w:tc>
          <w:tcPr>
            <w:tcW w:w="5152" w:type="dxa"/>
          </w:tcPr>
          <w:p w14:paraId="4B3825FD" w14:textId="7489E6F3" w:rsidR="00822336" w:rsidRPr="007E6CD5" w:rsidRDefault="00ED7A6A" w:rsidP="00723410">
            <w:r>
              <w:t xml:space="preserve">Регистрираните лица и лицензиантите преглеждат и модифицират своите мерки за контрол на изхвърлянията, ако е необходимо и по съгласуване с регулаторния орган, като вземат предвид: </w:t>
            </w:r>
            <w:r>
              <w:br/>
              <w:t xml:space="preserve">(а) експлоатационния опит; </w:t>
            </w:r>
            <w:r>
              <w:br/>
              <w:t>(б) всякакви промени в пътищата на облъчване или в характеристиките на представителното лице, които биха могли да повлияят на оценката на дозите, дължащи се на изхвърлянията.</w:t>
            </w:r>
          </w:p>
        </w:tc>
        <w:tc>
          <w:tcPr>
            <w:tcW w:w="1559" w:type="dxa"/>
          </w:tcPr>
          <w:p w14:paraId="441638A5" w14:textId="02CB6AAD" w:rsidR="00ED7A6A" w:rsidRDefault="00ED7A6A" w:rsidP="00ED7A6A">
            <w:pPr>
              <w:jc w:val="center"/>
            </w:pPr>
            <w:r>
              <w:t>OR</w:t>
            </w:r>
          </w:p>
        </w:tc>
        <w:tc>
          <w:tcPr>
            <w:tcW w:w="5987" w:type="dxa"/>
          </w:tcPr>
          <w:p w14:paraId="1344FD42" w14:textId="5B87D6BD" w:rsidR="00ED7A6A" w:rsidRDefault="00ED7A6A" w:rsidP="00ED7A6A">
            <w:r>
              <w:t>Това е отговорност на Собственика/Лицензианта.</w:t>
            </w:r>
          </w:p>
          <w:p w14:paraId="2387F4B3" w14:textId="45007DA2" w:rsidR="00ED7A6A" w:rsidRDefault="00ED7A6A">
            <w:r>
              <w:t xml:space="preserve">Това изискване е взето предвид в проекта. Централата AP1000 е проектирана така, че всички точки на изпускане на течности и газове се контролират с помощта на система за непрекъснат радиационен </w:t>
            </w:r>
            <w:r w:rsidR="00952CFA">
              <w:t>мониторинг</w:t>
            </w:r>
            <w:r>
              <w:t xml:space="preserve"> (СР</w:t>
            </w:r>
            <w:r w:rsidR="00952CFA">
              <w:t>М</w:t>
            </w:r>
            <w:r>
              <w:t xml:space="preserve">). Контролът на отпадъчните </w:t>
            </w:r>
            <w:r w:rsidR="007E44A2">
              <w:t xml:space="preserve">радиоактивни води </w:t>
            </w:r>
            <w:r>
              <w:t xml:space="preserve"> от AP1000 най-вероятно ще съответства на Препоръка 2004/2/Евратом, която предоставя указания на страните от ЕС относно докладването за изхвърляния на радиоактивни нуклиди.</w:t>
            </w:r>
          </w:p>
        </w:tc>
      </w:tr>
    </w:tbl>
    <w:p w14:paraId="242EE451" w14:textId="36830FB3" w:rsidR="00683002" w:rsidRPr="00EC74C2" w:rsidRDefault="00EC74C2" w:rsidP="00190D0E">
      <w:pPr>
        <w:pStyle w:val="Heading3"/>
        <w:spacing w:before="240"/>
        <w:rPr>
          <w:caps/>
        </w:rPr>
      </w:pPr>
      <w:bookmarkStart w:id="65" w:name="_Toc155347809"/>
      <w:r>
        <w:t>Изискване 32: Мониторинг и регистрация на резултатите</w:t>
      </w:r>
      <w:bookmarkEnd w:id="65"/>
    </w:p>
    <w:tbl>
      <w:tblPr>
        <w:tblStyle w:val="TableGrid"/>
        <w:tblW w:w="13495" w:type="dxa"/>
        <w:tblLayout w:type="fixed"/>
        <w:tblLook w:val="04A0" w:firstRow="1" w:lastRow="0" w:firstColumn="1" w:lastColumn="0" w:noHBand="0" w:noVBand="1"/>
      </w:tblPr>
      <w:tblGrid>
        <w:gridCol w:w="797"/>
        <w:gridCol w:w="5152"/>
        <w:gridCol w:w="1559"/>
        <w:gridCol w:w="5987"/>
      </w:tblGrid>
      <w:tr w:rsidR="00683002" w14:paraId="211EF7E3" w14:textId="77777777" w:rsidTr="00AB2CE3">
        <w:trPr>
          <w:tblHeader/>
        </w:trPr>
        <w:tc>
          <w:tcPr>
            <w:tcW w:w="797" w:type="dxa"/>
          </w:tcPr>
          <w:p w14:paraId="35F9BADD" w14:textId="77777777" w:rsidR="00683002" w:rsidRDefault="00683002" w:rsidP="00B723E1"/>
        </w:tc>
        <w:tc>
          <w:tcPr>
            <w:tcW w:w="5152" w:type="dxa"/>
          </w:tcPr>
          <w:p w14:paraId="4882760B" w14:textId="77777777" w:rsidR="00683002" w:rsidRDefault="00683002" w:rsidP="00B723E1">
            <w:r>
              <w:rPr>
                <w:b/>
              </w:rPr>
              <w:t>Описание</w:t>
            </w:r>
          </w:p>
        </w:tc>
        <w:tc>
          <w:tcPr>
            <w:tcW w:w="1559" w:type="dxa"/>
          </w:tcPr>
          <w:p w14:paraId="4FF761F5" w14:textId="77777777" w:rsidR="00683002" w:rsidRDefault="00683002" w:rsidP="00B723E1">
            <w:r>
              <w:rPr>
                <w:b/>
              </w:rPr>
              <w:t>Съответствие</w:t>
            </w:r>
          </w:p>
        </w:tc>
        <w:tc>
          <w:tcPr>
            <w:tcW w:w="5987" w:type="dxa"/>
          </w:tcPr>
          <w:p w14:paraId="6075C54D" w14:textId="77777777" w:rsidR="00683002" w:rsidRDefault="00683002" w:rsidP="00B723E1">
            <w:r>
              <w:rPr>
                <w:b/>
              </w:rPr>
              <w:t>Обосновка</w:t>
            </w:r>
          </w:p>
        </w:tc>
      </w:tr>
      <w:tr w:rsidR="00683002" w14:paraId="108E10BC" w14:textId="77777777" w:rsidTr="00AB2CE3">
        <w:tc>
          <w:tcPr>
            <w:tcW w:w="797" w:type="dxa"/>
          </w:tcPr>
          <w:p w14:paraId="3C187BEF" w14:textId="498325CF" w:rsidR="00683002" w:rsidRDefault="00683002" w:rsidP="00B723E1"/>
        </w:tc>
        <w:tc>
          <w:tcPr>
            <w:tcW w:w="5152" w:type="dxa"/>
          </w:tcPr>
          <w:p w14:paraId="125749B5" w14:textId="09C4768E" w:rsidR="00683002" w:rsidRPr="00320C04" w:rsidRDefault="00EC74C2" w:rsidP="00320C04">
            <w:pPr>
              <w:rPr>
                <w:b/>
                <w:bCs/>
              </w:rPr>
            </w:pPr>
            <w:r>
              <w:rPr>
                <w:b/>
              </w:rPr>
              <w:t>Регулаторният орган и съответните страни осигуряват наличието на програми за мониторинг на източниците и мониторинг на околната среда, както и регистрация на резултатите от мониторинга и достъп до тях.</w:t>
            </w:r>
          </w:p>
        </w:tc>
        <w:tc>
          <w:tcPr>
            <w:tcW w:w="1559" w:type="dxa"/>
          </w:tcPr>
          <w:p w14:paraId="39B35BFA" w14:textId="4F5B6DBC" w:rsidR="00683002" w:rsidRDefault="0032543C" w:rsidP="00D27590">
            <w:pPr>
              <w:jc w:val="center"/>
            </w:pPr>
            <w:r>
              <w:t>OR, EP</w:t>
            </w:r>
          </w:p>
        </w:tc>
        <w:tc>
          <w:tcPr>
            <w:tcW w:w="5987" w:type="dxa"/>
          </w:tcPr>
          <w:p w14:paraId="570D40D9" w14:textId="5412414C" w:rsidR="00683002" w:rsidRDefault="0032543C" w:rsidP="00B723E1">
            <w:r>
              <w:t>Това е отговорност на регулаторния орган и Собственика/Лицензианта или други Външни институции.</w:t>
            </w:r>
          </w:p>
          <w:p w14:paraId="30DC5AA4" w14:textId="49314467" w:rsidR="0032543C" w:rsidRPr="005E537A" w:rsidRDefault="0032543C" w:rsidP="00B05245">
            <w:pPr>
              <w:tabs>
                <w:tab w:val="clear" w:pos="720"/>
                <w:tab w:val="clear" w:pos="1296"/>
                <w:tab w:val="clear" w:pos="1872"/>
                <w:tab w:val="clear" w:pos="2448"/>
              </w:tabs>
              <w:spacing w:line="240" w:lineRule="auto"/>
              <w:rPr>
                <w:kern w:val="0"/>
              </w:rPr>
            </w:pPr>
            <w:r>
              <w:t>СР</w:t>
            </w:r>
            <w:r w:rsidR="00952CFA">
              <w:t>М</w:t>
            </w:r>
            <w:r>
              <w:t xml:space="preserve"> на AP1000 осигурява непрекъснат контрол на радиационните параметри, както е описано в Раздел 11.5 на ДКП. Това включва мониторинг на радиоактивността на газообразните и течните технологични потоци, газообразните и течните </w:t>
            </w:r>
            <w:r w:rsidR="004E2A76">
              <w:t xml:space="preserve">радиоактивни </w:t>
            </w:r>
            <w:r>
              <w:t xml:space="preserve">отпадъчни флуиди, </w:t>
            </w:r>
            <w:r>
              <w:lastRenderedPageBreak/>
              <w:t>въздуха на</w:t>
            </w:r>
            <w:r w:rsidR="004E2A76" w:rsidRPr="00C469CC">
              <w:rPr>
                <w:lang w:val="en-US"/>
              </w:rPr>
              <w:t xml:space="preserve"> </w:t>
            </w:r>
            <w:r w:rsidR="004E2A76">
              <w:t>територията на</w:t>
            </w:r>
            <w:r>
              <w:t xml:space="preserve"> централата и </w:t>
            </w:r>
            <w:r w:rsidR="004E2A76">
              <w:t xml:space="preserve">други </w:t>
            </w:r>
            <w:r>
              <w:t>определени зони, както е показано в Таблица 11.5-2 на ДКП.</w:t>
            </w:r>
          </w:p>
        </w:tc>
      </w:tr>
      <w:tr w:rsidR="00360052" w14:paraId="2FFB7977" w14:textId="77777777" w:rsidTr="00AB2CE3">
        <w:tc>
          <w:tcPr>
            <w:tcW w:w="797" w:type="dxa"/>
          </w:tcPr>
          <w:p w14:paraId="1DEEEB6C" w14:textId="49D37748" w:rsidR="00360052" w:rsidRDefault="00360052" w:rsidP="00360052">
            <w:r>
              <w:lastRenderedPageBreak/>
              <w:t>3.135.</w:t>
            </w:r>
          </w:p>
        </w:tc>
        <w:tc>
          <w:tcPr>
            <w:tcW w:w="5152" w:type="dxa"/>
          </w:tcPr>
          <w:p w14:paraId="03790B91" w14:textId="77777777" w:rsidR="00477E18" w:rsidRDefault="00360052" w:rsidP="00477E18">
            <w:pPr>
              <w:spacing w:after="0"/>
            </w:pPr>
            <w:r>
              <w:t xml:space="preserve">Регулаторният орган отговаря, според случая, за: </w:t>
            </w:r>
            <w:r>
              <w:br/>
              <w:t>(а) преглед и одобрение на програмите за мониторинг на регистрираните лица и лицензиантите, които трябва да са достатъчни за:</w:t>
            </w:r>
          </w:p>
          <w:p w14:paraId="16BDC5AF" w14:textId="77777777" w:rsidR="00477E18" w:rsidRDefault="00360052" w:rsidP="00477E18">
            <w:pPr>
              <w:spacing w:after="0"/>
              <w:ind w:left="616"/>
            </w:pPr>
            <w:r>
              <w:t xml:space="preserve">(i) проверка на спазването на изискванията на настоящите стандарти по отношение на облъчването на населението в ситуации на планирано облъчване; </w:t>
            </w:r>
            <w:r>
              <w:br/>
              <w:t>(ii) оценка на дозите на облъчване на населението;</w:t>
            </w:r>
          </w:p>
          <w:p w14:paraId="71CA6141" w14:textId="5ED7C56D" w:rsidR="00360052" w:rsidRDefault="00360052" w:rsidP="00360052">
            <w:r>
              <w:t xml:space="preserve">(б) преглед на периодичните доклади за облъчването на населението (включително резултатите от програмите за мониторинг и оценките на дозите), представени от регистрираните лица и лицензиантите; </w:t>
            </w:r>
            <w:r>
              <w:br/>
              <w:t xml:space="preserve">(в) приемане на мерки, насочени за осъществяването на програма за независим мониторинг; </w:t>
            </w:r>
            <w:r>
              <w:br/>
              <w:t xml:space="preserve">(г) оценка на сумарното облъчване на населението, дължащо се на разрешени източници и практически дейности в държавата, въз основа на данните от мониторинга, предоставени от регистрираните лица и лицензиантите, и с използване на данни от независим мониторинг и независими оценки; </w:t>
            </w:r>
            <w:r>
              <w:br/>
              <w:t xml:space="preserve">(д) приемане на мерки, насочени за поддържане на записи за изхвърлянията, резултатите от програмите за мониторинг и резултатите от оценките на облъчването на населението; </w:t>
            </w:r>
            <w:r>
              <w:br/>
            </w:r>
            <w:r>
              <w:lastRenderedPageBreak/>
              <w:t xml:space="preserve">(е) проверка на съответствието на официално разрешената практическа дейност с изискванията на настоящите стандарти по отношение на контрола на облъчването на населението. </w:t>
            </w:r>
          </w:p>
        </w:tc>
        <w:tc>
          <w:tcPr>
            <w:tcW w:w="1559" w:type="dxa"/>
          </w:tcPr>
          <w:p w14:paraId="7C01DE57" w14:textId="2F94806E" w:rsidR="00360052" w:rsidRDefault="00FF1019" w:rsidP="00360052">
            <w:pPr>
              <w:jc w:val="center"/>
            </w:pPr>
            <w:r>
              <w:lastRenderedPageBreak/>
              <w:t>EP</w:t>
            </w:r>
          </w:p>
        </w:tc>
        <w:tc>
          <w:tcPr>
            <w:tcW w:w="5987" w:type="dxa"/>
          </w:tcPr>
          <w:p w14:paraId="6EBBA6D0" w14:textId="1A9B4C18" w:rsidR="00360052" w:rsidRDefault="00E70076" w:rsidP="00360052">
            <w:r>
              <w:t>Това е отговорност на Регулаторния орган.</w:t>
            </w:r>
          </w:p>
        </w:tc>
      </w:tr>
      <w:tr w:rsidR="00360052" w14:paraId="2D8A3AD5" w14:textId="77777777" w:rsidTr="00AB2CE3">
        <w:tc>
          <w:tcPr>
            <w:tcW w:w="797" w:type="dxa"/>
          </w:tcPr>
          <w:p w14:paraId="35E88291" w14:textId="6D0AED84" w:rsidR="00360052" w:rsidRDefault="00360052" w:rsidP="00360052">
            <w:r>
              <w:t>3.136.</w:t>
            </w:r>
          </w:p>
        </w:tc>
        <w:tc>
          <w:tcPr>
            <w:tcW w:w="5152" w:type="dxa"/>
          </w:tcPr>
          <w:p w14:paraId="33E5C526" w14:textId="17456372" w:rsidR="00360052" w:rsidRDefault="00360052" w:rsidP="00360052">
            <w:r>
              <w:t>Регулаторният орган публикува или предоставя при поискване, според случая, резултати от програмите за мониторинг на източниците и околната среда, както и оценки на дозите на облъчване на населението.</w:t>
            </w:r>
          </w:p>
        </w:tc>
        <w:tc>
          <w:tcPr>
            <w:tcW w:w="1559" w:type="dxa"/>
          </w:tcPr>
          <w:p w14:paraId="10C91FCB" w14:textId="06EA2C59" w:rsidR="00360052" w:rsidRDefault="00FF1019" w:rsidP="00360052">
            <w:pPr>
              <w:jc w:val="center"/>
            </w:pPr>
            <w:r>
              <w:t>EP</w:t>
            </w:r>
          </w:p>
        </w:tc>
        <w:tc>
          <w:tcPr>
            <w:tcW w:w="5987" w:type="dxa"/>
          </w:tcPr>
          <w:p w14:paraId="0ED5722F" w14:textId="1B69824C" w:rsidR="00360052" w:rsidRDefault="00E70076" w:rsidP="00360052">
            <w:r>
              <w:t>Това е отговорност на Регулаторния орган.</w:t>
            </w:r>
          </w:p>
        </w:tc>
      </w:tr>
      <w:tr w:rsidR="007D23CC" w14:paraId="2CF5BD86" w14:textId="77777777" w:rsidTr="00AB2CE3">
        <w:tc>
          <w:tcPr>
            <w:tcW w:w="797" w:type="dxa"/>
          </w:tcPr>
          <w:p w14:paraId="5A58D0B6" w14:textId="3BF25FD7" w:rsidR="007D23CC" w:rsidRDefault="007D23CC" w:rsidP="007D23CC">
            <w:r>
              <w:t>3.137.</w:t>
            </w:r>
          </w:p>
        </w:tc>
        <w:tc>
          <w:tcPr>
            <w:tcW w:w="5152" w:type="dxa"/>
          </w:tcPr>
          <w:p w14:paraId="193D2ED4" w14:textId="77777777" w:rsidR="00477E18" w:rsidRPr="006C052D" w:rsidRDefault="007D23CC" w:rsidP="00477E18">
            <w:pPr>
              <w:spacing w:after="0"/>
            </w:pPr>
            <w:r>
              <w:t xml:space="preserve">Регистрираните лица и лицензиантите, ако е необходимо: </w:t>
            </w:r>
            <w:r>
              <w:br/>
              <w:t>(а) установяват и осъществяват програми за мониторинг, за да гарантират, че облъчването на населението, дължащо се на източниците, за които те отговарят, е адекватно оценено и че оценката е достатъчна, за да се провери и демонстрира спазването на официалното разрешение. Тези програми включват мониторинг на следното, в зависимост от обстоятелствата:</w:t>
            </w:r>
          </w:p>
          <w:p w14:paraId="7A528592" w14:textId="77777777" w:rsidR="00477E18" w:rsidRPr="006C052D" w:rsidRDefault="007D23CC" w:rsidP="00477E18">
            <w:pPr>
              <w:spacing w:after="0"/>
              <w:ind w:left="616"/>
            </w:pPr>
            <w:r>
              <w:t xml:space="preserve">(i) външно облъчване, дължащо се на такива източници; </w:t>
            </w:r>
            <w:r>
              <w:br/>
              <w:t xml:space="preserve">(ii) изхвърляния; </w:t>
            </w:r>
            <w:r>
              <w:br/>
              <w:t xml:space="preserve">(iii) радиоактивност в околната среда; </w:t>
            </w:r>
            <w:r>
              <w:br/>
              <w:t>(iv) други параметри, важни за оценката на облъчването на населението;</w:t>
            </w:r>
          </w:p>
          <w:p w14:paraId="1C4BB3B5" w14:textId="5F0AC750" w:rsidR="003166AA" w:rsidRPr="00B05245" w:rsidRDefault="007D23CC">
            <w:r>
              <w:t xml:space="preserve">(б) поддържат подходящи записи </w:t>
            </w:r>
            <w:r w:rsidR="00B31851">
              <w:t>н</w:t>
            </w:r>
            <w:r>
              <w:t xml:space="preserve">а резултатите от програмите за мониторинг и очакваните дози за лицата от населението; </w:t>
            </w:r>
            <w:r>
              <w:br/>
              <w:t xml:space="preserve">(в) съобщават или предоставят на регулаторния </w:t>
            </w:r>
            <w:r>
              <w:lastRenderedPageBreak/>
              <w:t xml:space="preserve">орган резултатите от програмата за мониторинг на одобрени интервали от време, включително, ако е приложимо, нивата и състава на изхвърлянията, мощността на дозите </w:t>
            </w:r>
            <w:r w:rsidR="00E13A67">
              <w:t xml:space="preserve">в границите </w:t>
            </w:r>
            <w:r>
              <w:t xml:space="preserve">на площадката и в помещения, отворени за лица от населението, резултатите от мониторинга на околната среда и ретроспективните оценки на дозите за представителното лице; </w:t>
            </w:r>
            <w:r>
              <w:br/>
              <w:t xml:space="preserve">(г) незабавно съобщават на регулаторния орган за всякакви нива, превишаващи експлоатационните граници и условията, свързани с облъчването на населението, включително разрешените граници за изхвърлянията, в съответствие с критериите за представяне на отчети, установени от регулаторния орган; </w:t>
            </w:r>
            <w:r>
              <w:br/>
              <w:t xml:space="preserve">(д) незабавно съобщават на регулаторния орган за всяко значително увеличение на мощността на дозата или концентрациите на радионуклиди в околната среда, което може да се отдаде на разрешената практическа дейност, в съответствие с критериите за представяне на отчети, установени от регулаторния орган; </w:t>
            </w:r>
            <w:r>
              <w:br/>
              <w:t xml:space="preserve">(е) създават и поддържат капацитет за провеждане на мониторинг при аварийни ситуации в случай на неочаквано повишаване на нивата на радиация или концентрациите на радионуклиди в околната среда поради авария или друго необичайно събитие, свързано с използването на разрешен източник или разрешено съоръжение; </w:t>
            </w:r>
            <w:r>
              <w:br/>
              <w:t xml:space="preserve">(ж) проверяват адекватността на допусканията, направени при оценката на облъчването на </w:t>
            </w:r>
            <w:r>
              <w:lastRenderedPageBreak/>
              <w:t xml:space="preserve">населението и оценката на радиологичните въздействия върху околната среда; </w:t>
            </w:r>
            <w:r>
              <w:br/>
              <w:t>(з) публикуват или предоставят при поискване, според случая, резултатите от програмите за мониторинг на източниците и околната среда, както и оценките на дозите на облъчване на населението.</w:t>
            </w:r>
          </w:p>
        </w:tc>
        <w:tc>
          <w:tcPr>
            <w:tcW w:w="1559" w:type="dxa"/>
          </w:tcPr>
          <w:p w14:paraId="1F39D536" w14:textId="6990F6B4" w:rsidR="007D23CC" w:rsidRDefault="00DE5355" w:rsidP="007D23CC">
            <w:pPr>
              <w:jc w:val="center"/>
            </w:pPr>
            <w:r>
              <w:lastRenderedPageBreak/>
              <w:t>OR</w:t>
            </w:r>
          </w:p>
        </w:tc>
        <w:tc>
          <w:tcPr>
            <w:tcW w:w="5987" w:type="dxa"/>
          </w:tcPr>
          <w:p w14:paraId="6716ECE5" w14:textId="4ABA35B9" w:rsidR="007D23CC" w:rsidRDefault="00DE5355" w:rsidP="007D23CC">
            <w:pPr>
              <w:rPr>
                <w:rFonts w:eastAsiaTheme="minorHAnsi" w:cstheme="minorBidi"/>
              </w:rPr>
            </w:pPr>
            <w:r>
              <w:t>Това е отговорност на Собственика/Лицензианта.</w:t>
            </w:r>
          </w:p>
          <w:p w14:paraId="08B543C6" w14:textId="7C4512E0" w:rsidR="00DC3812" w:rsidRPr="005E537A" w:rsidRDefault="00DC3812">
            <w:pPr>
              <w:rPr>
                <w:b/>
                <w:bCs/>
              </w:rPr>
            </w:pPr>
            <w:r>
              <w:t xml:space="preserve">Системите на централата AP1000 са оборудвани с контролно-измервателни </w:t>
            </w:r>
            <w:r w:rsidR="00E13A67">
              <w:t>прибори</w:t>
            </w:r>
            <w:r>
              <w:t xml:space="preserve">, осигуряващи безопасност, и подходящи средства за управление, които осигуряват бърза обратна връзка в случай на </w:t>
            </w:r>
            <w:r w:rsidR="00E13A67">
              <w:t xml:space="preserve">всякакви нарушения на нормалните експлоатационни условия </w:t>
            </w:r>
            <w:r>
              <w:t xml:space="preserve">на централата. Свързаните с безопасността контролно-измервателни </w:t>
            </w:r>
            <w:r w:rsidR="00E13A67">
              <w:t xml:space="preserve">прибори </w:t>
            </w:r>
            <w:r>
              <w:t xml:space="preserve">са резервирани и включени в многостепенна обучена система за мониторинг на централата. В стратегически точки са разположени монитори, за да сигнализират за нежелани </w:t>
            </w:r>
            <w:r w:rsidR="00BF0478">
              <w:t>изхвърлания</w:t>
            </w:r>
            <w:r>
              <w:t>. Тези монитори се използват, за да се гарантира, че персоналът, лицата от населението и околната среда са защитени от радиоактивност. Тази тема е включена в Глава 7 на ДКП, изготвен за централата AP1000.</w:t>
            </w:r>
          </w:p>
        </w:tc>
      </w:tr>
    </w:tbl>
    <w:p w14:paraId="293B3E80" w14:textId="77459D73" w:rsidR="00683002" w:rsidRPr="00320C04" w:rsidRDefault="00320C04" w:rsidP="00190D0E">
      <w:pPr>
        <w:pStyle w:val="Heading3"/>
        <w:spacing w:before="240"/>
        <w:rPr>
          <w:caps/>
        </w:rPr>
      </w:pPr>
      <w:bookmarkStart w:id="66" w:name="_Toc155347810"/>
      <w:r>
        <w:lastRenderedPageBreak/>
        <w:t>Изискване 33: Потребителски продукти</w:t>
      </w:r>
      <w:bookmarkEnd w:id="66"/>
    </w:p>
    <w:tbl>
      <w:tblPr>
        <w:tblStyle w:val="TableGrid"/>
        <w:tblW w:w="13495" w:type="dxa"/>
        <w:tblLayout w:type="fixed"/>
        <w:tblLook w:val="04A0" w:firstRow="1" w:lastRow="0" w:firstColumn="1" w:lastColumn="0" w:noHBand="0" w:noVBand="1"/>
      </w:tblPr>
      <w:tblGrid>
        <w:gridCol w:w="797"/>
        <w:gridCol w:w="5152"/>
        <w:gridCol w:w="1559"/>
        <w:gridCol w:w="5987"/>
      </w:tblGrid>
      <w:tr w:rsidR="00683002" w14:paraId="6FB77C01" w14:textId="77777777" w:rsidTr="00AB2CE3">
        <w:trPr>
          <w:tblHeader/>
        </w:trPr>
        <w:tc>
          <w:tcPr>
            <w:tcW w:w="797" w:type="dxa"/>
          </w:tcPr>
          <w:p w14:paraId="60D98306" w14:textId="77777777" w:rsidR="00683002" w:rsidRDefault="00683002" w:rsidP="00B723E1"/>
        </w:tc>
        <w:tc>
          <w:tcPr>
            <w:tcW w:w="5152" w:type="dxa"/>
          </w:tcPr>
          <w:p w14:paraId="138464CF" w14:textId="77777777" w:rsidR="00683002" w:rsidRDefault="00683002" w:rsidP="00B723E1">
            <w:r>
              <w:rPr>
                <w:b/>
              </w:rPr>
              <w:t>Описание</w:t>
            </w:r>
          </w:p>
        </w:tc>
        <w:tc>
          <w:tcPr>
            <w:tcW w:w="1559" w:type="dxa"/>
          </w:tcPr>
          <w:p w14:paraId="591C14B1" w14:textId="77777777" w:rsidR="00683002" w:rsidRDefault="00683002" w:rsidP="00B723E1">
            <w:r>
              <w:rPr>
                <w:b/>
              </w:rPr>
              <w:t>Съответствие</w:t>
            </w:r>
          </w:p>
        </w:tc>
        <w:tc>
          <w:tcPr>
            <w:tcW w:w="5987" w:type="dxa"/>
          </w:tcPr>
          <w:p w14:paraId="2552ACAF" w14:textId="77777777" w:rsidR="00683002" w:rsidRDefault="00683002" w:rsidP="00B723E1">
            <w:r>
              <w:rPr>
                <w:b/>
              </w:rPr>
              <w:t>Обосновка</w:t>
            </w:r>
          </w:p>
        </w:tc>
      </w:tr>
      <w:tr w:rsidR="00A1709A" w:rsidRPr="00A1709A" w14:paraId="2DC69B77" w14:textId="77777777" w:rsidTr="00AB2CE3">
        <w:tc>
          <w:tcPr>
            <w:tcW w:w="797" w:type="dxa"/>
          </w:tcPr>
          <w:p w14:paraId="6D1D28AC" w14:textId="77777777" w:rsidR="00A1709A" w:rsidRDefault="00A1709A" w:rsidP="00A1709A"/>
        </w:tc>
        <w:tc>
          <w:tcPr>
            <w:tcW w:w="5152" w:type="dxa"/>
          </w:tcPr>
          <w:p w14:paraId="12AE477F" w14:textId="625B170C" w:rsidR="00A1709A" w:rsidRPr="00596CA8" w:rsidRDefault="00A1709A">
            <w:pPr>
              <w:rPr>
                <w:b/>
                <w:bCs/>
              </w:rPr>
            </w:pPr>
            <w:r>
              <w:rPr>
                <w:b/>
              </w:rPr>
              <w:t xml:space="preserve">Доставчиците на потребителски </w:t>
            </w:r>
            <w:r w:rsidR="00D77802">
              <w:rPr>
                <w:b/>
              </w:rPr>
              <w:t xml:space="preserve">стоки </w:t>
            </w:r>
            <w:r>
              <w:rPr>
                <w:b/>
              </w:rPr>
              <w:t xml:space="preserve">гарантират, че потребителски </w:t>
            </w:r>
            <w:r w:rsidR="00D77802">
              <w:rPr>
                <w:b/>
              </w:rPr>
              <w:t xml:space="preserve">стоки </w:t>
            </w:r>
            <w:r>
              <w:rPr>
                <w:b/>
              </w:rPr>
              <w:t>не се доставят на населението, ако използването им от лицата от населението не е обосновано и ако върху тяхното използване не се разпространява освобождаване или тяхното предоставяне на населението не е официално разрешено.</w:t>
            </w:r>
          </w:p>
        </w:tc>
        <w:tc>
          <w:tcPr>
            <w:tcW w:w="1559" w:type="dxa"/>
          </w:tcPr>
          <w:p w14:paraId="42F9941A" w14:textId="32D2F265" w:rsidR="00A1709A" w:rsidRDefault="00A1709A" w:rsidP="00A1709A">
            <w:pPr>
              <w:jc w:val="center"/>
            </w:pPr>
            <w:r>
              <w:t>NAP</w:t>
            </w:r>
          </w:p>
        </w:tc>
        <w:tc>
          <w:tcPr>
            <w:tcW w:w="5987" w:type="dxa"/>
          </w:tcPr>
          <w:p w14:paraId="7BB36F6D" w14:textId="4AF2C420" w:rsidR="00A1709A" w:rsidRPr="00A1709A" w:rsidRDefault="00A1709A" w:rsidP="00A1709A">
            <w:r>
              <w:t>Изискването не е приложимо към технологията.</w:t>
            </w:r>
          </w:p>
        </w:tc>
      </w:tr>
      <w:tr w:rsidR="00A1709A" w14:paraId="1A1918D1" w14:textId="77777777" w:rsidTr="00AB2CE3">
        <w:tc>
          <w:tcPr>
            <w:tcW w:w="797" w:type="dxa"/>
          </w:tcPr>
          <w:p w14:paraId="3746E93E" w14:textId="6BCEBCB2" w:rsidR="00A1709A" w:rsidRDefault="00A1709A" w:rsidP="00A1709A">
            <w:r>
              <w:t>3.138.</w:t>
            </w:r>
          </w:p>
        </w:tc>
        <w:tc>
          <w:tcPr>
            <w:tcW w:w="5152" w:type="dxa"/>
          </w:tcPr>
          <w:p w14:paraId="366EAE2A" w14:textId="5B900B2A" w:rsidR="00A1709A" w:rsidRDefault="00A1709A">
            <w:r>
              <w:t xml:space="preserve">Доставчиците на потребителски </w:t>
            </w:r>
            <w:r w:rsidR="00D77802">
              <w:t xml:space="preserve">стоки </w:t>
            </w:r>
            <w:r>
              <w:t>гарантират, че потребителските продукти не се предоставят на населението, ако обосновката за използването им от лица на населението не е одобрена от правителството или регулаторния орган и ако върху използването им не се разпространява освобождаване въз основа на критериите, посочени в Приложение I, или ако за предоставянето им на населението няма официално разрешение.</w:t>
            </w:r>
          </w:p>
        </w:tc>
        <w:tc>
          <w:tcPr>
            <w:tcW w:w="1559" w:type="dxa"/>
          </w:tcPr>
          <w:p w14:paraId="4F1C5567" w14:textId="616C0066" w:rsidR="00A1709A" w:rsidRDefault="00A1709A" w:rsidP="00A1709A">
            <w:pPr>
              <w:jc w:val="center"/>
            </w:pPr>
            <w:r>
              <w:t>NAP</w:t>
            </w:r>
          </w:p>
        </w:tc>
        <w:tc>
          <w:tcPr>
            <w:tcW w:w="5987" w:type="dxa"/>
          </w:tcPr>
          <w:p w14:paraId="0D052996" w14:textId="67E0BEE2" w:rsidR="00C439B1" w:rsidRDefault="00A1709A" w:rsidP="00C439B1">
            <w:r>
              <w:t>Изискването не е приложимо към технологията.</w:t>
            </w:r>
          </w:p>
        </w:tc>
      </w:tr>
      <w:tr w:rsidR="00A1709A" w14:paraId="5C3EC70A" w14:textId="77777777" w:rsidTr="00AB2CE3">
        <w:tc>
          <w:tcPr>
            <w:tcW w:w="797" w:type="dxa"/>
          </w:tcPr>
          <w:p w14:paraId="4FD9BBAD" w14:textId="4974F4F9" w:rsidR="00A1709A" w:rsidRDefault="00A1709A" w:rsidP="00A1709A">
            <w:r>
              <w:lastRenderedPageBreak/>
              <w:t>3.139.</w:t>
            </w:r>
          </w:p>
        </w:tc>
        <w:tc>
          <w:tcPr>
            <w:tcW w:w="5152" w:type="dxa"/>
          </w:tcPr>
          <w:p w14:paraId="6F01CD10" w14:textId="634CC4E0" w:rsidR="00A1709A" w:rsidRDefault="00A1709A">
            <w:r>
              <w:t xml:space="preserve">При получаване на искане за официално разрешение за предоставяне на потребителски </w:t>
            </w:r>
            <w:r w:rsidR="00F376B7">
              <w:t xml:space="preserve">стоки </w:t>
            </w:r>
            <w:r>
              <w:t xml:space="preserve">на населението регулаторният орган: </w:t>
            </w:r>
            <w:r>
              <w:br/>
              <w:t>(а) изисква от доставчика на потребителск</w:t>
            </w:r>
            <w:r w:rsidR="00F376B7">
              <w:t>ата</w:t>
            </w:r>
            <w:r>
              <w:t xml:space="preserve"> </w:t>
            </w:r>
            <w:r w:rsidR="00F376B7">
              <w:t xml:space="preserve">стока </w:t>
            </w:r>
            <w:r>
              <w:t xml:space="preserve">да предостави документи, доказващи съответствие с изискванията, изложени в т. 3.138-3.144; </w:t>
            </w:r>
            <w:r>
              <w:br/>
              <w:t xml:space="preserve">б) проверява оценките и избора на параметрите, представени в искането за получаване на официално разрешение; </w:t>
            </w:r>
            <w:r>
              <w:br/>
              <w:t>в) определя възможността за прилагане на освобождаване по отношение на крайното използване на потребителск</w:t>
            </w:r>
            <w:r w:rsidR="00F376B7">
              <w:t>ата</w:t>
            </w:r>
            <w:r>
              <w:t xml:space="preserve"> </w:t>
            </w:r>
            <w:r w:rsidR="00F376B7">
              <w:t>стока</w:t>
            </w:r>
            <w:r>
              <w:t xml:space="preserve">; </w:t>
            </w:r>
            <w:r>
              <w:br/>
              <w:t xml:space="preserve">г) официално разрешава предоставянето на </w:t>
            </w:r>
            <w:r w:rsidR="00F376B7">
              <w:t xml:space="preserve">потребителската стока </w:t>
            </w:r>
            <w:r>
              <w:t>на населението, когато е целесъобразно, при спазване на специфични условия за официално разрешение.</w:t>
            </w:r>
          </w:p>
        </w:tc>
        <w:tc>
          <w:tcPr>
            <w:tcW w:w="1559" w:type="dxa"/>
          </w:tcPr>
          <w:p w14:paraId="3324CA43" w14:textId="7BB875E5" w:rsidR="00A1709A" w:rsidRDefault="00A1709A" w:rsidP="00A1709A">
            <w:pPr>
              <w:jc w:val="center"/>
            </w:pPr>
            <w:r>
              <w:t>NAP</w:t>
            </w:r>
          </w:p>
        </w:tc>
        <w:tc>
          <w:tcPr>
            <w:tcW w:w="5987" w:type="dxa"/>
          </w:tcPr>
          <w:p w14:paraId="2570321A" w14:textId="1BB89EC6" w:rsidR="00A1709A" w:rsidRPr="006B266B" w:rsidRDefault="00A1709A" w:rsidP="00A1709A">
            <w:pPr>
              <w:rPr>
                <w:rFonts w:eastAsiaTheme="minorHAnsi" w:cstheme="minorBidi"/>
              </w:rPr>
            </w:pPr>
            <w:r>
              <w:t>Изискването не е приложимо към технологията.</w:t>
            </w:r>
          </w:p>
        </w:tc>
      </w:tr>
      <w:tr w:rsidR="00A1709A" w14:paraId="50FC1958" w14:textId="77777777" w:rsidTr="00AB2CE3">
        <w:tc>
          <w:tcPr>
            <w:tcW w:w="797" w:type="dxa"/>
          </w:tcPr>
          <w:p w14:paraId="6F66C24A" w14:textId="6AB51DCE" w:rsidR="00A1709A" w:rsidRDefault="00A1709A" w:rsidP="00A1709A">
            <w:r>
              <w:t>3.140.</w:t>
            </w:r>
          </w:p>
        </w:tc>
        <w:tc>
          <w:tcPr>
            <w:tcW w:w="5152" w:type="dxa"/>
          </w:tcPr>
          <w:p w14:paraId="54389428" w14:textId="68FA9D76" w:rsidR="00A1709A" w:rsidRDefault="00A1709A">
            <w:r>
              <w:t xml:space="preserve">Доставчиците на потребителски </w:t>
            </w:r>
            <w:r w:rsidR="00F376B7">
              <w:t>стоки</w:t>
            </w:r>
            <w:r>
              <w:t xml:space="preserve">: </w:t>
            </w:r>
            <w:r>
              <w:br/>
              <w:t xml:space="preserve">(а) спазват условията, посочени в официалното разрешение за предоставяне на потребителски </w:t>
            </w:r>
            <w:r w:rsidR="00F376B7">
              <w:t xml:space="preserve">стоки </w:t>
            </w:r>
            <w:r>
              <w:t xml:space="preserve">на населението; </w:t>
            </w:r>
            <w:r>
              <w:br/>
              <w:t xml:space="preserve">б) гарантират, че потребителските </w:t>
            </w:r>
            <w:r w:rsidR="00F376B7">
              <w:t xml:space="preserve">стоки </w:t>
            </w:r>
            <w:r>
              <w:t xml:space="preserve">отговарят на изискванията на настоящите стандарти; </w:t>
            </w:r>
            <w:r>
              <w:br/>
              <w:t xml:space="preserve">в) планират подходящи мерки за обслужване, поддръжка, рециклиране или погребване на потребителските </w:t>
            </w:r>
            <w:r w:rsidR="00F376B7">
              <w:t>стоки</w:t>
            </w:r>
            <w:r>
              <w:t>.</w:t>
            </w:r>
          </w:p>
        </w:tc>
        <w:tc>
          <w:tcPr>
            <w:tcW w:w="1559" w:type="dxa"/>
          </w:tcPr>
          <w:p w14:paraId="1998A55D" w14:textId="2355BEFA" w:rsidR="00A1709A" w:rsidRDefault="00A1709A" w:rsidP="00A1709A">
            <w:pPr>
              <w:jc w:val="center"/>
            </w:pPr>
            <w:r>
              <w:t>NAP</w:t>
            </w:r>
          </w:p>
        </w:tc>
        <w:tc>
          <w:tcPr>
            <w:tcW w:w="5987" w:type="dxa"/>
          </w:tcPr>
          <w:p w14:paraId="100CAAAB" w14:textId="2B8C5191" w:rsidR="00A1709A" w:rsidRDefault="00A1709A" w:rsidP="00A1709A">
            <w:r>
              <w:t>Изискването не е приложимо към технологията.</w:t>
            </w:r>
          </w:p>
        </w:tc>
      </w:tr>
      <w:tr w:rsidR="00A1709A" w:rsidRPr="00A1709A" w14:paraId="0FD5CB04" w14:textId="77777777" w:rsidTr="00AB2CE3">
        <w:tc>
          <w:tcPr>
            <w:tcW w:w="797" w:type="dxa"/>
          </w:tcPr>
          <w:p w14:paraId="726519C9" w14:textId="3FE2A46D" w:rsidR="00A1709A" w:rsidRDefault="00A1709A" w:rsidP="00A1709A">
            <w:r>
              <w:t>3.141.</w:t>
            </w:r>
          </w:p>
        </w:tc>
        <w:tc>
          <w:tcPr>
            <w:tcW w:w="5152" w:type="dxa"/>
          </w:tcPr>
          <w:p w14:paraId="2B9B258A" w14:textId="0F2321EB" w:rsidR="00A1709A" w:rsidRPr="00596CA8" w:rsidRDefault="00A1709A">
            <w:r>
              <w:t xml:space="preserve">Проектирането и производството на потребителски </w:t>
            </w:r>
            <w:r w:rsidR="00F376B7">
              <w:t xml:space="preserve">стоки </w:t>
            </w:r>
            <w:r>
              <w:t xml:space="preserve">по отношение на характеристиките, които биха могли да повлияят на облъчването по време на нормално боравене, транспортиране и </w:t>
            </w:r>
            <w:r>
              <w:lastRenderedPageBreak/>
              <w:t xml:space="preserve">използване, както и в случай на неправилно боравене, </w:t>
            </w:r>
            <w:r w:rsidR="0058791C">
              <w:t>злоупотреба</w:t>
            </w:r>
            <w:r>
              <w:t xml:space="preserve">, авария или погребване, са предмет на оптимизацията на защитата и безопасността. В тази връзка проектантите, производителите и другите доставчици на потребителски </w:t>
            </w:r>
            <w:r w:rsidR="0058791C">
              <w:t xml:space="preserve">стоки </w:t>
            </w:r>
            <w:r>
              <w:t xml:space="preserve">трябва да отчитат: </w:t>
            </w:r>
            <w:r>
              <w:br/>
              <w:t xml:space="preserve">(а) различните радионуклиди, които биха могли да бъдат използвани в потребителските </w:t>
            </w:r>
            <w:r w:rsidR="0058791C">
              <w:t>стоки</w:t>
            </w:r>
            <w:r>
              <w:t>, и техните вид радиаци</w:t>
            </w:r>
            <w:r w:rsidR="0058791C">
              <w:t>я</w:t>
            </w:r>
            <w:r>
              <w:t xml:space="preserve">, енергии, активности и периоди на полуразпад; </w:t>
            </w:r>
            <w:r>
              <w:br/>
              <w:t xml:space="preserve">б) химичните и физичните форми на радионуклидите, които биха могли да се използват в потребителски </w:t>
            </w:r>
            <w:r w:rsidR="0058791C">
              <w:t>стоки</w:t>
            </w:r>
            <w:r>
              <w:t>, и тяхното значение за защитата и безопасността при нормални и условия</w:t>
            </w:r>
            <w:r w:rsidR="0058791C">
              <w:t xml:space="preserve"> различни от нормалните</w:t>
            </w:r>
            <w:r>
              <w:t xml:space="preserve">; </w:t>
            </w:r>
            <w:r>
              <w:br/>
              <w:t>(в) херметизирането и екранирането на радиоактивните вещества в потребителските продукти и достъпа до тези радиоактивни вещества при нормални и условия</w:t>
            </w:r>
            <w:r w:rsidR="0058791C">
              <w:t xml:space="preserve"> различни от нормалните</w:t>
            </w:r>
            <w:r>
              <w:t xml:space="preserve">; </w:t>
            </w:r>
            <w:r>
              <w:br/>
              <w:t xml:space="preserve">г) необходимостта от обслужване или ремонт на потребителските </w:t>
            </w:r>
            <w:r w:rsidR="0058791C">
              <w:t xml:space="preserve">стоки </w:t>
            </w:r>
            <w:r>
              <w:t xml:space="preserve">и начините, по които това може да бъде направено; </w:t>
            </w:r>
            <w:r>
              <w:br/>
              <w:t xml:space="preserve">д) съответния опит с подобни потребителски </w:t>
            </w:r>
            <w:r w:rsidR="0058791C">
              <w:t>стоки</w:t>
            </w:r>
            <w:r>
              <w:t>.</w:t>
            </w:r>
          </w:p>
        </w:tc>
        <w:tc>
          <w:tcPr>
            <w:tcW w:w="1559" w:type="dxa"/>
          </w:tcPr>
          <w:p w14:paraId="79FBD9CC" w14:textId="733AC43E" w:rsidR="00A1709A" w:rsidRDefault="00A1709A" w:rsidP="00A1709A">
            <w:pPr>
              <w:jc w:val="center"/>
            </w:pPr>
            <w:r>
              <w:lastRenderedPageBreak/>
              <w:t>NAP</w:t>
            </w:r>
          </w:p>
        </w:tc>
        <w:tc>
          <w:tcPr>
            <w:tcW w:w="5987" w:type="dxa"/>
          </w:tcPr>
          <w:p w14:paraId="4DDF6FEE" w14:textId="597FD275" w:rsidR="00A1709A" w:rsidRPr="00A1709A" w:rsidRDefault="00A1709A" w:rsidP="00A1709A">
            <w:r>
              <w:t>Изискването не е приложимо към технологията.</w:t>
            </w:r>
          </w:p>
        </w:tc>
      </w:tr>
      <w:tr w:rsidR="00A1709A" w14:paraId="1243F6A3" w14:textId="77777777" w:rsidTr="00AB2CE3">
        <w:tc>
          <w:tcPr>
            <w:tcW w:w="797" w:type="dxa"/>
          </w:tcPr>
          <w:p w14:paraId="17DA0BDB" w14:textId="6FC3CFF4" w:rsidR="00A1709A" w:rsidRDefault="00A1709A" w:rsidP="00A1709A">
            <w:r>
              <w:t>3.142.</w:t>
            </w:r>
          </w:p>
        </w:tc>
        <w:tc>
          <w:tcPr>
            <w:tcW w:w="5152" w:type="dxa"/>
          </w:tcPr>
          <w:p w14:paraId="44BEC9C5" w14:textId="0E41171D" w:rsidR="000B2863" w:rsidRDefault="00A1709A" w:rsidP="000B2863">
            <w:pPr>
              <w:spacing w:after="0"/>
            </w:pPr>
            <w:r>
              <w:t xml:space="preserve">Доставчиците на потребителски </w:t>
            </w:r>
            <w:r w:rsidR="007C5A87">
              <w:t xml:space="preserve">стоки </w:t>
            </w:r>
            <w:r>
              <w:t xml:space="preserve">осигуряват: </w:t>
            </w:r>
            <w:r>
              <w:br/>
              <w:t>(а) когато е практически възможно, наличието за вс</w:t>
            </w:r>
            <w:r w:rsidR="007C5A87">
              <w:t>я</w:t>
            </w:r>
            <w:r>
              <w:t>к</w:t>
            </w:r>
            <w:r w:rsidR="007C5A87">
              <w:t>а</w:t>
            </w:r>
            <w:r>
              <w:t xml:space="preserve"> </w:t>
            </w:r>
            <w:r w:rsidR="007C5A87">
              <w:t xml:space="preserve">потребителска стока </w:t>
            </w:r>
            <w:r>
              <w:t>на надлежно укрепен върху видимата повърхност четлив етикет, който:</w:t>
            </w:r>
          </w:p>
          <w:p w14:paraId="6F973511" w14:textId="6A167E5D" w:rsidR="000B2863" w:rsidRDefault="00A1709A" w:rsidP="000B2863">
            <w:pPr>
              <w:spacing w:after="0"/>
              <w:ind w:left="616"/>
            </w:pPr>
            <w:r>
              <w:t xml:space="preserve">(i) посочва, че </w:t>
            </w:r>
            <w:r w:rsidR="00BE1BBE">
              <w:t xml:space="preserve">потребителската стока </w:t>
            </w:r>
            <w:r>
              <w:t xml:space="preserve">съдържа радиоактивни вещества, като при това се идентифицират радионуклидите и </w:t>
            </w:r>
            <w:r>
              <w:lastRenderedPageBreak/>
              <w:t xml:space="preserve">техните активности; </w:t>
            </w:r>
            <w:r>
              <w:br/>
              <w:t xml:space="preserve">(ii) посочва, че предоставянето на </w:t>
            </w:r>
            <w:r w:rsidR="00BE1BBE">
              <w:t xml:space="preserve">потребителската стока </w:t>
            </w:r>
            <w:r>
              <w:t xml:space="preserve">на населението е официално разрешено от регулаторния орган; </w:t>
            </w:r>
            <w:r>
              <w:br/>
              <w:t>(iii) предоставя информация за необходимите или препоръчителните варианти за рециклиране или погребване;</w:t>
            </w:r>
          </w:p>
          <w:p w14:paraId="23059B44" w14:textId="7399D542" w:rsidR="00A1709A" w:rsidRDefault="00A1709A" w:rsidP="00A1709A">
            <w:r>
              <w:t>(б) че информацията, посочена в буква а) по-горе, е отпечатана четливо и върху опаковката на дребно на потребителския продукт.</w:t>
            </w:r>
          </w:p>
        </w:tc>
        <w:tc>
          <w:tcPr>
            <w:tcW w:w="1559" w:type="dxa"/>
          </w:tcPr>
          <w:p w14:paraId="292236DA" w14:textId="58A74E20" w:rsidR="00A1709A" w:rsidRDefault="00A1709A" w:rsidP="00A1709A">
            <w:pPr>
              <w:jc w:val="center"/>
            </w:pPr>
            <w:r>
              <w:lastRenderedPageBreak/>
              <w:t>NAP</w:t>
            </w:r>
          </w:p>
        </w:tc>
        <w:tc>
          <w:tcPr>
            <w:tcW w:w="5987" w:type="dxa"/>
          </w:tcPr>
          <w:p w14:paraId="209F170C" w14:textId="256CF6D2" w:rsidR="00A1709A" w:rsidRDefault="00A1709A" w:rsidP="00A1709A">
            <w:r>
              <w:t>Изискването не е приложимо към технологията.</w:t>
            </w:r>
          </w:p>
        </w:tc>
      </w:tr>
      <w:tr w:rsidR="00A1709A" w14:paraId="70B9A306" w14:textId="77777777" w:rsidTr="00AB2CE3">
        <w:tc>
          <w:tcPr>
            <w:tcW w:w="797" w:type="dxa"/>
          </w:tcPr>
          <w:p w14:paraId="58487988" w14:textId="1BB2D67C" w:rsidR="00A1709A" w:rsidRDefault="00A1709A" w:rsidP="00A1709A">
            <w:r>
              <w:t>3.143.</w:t>
            </w:r>
          </w:p>
        </w:tc>
        <w:tc>
          <w:tcPr>
            <w:tcW w:w="5152" w:type="dxa"/>
          </w:tcPr>
          <w:p w14:paraId="6F6B4752" w14:textId="29488517" w:rsidR="00A1709A" w:rsidRDefault="00A1709A">
            <w:r>
              <w:t xml:space="preserve">Доставчиците на потребителски </w:t>
            </w:r>
            <w:r w:rsidR="00BE1BBE">
              <w:t xml:space="preserve">стоки </w:t>
            </w:r>
            <w:r>
              <w:t xml:space="preserve">предоставят ясна и подходяща информация и инструкции за </w:t>
            </w:r>
            <w:r w:rsidR="00BE1BBE">
              <w:t xml:space="preserve">всяка </w:t>
            </w:r>
            <w:r>
              <w:t>потребителск</w:t>
            </w:r>
            <w:r w:rsidR="00BE1BBE">
              <w:t>а</w:t>
            </w:r>
            <w:r>
              <w:t xml:space="preserve"> </w:t>
            </w:r>
            <w:r w:rsidR="00BE1BBE">
              <w:t xml:space="preserve">стока </w:t>
            </w:r>
            <w:r>
              <w:t>относно:</w:t>
            </w:r>
            <w:r>
              <w:br/>
              <w:t>(а) правилния монтаж, използване и поддръжка на потребителск</w:t>
            </w:r>
            <w:r w:rsidR="00BE1BBE">
              <w:t>ата</w:t>
            </w:r>
            <w:r>
              <w:t xml:space="preserve"> </w:t>
            </w:r>
            <w:r w:rsidR="00BE1BBE">
              <w:t>стока</w:t>
            </w:r>
            <w:r>
              <w:t xml:space="preserve">; </w:t>
            </w:r>
            <w:r>
              <w:br/>
              <w:t xml:space="preserve">(б) сервизното обслужване и ремонт; </w:t>
            </w:r>
            <w:r>
              <w:br/>
              <w:t xml:space="preserve">(в) съдържание на радионуклиди и техните активности към определена дата; </w:t>
            </w:r>
            <w:r>
              <w:br/>
              <w:t xml:space="preserve">(г) мощностите на дозата при нормална експлоатация и по време на сервизно обслужване и ремонт; </w:t>
            </w:r>
            <w:r>
              <w:br/>
              <w:t>(д) необходимите или препоръчителните варианти за рециклиране или погребване.</w:t>
            </w:r>
          </w:p>
        </w:tc>
        <w:tc>
          <w:tcPr>
            <w:tcW w:w="1559" w:type="dxa"/>
          </w:tcPr>
          <w:p w14:paraId="019C0ABB" w14:textId="2509F1FA" w:rsidR="00A1709A" w:rsidRDefault="00A1709A" w:rsidP="00A1709A">
            <w:pPr>
              <w:jc w:val="center"/>
            </w:pPr>
            <w:r>
              <w:t>NAP</w:t>
            </w:r>
          </w:p>
        </w:tc>
        <w:tc>
          <w:tcPr>
            <w:tcW w:w="5987" w:type="dxa"/>
          </w:tcPr>
          <w:p w14:paraId="5A5457D0" w14:textId="0994BD4B" w:rsidR="00A1709A" w:rsidRDefault="00A1709A" w:rsidP="00A1709A">
            <w:r>
              <w:t>Изискването не е приложимо към технологията.</w:t>
            </w:r>
          </w:p>
        </w:tc>
      </w:tr>
      <w:tr w:rsidR="00A1709A" w14:paraId="7FDDFC94" w14:textId="77777777" w:rsidTr="00AB2CE3">
        <w:tc>
          <w:tcPr>
            <w:tcW w:w="797" w:type="dxa"/>
          </w:tcPr>
          <w:p w14:paraId="01FF56A6" w14:textId="4199ECA0" w:rsidR="00A1709A" w:rsidRDefault="00A1709A" w:rsidP="00A1709A">
            <w:r>
              <w:t>3.144.</w:t>
            </w:r>
          </w:p>
        </w:tc>
        <w:tc>
          <w:tcPr>
            <w:tcW w:w="5152" w:type="dxa"/>
          </w:tcPr>
          <w:p w14:paraId="3BABCBC9" w14:textId="0897ADCA" w:rsidR="008C0E6E" w:rsidRDefault="00A1709A">
            <w:pPr>
              <w:tabs>
                <w:tab w:val="clear" w:pos="720"/>
                <w:tab w:val="clear" w:pos="1296"/>
                <w:tab w:val="clear" w:pos="1872"/>
                <w:tab w:val="clear" w:pos="2448"/>
              </w:tabs>
              <w:autoSpaceDE w:val="0"/>
              <w:autoSpaceDN w:val="0"/>
              <w:adjustRightInd w:val="0"/>
              <w:spacing w:line="240" w:lineRule="auto"/>
              <w:rPr>
                <w:rFonts w:ascii="TimesNewRomanPSMT" w:hAnsi="TimesNewRomanPSMT" w:cs="TimesNewRomanPSMT"/>
                <w:kern w:val="0"/>
                <w:sz w:val="21"/>
                <w:szCs w:val="21"/>
              </w:rPr>
            </w:pPr>
            <w:r>
              <w:t xml:space="preserve">Доставчиците на потребителски </w:t>
            </w:r>
            <w:r w:rsidR="00BE1BBE">
              <w:t>стоки</w:t>
            </w:r>
            <w:r>
              <w:t xml:space="preserve"> предоставят на търговците на дребно на потребителските </w:t>
            </w:r>
            <w:r w:rsidR="00BE1BBE">
              <w:t xml:space="preserve">стоки </w:t>
            </w:r>
            <w:r>
              <w:t xml:space="preserve">подходяща информация за безопасността и </w:t>
            </w:r>
            <w:r>
              <w:lastRenderedPageBreak/>
              <w:t>инструкции за тяхното транспортиране и съхранение</w:t>
            </w:r>
            <w:r>
              <w:rPr>
                <w:rFonts w:ascii="TimesNewRomanPSMT" w:hAnsi="TimesNewRomanPSMT"/>
                <w:sz w:val="21"/>
              </w:rPr>
              <w:t>.</w:t>
            </w:r>
          </w:p>
        </w:tc>
        <w:tc>
          <w:tcPr>
            <w:tcW w:w="1559" w:type="dxa"/>
          </w:tcPr>
          <w:p w14:paraId="48B5C1AD" w14:textId="74425EE0" w:rsidR="00A1709A" w:rsidRDefault="00A1709A" w:rsidP="00A1709A">
            <w:pPr>
              <w:jc w:val="center"/>
            </w:pPr>
            <w:r>
              <w:lastRenderedPageBreak/>
              <w:t>NAP</w:t>
            </w:r>
          </w:p>
        </w:tc>
        <w:tc>
          <w:tcPr>
            <w:tcW w:w="5987" w:type="dxa"/>
          </w:tcPr>
          <w:p w14:paraId="7FD3EAA7" w14:textId="313EBB06" w:rsidR="00A1709A" w:rsidRDefault="00A1709A" w:rsidP="00A1709A">
            <w:r>
              <w:t>Изискването не е приложимо към технологията.</w:t>
            </w:r>
          </w:p>
        </w:tc>
      </w:tr>
    </w:tbl>
    <w:p w14:paraId="6E7D91E9" w14:textId="32C37773" w:rsidR="00043C6B" w:rsidRPr="00AF4047" w:rsidRDefault="00C701CD" w:rsidP="00894DF1">
      <w:pPr>
        <w:spacing w:before="240" w:after="0"/>
        <w:rPr>
          <w:b/>
          <w:bCs/>
          <w:caps/>
        </w:rPr>
      </w:pPr>
      <w:r>
        <w:tab/>
      </w:r>
      <w:r>
        <w:rPr>
          <w:b/>
          <w:caps/>
        </w:rPr>
        <w:t>Облъчване на населението</w:t>
      </w:r>
    </w:p>
    <w:p w14:paraId="0960D256" w14:textId="124F2F7B" w:rsidR="00683002" w:rsidRPr="00043C6B" w:rsidRDefault="00043C6B" w:rsidP="00043C6B">
      <w:pPr>
        <w:rPr>
          <w:b/>
          <w:bCs/>
        </w:rPr>
      </w:pPr>
      <w:r>
        <w:tab/>
      </w:r>
      <w:r>
        <w:rPr>
          <w:b/>
          <w:sz w:val="24"/>
        </w:rPr>
        <w:t>Обхват</w:t>
      </w:r>
    </w:p>
    <w:tbl>
      <w:tblPr>
        <w:tblStyle w:val="TableGrid"/>
        <w:tblW w:w="13495" w:type="dxa"/>
        <w:tblLayout w:type="fixed"/>
        <w:tblLook w:val="04A0" w:firstRow="1" w:lastRow="0" w:firstColumn="1" w:lastColumn="0" w:noHBand="0" w:noVBand="1"/>
      </w:tblPr>
      <w:tblGrid>
        <w:gridCol w:w="797"/>
        <w:gridCol w:w="5152"/>
        <w:gridCol w:w="1559"/>
        <w:gridCol w:w="5987"/>
      </w:tblGrid>
      <w:tr w:rsidR="00683002" w14:paraId="42C0C56F" w14:textId="77777777" w:rsidTr="00AB2CE3">
        <w:trPr>
          <w:tblHeader/>
        </w:trPr>
        <w:tc>
          <w:tcPr>
            <w:tcW w:w="797" w:type="dxa"/>
          </w:tcPr>
          <w:p w14:paraId="6271ED01" w14:textId="77777777" w:rsidR="00683002" w:rsidRDefault="00683002" w:rsidP="00B723E1"/>
        </w:tc>
        <w:tc>
          <w:tcPr>
            <w:tcW w:w="5152" w:type="dxa"/>
          </w:tcPr>
          <w:p w14:paraId="479E2F4E" w14:textId="77777777" w:rsidR="00683002" w:rsidRDefault="00683002" w:rsidP="00B723E1">
            <w:r>
              <w:rPr>
                <w:b/>
              </w:rPr>
              <w:t>Описание</w:t>
            </w:r>
          </w:p>
        </w:tc>
        <w:tc>
          <w:tcPr>
            <w:tcW w:w="1559" w:type="dxa"/>
          </w:tcPr>
          <w:p w14:paraId="1A89AB6A" w14:textId="77777777" w:rsidR="00683002" w:rsidRDefault="00683002" w:rsidP="00B723E1">
            <w:r>
              <w:rPr>
                <w:b/>
              </w:rPr>
              <w:t>Съответствие</w:t>
            </w:r>
          </w:p>
        </w:tc>
        <w:tc>
          <w:tcPr>
            <w:tcW w:w="5987" w:type="dxa"/>
          </w:tcPr>
          <w:p w14:paraId="2E81C073" w14:textId="77777777" w:rsidR="00683002" w:rsidRDefault="00683002" w:rsidP="00B723E1">
            <w:r>
              <w:rPr>
                <w:b/>
              </w:rPr>
              <w:t>Обосновка</w:t>
            </w:r>
          </w:p>
        </w:tc>
      </w:tr>
      <w:tr w:rsidR="00683002" w14:paraId="6E23B660" w14:textId="77777777" w:rsidTr="00AB2CE3">
        <w:tc>
          <w:tcPr>
            <w:tcW w:w="797" w:type="dxa"/>
          </w:tcPr>
          <w:p w14:paraId="7862FC00" w14:textId="58135E3B" w:rsidR="00683002" w:rsidRDefault="00596CA8" w:rsidP="00B723E1">
            <w:r>
              <w:t>3.145.</w:t>
            </w:r>
          </w:p>
        </w:tc>
        <w:tc>
          <w:tcPr>
            <w:tcW w:w="5152" w:type="dxa"/>
          </w:tcPr>
          <w:p w14:paraId="086A938D" w14:textId="448F8DF7" w:rsidR="00683002" w:rsidRPr="00432259" w:rsidRDefault="00596CA8" w:rsidP="00596CA8">
            <w:r>
              <w:t>Изискванията по отношение на медицинското облъчване в ситуации на планирано облъчване (т. 3.146-3.185) се прилагат за всички медицински облъчвания</w:t>
            </w:r>
            <w:r>
              <w:rPr>
                <w:vertAlign w:val="superscript"/>
              </w:rPr>
              <w:t>39</w:t>
            </w:r>
            <w:r>
              <w:t>, включително преднамерени, непреднамерени и случайни облъчвания.</w:t>
            </w:r>
          </w:p>
        </w:tc>
        <w:tc>
          <w:tcPr>
            <w:tcW w:w="1559" w:type="dxa"/>
          </w:tcPr>
          <w:p w14:paraId="7BAB2BF6" w14:textId="219DFB26" w:rsidR="00683002" w:rsidRDefault="0070300C" w:rsidP="00D27590">
            <w:pPr>
              <w:jc w:val="center"/>
            </w:pPr>
            <w:r>
              <w:t>NR</w:t>
            </w:r>
          </w:p>
        </w:tc>
        <w:tc>
          <w:tcPr>
            <w:tcW w:w="5987" w:type="dxa"/>
          </w:tcPr>
          <w:p w14:paraId="70C26EDB" w14:textId="51B9ABFE" w:rsidR="00683002" w:rsidRDefault="006B266B" w:rsidP="00B723E1">
            <w:r>
              <w:t>Това е пояснение, а не изискване.</w:t>
            </w:r>
          </w:p>
        </w:tc>
      </w:tr>
      <w:tr w:rsidR="00683002" w14:paraId="404007B3" w14:textId="77777777" w:rsidTr="00AB2CE3">
        <w:tc>
          <w:tcPr>
            <w:tcW w:w="797" w:type="dxa"/>
          </w:tcPr>
          <w:p w14:paraId="6B187397" w14:textId="286B5E19" w:rsidR="00683002" w:rsidRDefault="00596CA8" w:rsidP="00B723E1">
            <w:r>
              <w:t>3.146.</w:t>
            </w:r>
          </w:p>
        </w:tc>
        <w:tc>
          <w:tcPr>
            <w:tcW w:w="5152" w:type="dxa"/>
          </w:tcPr>
          <w:p w14:paraId="2417454B" w14:textId="3DF2E0D8" w:rsidR="0021035B" w:rsidRPr="00432259" w:rsidRDefault="00BE1BBE" w:rsidP="00596CA8">
            <w:r>
              <w:t xml:space="preserve">Граници на </w:t>
            </w:r>
            <w:r w:rsidR="00596CA8">
              <w:t>дози не се прилагат за медицинско облъчване.</w:t>
            </w:r>
          </w:p>
        </w:tc>
        <w:tc>
          <w:tcPr>
            <w:tcW w:w="1559" w:type="dxa"/>
          </w:tcPr>
          <w:p w14:paraId="2BCA1534" w14:textId="6D43E09F" w:rsidR="00683002" w:rsidRDefault="0070300C" w:rsidP="00D27590">
            <w:pPr>
              <w:jc w:val="center"/>
            </w:pPr>
            <w:r>
              <w:t>NR</w:t>
            </w:r>
          </w:p>
        </w:tc>
        <w:tc>
          <w:tcPr>
            <w:tcW w:w="5987" w:type="dxa"/>
          </w:tcPr>
          <w:p w14:paraId="029C4642" w14:textId="0F7E6351" w:rsidR="00683002" w:rsidRDefault="0070300C" w:rsidP="00B723E1">
            <w:r>
              <w:t>Това е пояснение, а не изискване.</w:t>
            </w:r>
          </w:p>
        </w:tc>
      </w:tr>
    </w:tbl>
    <w:p w14:paraId="69FEC8A0" w14:textId="669A682C" w:rsidR="00683002" w:rsidRPr="00596CA8" w:rsidRDefault="00596CA8" w:rsidP="00190D0E">
      <w:pPr>
        <w:pStyle w:val="Heading3"/>
        <w:spacing w:before="240"/>
        <w:rPr>
          <w:caps/>
        </w:rPr>
      </w:pPr>
      <w:bookmarkStart w:id="67" w:name="_Toc155347811"/>
      <w:r>
        <w:t>Изискване 34: Отговорности на правителството по отношение на медицинското облъчване</w:t>
      </w:r>
      <w:bookmarkEnd w:id="67"/>
    </w:p>
    <w:tbl>
      <w:tblPr>
        <w:tblStyle w:val="TableGrid"/>
        <w:tblW w:w="13495" w:type="dxa"/>
        <w:tblLayout w:type="fixed"/>
        <w:tblLook w:val="04A0" w:firstRow="1" w:lastRow="0" w:firstColumn="1" w:lastColumn="0" w:noHBand="0" w:noVBand="1"/>
      </w:tblPr>
      <w:tblGrid>
        <w:gridCol w:w="797"/>
        <w:gridCol w:w="5152"/>
        <w:gridCol w:w="1559"/>
        <w:gridCol w:w="5987"/>
      </w:tblGrid>
      <w:tr w:rsidR="00683002" w14:paraId="534E0587" w14:textId="77777777" w:rsidTr="00AB2CE3">
        <w:trPr>
          <w:tblHeader/>
        </w:trPr>
        <w:tc>
          <w:tcPr>
            <w:tcW w:w="797" w:type="dxa"/>
          </w:tcPr>
          <w:p w14:paraId="6E638182" w14:textId="77777777" w:rsidR="00683002" w:rsidRDefault="00683002" w:rsidP="00B723E1"/>
        </w:tc>
        <w:tc>
          <w:tcPr>
            <w:tcW w:w="5152" w:type="dxa"/>
          </w:tcPr>
          <w:p w14:paraId="7A6C3AD4" w14:textId="77777777" w:rsidR="00683002" w:rsidRDefault="00683002" w:rsidP="00B723E1">
            <w:r>
              <w:rPr>
                <w:b/>
              </w:rPr>
              <w:t>Описание</w:t>
            </w:r>
          </w:p>
        </w:tc>
        <w:tc>
          <w:tcPr>
            <w:tcW w:w="1559" w:type="dxa"/>
          </w:tcPr>
          <w:p w14:paraId="2519D8B8" w14:textId="77777777" w:rsidR="00683002" w:rsidRDefault="00683002" w:rsidP="00B723E1">
            <w:r>
              <w:rPr>
                <w:b/>
              </w:rPr>
              <w:t>Съответствие</w:t>
            </w:r>
          </w:p>
        </w:tc>
        <w:tc>
          <w:tcPr>
            <w:tcW w:w="5987" w:type="dxa"/>
          </w:tcPr>
          <w:p w14:paraId="6B9BCE80" w14:textId="77777777" w:rsidR="00683002" w:rsidRDefault="00683002" w:rsidP="00B723E1">
            <w:r>
              <w:rPr>
                <w:b/>
              </w:rPr>
              <w:t>Обосновка</w:t>
            </w:r>
          </w:p>
        </w:tc>
      </w:tr>
      <w:tr w:rsidR="00E4700F" w14:paraId="3495E223" w14:textId="77777777" w:rsidTr="00AB2CE3">
        <w:tc>
          <w:tcPr>
            <w:tcW w:w="797" w:type="dxa"/>
          </w:tcPr>
          <w:p w14:paraId="7336DDC9" w14:textId="686CC0D9" w:rsidR="00E4700F" w:rsidRDefault="00E4700F" w:rsidP="00E4700F"/>
        </w:tc>
        <w:tc>
          <w:tcPr>
            <w:tcW w:w="5152" w:type="dxa"/>
          </w:tcPr>
          <w:p w14:paraId="1AE76EBE" w14:textId="29A89CBB" w:rsidR="00E4700F" w:rsidRPr="002D095E" w:rsidRDefault="00E4700F">
            <w:pPr>
              <w:rPr>
                <w:b/>
                <w:bCs/>
              </w:rPr>
            </w:pPr>
            <w:r>
              <w:rPr>
                <w:b/>
              </w:rPr>
              <w:t xml:space="preserve">Правителството гарантира, че съответните страни имат официално разрешение да поемат своите роли и отговорности и че са установени диагностични референтни нива, </w:t>
            </w:r>
            <w:r w:rsidR="001866FB">
              <w:rPr>
                <w:b/>
                <w:lang w:val="en-US"/>
              </w:rPr>
              <w:t>дозови ограничения</w:t>
            </w:r>
            <w:r>
              <w:rPr>
                <w:b/>
              </w:rPr>
              <w:t>, както и критерии и ръководни принципи за изписване на пациенти.</w:t>
            </w:r>
          </w:p>
        </w:tc>
        <w:tc>
          <w:tcPr>
            <w:tcW w:w="1559" w:type="dxa"/>
          </w:tcPr>
          <w:p w14:paraId="3B903947" w14:textId="28715DA5" w:rsidR="00E4700F" w:rsidRDefault="00E4700F" w:rsidP="00E4700F">
            <w:pPr>
              <w:jc w:val="center"/>
            </w:pPr>
            <w:r>
              <w:t>NAP</w:t>
            </w:r>
          </w:p>
        </w:tc>
        <w:tc>
          <w:tcPr>
            <w:tcW w:w="5987" w:type="dxa"/>
          </w:tcPr>
          <w:p w14:paraId="26F232DC" w14:textId="20225CC8" w:rsidR="00E4700F" w:rsidRDefault="00E4700F" w:rsidP="00E4700F">
            <w:r>
              <w:t>Изискването не е приложимо към технологията.</w:t>
            </w:r>
          </w:p>
        </w:tc>
      </w:tr>
      <w:tr w:rsidR="00E4700F" w14:paraId="084C446C" w14:textId="77777777" w:rsidTr="00AB2CE3">
        <w:tc>
          <w:tcPr>
            <w:tcW w:w="797" w:type="dxa"/>
          </w:tcPr>
          <w:p w14:paraId="751125BD" w14:textId="6C3FBB16" w:rsidR="00E4700F" w:rsidRDefault="00E4700F" w:rsidP="00E4700F">
            <w:r>
              <w:lastRenderedPageBreak/>
              <w:t>3.147.</w:t>
            </w:r>
          </w:p>
        </w:tc>
        <w:tc>
          <w:tcPr>
            <w:tcW w:w="5152" w:type="dxa"/>
          </w:tcPr>
          <w:p w14:paraId="2DE1B960" w14:textId="40F55ACC" w:rsidR="00E4700F" w:rsidRDefault="00E4700F" w:rsidP="00E4700F">
            <w:r>
              <w:t>Правителството, в съответствие с т. 2.13-2.28, гарантира по отношение на медицинските облъчвания, че в резултат на консултации между здравния орган, съответните професионални организации и регулаторния орган, съответните страни, посочени в т. 2.40 и т. 2.41, имат официално разрешение да поемат своите роли и отговорности, и гарантира, че те са уведомени за своите задължения във връзка със защитата и безопасността на лицата, подложени на медицински облъчвания.</w:t>
            </w:r>
          </w:p>
        </w:tc>
        <w:tc>
          <w:tcPr>
            <w:tcW w:w="1559" w:type="dxa"/>
          </w:tcPr>
          <w:p w14:paraId="47915923" w14:textId="313EBA2A" w:rsidR="00E4700F" w:rsidRDefault="00E4700F" w:rsidP="00E4700F">
            <w:pPr>
              <w:jc w:val="center"/>
            </w:pPr>
            <w:r>
              <w:t>NAP</w:t>
            </w:r>
          </w:p>
        </w:tc>
        <w:tc>
          <w:tcPr>
            <w:tcW w:w="5987" w:type="dxa"/>
          </w:tcPr>
          <w:p w14:paraId="2E157593" w14:textId="4E7897ED" w:rsidR="00E4700F" w:rsidRDefault="00E4700F" w:rsidP="00E4700F">
            <w:r>
              <w:t>Изискването не е приложимо към технологията.</w:t>
            </w:r>
          </w:p>
        </w:tc>
      </w:tr>
      <w:tr w:rsidR="00E4700F" w14:paraId="07A6D5AF" w14:textId="77777777" w:rsidTr="00AB2CE3">
        <w:tc>
          <w:tcPr>
            <w:tcW w:w="797" w:type="dxa"/>
          </w:tcPr>
          <w:p w14:paraId="70E9A9AA" w14:textId="7F7DBDE5" w:rsidR="00E4700F" w:rsidRDefault="00E4700F" w:rsidP="00E4700F">
            <w:r>
              <w:t>3.148.</w:t>
            </w:r>
          </w:p>
        </w:tc>
        <w:tc>
          <w:tcPr>
            <w:tcW w:w="5152" w:type="dxa"/>
          </w:tcPr>
          <w:p w14:paraId="4F1ED512" w14:textId="7E78E289" w:rsidR="00E4700F" w:rsidRDefault="00E4700F" w:rsidP="008C0E6E">
            <w:r>
              <w:t>Правителството осигурява в рамките на отговорностите, определени в т. 2.15, че в резултат на консултации между здравния орган, съответните професионални организации и регулаторния орган е установен набор от диагностични референтни нива за медицинско облъчване, възникващо при медицинска образна диагностика, включително образно контролирани интервенционни процедури. При определянето на такива диагностични референтни нива се отчита необходимостта от адекватно качество на образа, за да могат да се изпълнят изискванията на т. 3.169. Такива диагностични референтни нива се основават, доколкото е възможно, на широкомащабни проучвания или на публикувани данни, съответстващи на местните условия.</w:t>
            </w:r>
          </w:p>
        </w:tc>
        <w:tc>
          <w:tcPr>
            <w:tcW w:w="1559" w:type="dxa"/>
          </w:tcPr>
          <w:p w14:paraId="6CE0E62F" w14:textId="4F651A12" w:rsidR="00E4700F" w:rsidRDefault="00E4700F" w:rsidP="00E4700F">
            <w:pPr>
              <w:jc w:val="center"/>
            </w:pPr>
            <w:r>
              <w:t>NAP</w:t>
            </w:r>
          </w:p>
        </w:tc>
        <w:tc>
          <w:tcPr>
            <w:tcW w:w="5987" w:type="dxa"/>
          </w:tcPr>
          <w:p w14:paraId="0AEB8054" w14:textId="74A5F96E" w:rsidR="00E4700F" w:rsidRDefault="00E4700F" w:rsidP="00E4700F">
            <w:r>
              <w:t>Изискването не е приложимо към технологията.</w:t>
            </w:r>
          </w:p>
        </w:tc>
      </w:tr>
      <w:tr w:rsidR="00E4700F" w14:paraId="5610428F" w14:textId="77777777" w:rsidTr="00AB2CE3">
        <w:tc>
          <w:tcPr>
            <w:tcW w:w="797" w:type="dxa"/>
          </w:tcPr>
          <w:p w14:paraId="266052C6" w14:textId="75242FA7" w:rsidR="00E4700F" w:rsidRDefault="00E4700F" w:rsidP="00E4700F">
            <w:r>
              <w:t>3.149.</w:t>
            </w:r>
          </w:p>
        </w:tc>
        <w:tc>
          <w:tcPr>
            <w:tcW w:w="5152" w:type="dxa"/>
          </w:tcPr>
          <w:p w14:paraId="5E8615FB" w14:textId="449178BE" w:rsidR="000B2863" w:rsidRDefault="00E4700F" w:rsidP="000B2863">
            <w:pPr>
              <w:spacing w:after="0"/>
            </w:pPr>
            <w:r>
              <w:t xml:space="preserve">Правителството гарантира, че в резултат на консултации между здравния орган, съответните </w:t>
            </w:r>
            <w:r>
              <w:lastRenderedPageBreak/>
              <w:t xml:space="preserve">професионални организации и регулаторния орган са установени: </w:t>
            </w:r>
            <w:r>
              <w:br/>
              <w:t xml:space="preserve">(а) </w:t>
            </w:r>
            <w:r w:rsidR="00B55978">
              <w:t>дозови ограничения</w:t>
            </w:r>
            <w:r>
              <w:t>, осигуряващи изпълнението на изискванията съответно на т. 3.173 и т. 3.174 за:</w:t>
            </w:r>
          </w:p>
          <w:p w14:paraId="76D57A76" w14:textId="77777777" w:rsidR="000B2863" w:rsidRDefault="00E4700F" w:rsidP="000B2863">
            <w:pPr>
              <w:spacing w:after="0"/>
              <w:ind w:left="616"/>
            </w:pPr>
            <w:r>
              <w:t>(i) облъчвания на лица, осигуряващи грижи и комфортни условия за пациенти</w:t>
            </w:r>
            <w:r>
              <w:rPr>
                <w:vertAlign w:val="superscript"/>
              </w:rPr>
              <w:t>40</w:t>
            </w:r>
            <w:r>
              <w:t xml:space="preserve">; </w:t>
            </w:r>
            <w:r>
              <w:br/>
              <w:t>(ii) облъчвания, дължащи се на диагностични изследвания на доброволци, участващи в програма за биомедицински изследвания;</w:t>
            </w:r>
          </w:p>
          <w:p w14:paraId="5854323F" w14:textId="210E91A0" w:rsidR="008C0E6E" w:rsidRDefault="00E4700F" w:rsidP="008C0E6E">
            <w:r>
              <w:t>(б) критерии и ръководни принципи за изписване на пациенти, които са преминали терапевтични радиологични процедури с използване на открити източници, или пациенти с имплантирани запечатани източници.</w:t>
            </w:r>
          </w:p>
        </w:tc>
        <w:tc>
          <w:tcPr>
            <w:tcW w:w="1559" w:type="dxa"/>
          </w:tcPr>
          <w:p w14:paraId="31187D32" w14:textId="43756AAA" w:rsidR="00E4700F" w:rsidRDefault="00E4700F" w:rsidP="00E4700F">
            <w:pPr>
              <w:jc w:val="center"/>
            </w:pPr>
            <w:r>
              <w:lastRenderedPageBreak/>
              <w:t>NAP</w:t>
            </w:r>
          </w:p>
        </w:tc>
        <w:tc>
          <w:tcPr>
            <w:tcW w:w="5987" w:type="dxa"/>
          </w:tcPr>
          <w:p w14:paraId="1387A6A2" w14:textId="0A89C138" w:rsidR="00E4700F" w:rsidRDefault="00E4700F" w:rsidP="00E4700F">
            <w:r>
              <w:t>Изискването не е приложимо към технологията.</w:t>
            </w:r>
          </w:p>
        </w:tc>
      </w:tr>
    </w:tbl>
    <w:p w14:paraId="49FC6D97" w14:textId="2991660B" w:rsidR="00683002" w:rsidRPr="00596CA8" w:rsidRDefault="00596CA8" w:rsidP="00190D0E">
      <w:pPr>
        <w:pStyle w:val="Heading3"/>
        <w:spacing w:before="240"/>
        <w:rPr>
          <w:caps/>
        </w:rPr>
      </w:pPr>
      <w:bookmarkStart w:id="68" w:name="_Toc155347812"/>
      <w:r>
        <w:t>Изискване 35: Отговорности на регулаторния орган по отношение на медицинското облъчване</w:t>
      </w:r>
      <w:bookmarkEnd w:id="68"/>
    </w:p>
    <w:tbl>
      <w:tblPr>
        <w:tblStyle w:val="TableGrid"/>
        <w:tblW w:w="13495" w:type="dxa"/>
        <w:tblLayout w:type="fixed"/>
        <w:tblLook w:val="04A0" w:firstRow="1" w:lastRow="0" w:firstColumn="1" w:lastColumn="0" w:noHBand="0" w:noVBand="1"/>
      </w:tblPr>
      <w:tblGrid>
        <w:gridCol w:w="797"/>
        <w:gridCol w:w="5152"/>
        <w:gridCol w:w="1559"/>
        <w:gridCol w:w="5987"/>
      </w:tblGrid>
      <w:tr w:rsidR="00683002" w14:paraId="48549290" w14:textId="77777777" w:rsidTr="00AB2CE3">
        <w:trPr>
          <w:tblHeader/>
        </w:trPr>
        <w:tc>
          <w:tcPr>
            <w:tcW w:w="797" w:type="dxa"/>
          </w:tcPr>
          <w:p w14:paraId="740516B0" w14:textId="77777777" w:rsidR="00683002" w:rsidRDefault="00683002" w:rsidP="00B723E1"/>
        </w:tc>
        <w:tc>
          <w:tcPr>
            <w:tcW w:w="5152" w:type="dxa"/>
          </w:tcPr>
          <w:p w14:paraId="0244602B" w14:textId="77777777" w:rsidR="00683002" w:rsidRDefault="00683002" w:rsidP="00B723E1">
            <w:r>
              <w:rPr>
                <w:b/>
              </w:rPr>
              <w:t>Описание</w:t>
            </w:r>
          </w:p>
        </w:tc>
        <w:tc>
          <w:tcPr>
            <w:tcW w:w="1559" w:type="dxa"/>
          </w:tcPr>
          <w:p w14:paraId="1429F969" w14:textId="77777777" w:rsidR="00683002" w:rsidRDefault="00683002" w:rsidP="00B723E1">
            <w:r>
              <w:rPr>
                <w:b/>
              </w:rPr>
              <w:t>Съответствие</w:t>
            </w:r>
          </w:p>
        </w:tc>
        <w:tc>
          <w:tcPr>
            <w:tcW w:w="5987" w:type="dxa"/>
          </w:tcPr>
          <w:p w14:paraId="2951F5EF" w14:textId="77777777" w:rsidR="00683002" w:rsidRDefault="00683002" w:rsidP="00B723E1">
            <w:r>
              <w:rPr>
                <w:b/>
              </w:rPr>
              <w:t>Обосновка</w:t>
            </w:r>
          </w:p>
        </w:tc>
      </w:tr>
      <w:tr w:rsidR="00294F48" w14:paraId="232DF25B" w14:textId="77777777" w:rsidTr="00AB2CE3">
        <w:tc>
          <w:tcPr>
            <w:tcW w:w="797" w:type="dxa"/>
          </w:tcPr>
          <w:p w14:paraId="25551883" w14:textId="77777777" w:rsidR="00294F48" w:rsidRDefault="00294F48" w:rsidP="00294F48"/>
        </w:tc>
        <w:tc>
          <w:tcPr>
            <w:tcW w:w="5152" w:type="dxa"/>
          </w:tcPr>
          <w:p w14:paraId="4C9A1DD9" w14:textId="1491A743" w:rsidR="00294F48" w:rsidRPr="002D095E" w:rsidRDefault="00294F48" w:rsidP="00294F48">
            <w:pPr>
              <w:rPr>
                <w:b/>
                <w:bCs/>
              </w:rPr>
            </w:pPr>
            <w:r>
              <w:rPr>
                <w:b/>
              </w:rPr>
              <w:t>Регулаторният орган изисква здравните специалисти, които отговарят за медицинското облъчване, да са специализирани в съответната област и да съответстват на изискванията за образование, обучение и компетентност по съответната специалност.</w:t>
            </w:r>
          </w:p>
        </w:tc>
        <w:tc>
          <w:tcPr>
            <w:tcW w:w="1559" w:type="dxa"/>
          </w:tcPr>
          <w:p w14:paraId="4F77F9E1" w14:textId="74395C6B" w:rsidR="00294F48" w:rsidRDefault="00294F48" w:rsidP="00294F48">
            <w:pPr>
              <w:jc w:val="center"/>
            </w:pPr>
            <w:r>
              <w:t>NAP</w:t>
            </w:r>
          </w:p>
        </w:tc>
        <w:tc>
          <w:tcPr>
            <w:tcW w:w="5987" w:type="dxa"/>
          </w:tcPr>
          <w:p w14:paraId="48BA03BB" w14:textId="579B5920" w:rsidR="00294F48" w:rsidRDefault="00294F48" w:rsidP="00294F48">
            <w:r>
              <w:t>Изискването не е приложимо към технологията.</w:t>
            </w:r>
          </w:p>
        </w:tc>
      </w:tr>
      <w:tr w:rsidR="00294F48" w14:paraId="012846B4" w14:textId="77777777" w:rsidTr="00AB2CE3">
        <w:tc>
          <w:tcPr>
            <w:tcW w:w="797" w:type="dxa"/>
          </w:tcPr>
          <w:p w14:paraId="34B7433C" w14:textId="3E310714" w:rsidR="00294F48" w:rsidRDefault="00294F48" w:rsidP="00294F48">
            <w:r>
              <w:t>3.150.</w:t>
            </w:r>
          </w:p>
        </w:tc>
        <w:tc>
          <w:tcPr>
            <w:tcW w:w="5152" w:type="dxa"/>
          </w:tcPr>
          <w:p w14:paraId="759B14C8" w14:textId="18B212F8" w:rsidR="00294F48" w:rsidRPr="00596CA8" w:rsidRDefault="00294F48">
            <w:r>
              <w:t xml:space="preserve">Регулаторният орган гарантира, че официалното разрешение за извършване на медицинско облъчване в дадено медицинско </w:t>
            </w:r>
            <w:r w:rsidR="00B55978">
              <w:t xml:space="preserve">радиологично </w:t>
            </w:r>
            <w:r>
              <w:t xml:space="preserve">съоръжение позволява на членовете на персонала </w:t>
            </w:r>
            <w:r>
              <w:lastRenderedPageBreak/>
              <w:t xml:space="preserve">(лекари-радиолози, медицински физици, медицински </w:t>
            </w:r>
            <w:r w:rsidR="00A33C3F">
              <w:t xml:space="preserve">радиологични </w:t>
            </w:r>
            <w:r>
              <w:t xml:space="preserve">технолози и </w:t>
            </w:r>
            <w:r w:rsidR="00A33C3F">
              <w:t xml:space="preserve">всички </w:t>
            </w:r>
            <w:r>
              <w:t>други медицински специалисти със специфични задължения във връзка с радиационната защита на пациентите) да поемат отговорностите, посочени в настоящите стандарти, само ако:</w:t>
            </w:r>
            <w:r>
              <w:br/>
              <w:t>(а) са специализирани</w:t>
            </w:r>
            <w:r>
              <w:rPr>
                <w:vertAlign w:val="superscript"/>
              </w:rPr>
              <w:t>41</w:t>
            </w:r>
            <w:r>
              <w:rPr>
                <w:sz w:val="14"/>
              </w:rPr>
              <w:t xml:space="preserve"> </w:t>
            </w:r>
            <w:r>
              <w:t>в съответната област</w:t>
            </w:r>
            <w:r>
              <w:rPr>
                <w:vertAlign w:val="superscript"/>
              </w:rPr>
              <w:t>42</w:t>
            </w:r>
            <w:r>
              <w:t xml:space="preserve">; </w:t>
            </w:r>
            <w:r>
              <w:br/>
              <w:t xml:space="preserve">(б) отговарят на съответните изисквания за образование, обучение и компетентност в областта на радиационната защита в съответствие с т. 2.32; </w:t>
            </w:r>
            <w:r>
              <w:br/>
              <w:t>(в) са посочени в списък, поддържан от регистрираното лице или лицензианта.</w:t>
            </w:r>
          </w:p>
        </w:tc>
        <w:tc>
          <w:tcPr>
            <w:tcW w:w="1559" w:type="dxa"/>
          </w:tcPr>
          <w:p w14:paraId="59794181" w14:textId="74FD31F4" w:rsidR="00294F48" w:rsidRDefault="00294F48" w:rsidP="00294F48">
            <w:pPr>
              <w:jc w:val="center"/>
            </w:pPr>
            <w:r>
              <w:lastRenderedPageBreak/>
              <w:t>NAP</w:t>
            </w:r>
          </w:p>
        </w:tc>
        <w:tc>
          <w:tcPr>
            <w:tcW w:w="5987" w:type="dxa"/>
          </w:tcPr>
          <w:p w14:paraId="1BD2CDA7" w14:textId="30725D78" w:rsidR="00294F48" w:rsidRDefault="00294F48" w:rsidP="00294F48">
            <w:r>
              <w:t>Изискването не е приложимо към технологията.</w:t>
            </w:r>
          </w:p>
        </w:tc>
      </w:tr>
    </w:tbl>
    <w:p w14:paraId="620428A0" w14:textId="4CBFCE47" w:rsidR="00683002" w:rsidRPr="001B07F2" w:rsidRDefault="001B07F2" w:rsidP="00190D0E">
      <w:pPr>
        <w:pStyle w:val="Heading3"/>
        <w:spacing w:before="240"/>
        <w:rPr>
          <w:caps/>
        </w:rPr>
      </w:pPr>
      <w:bookmarkStart w:id="69" w:name="_Toc155347813"/>
      <w:r>
        <w:t>Изискване 36: Отговорности на регистрираните лица и лицензиантите по отношение на медицинското облъчване</w:t>
      </w:r>
      <w:bookmarkEnd w:id="69"/>
    </w:p>
    <w:tbl>
      <w:tblPr>
        <w:tblStyle w:val="TableGrid"/>
        <w:tblW w:w="13495" w:type="dxa"/>
        <w:tblLayout w:type="fixed"/>
        <w:tblLook w:val="04A0" w:firstRow="1" w:lastRow="0" w:firstColumn="1" w:lastColumn="0" w:noHBand="0" w:noVBand="1"/>
      </w:tblPr>
      <w:tblGrid>
        <w:gridCol w:w="797"/>
        <w:gridCol w:w="5152"/>
        <w:gridCol w:w="1559"/>
        <w:gridCol w:w="5987"/>
      </w:tblGrid>
      <w:tr w:rsidR="00683002" w14:paraId="1A418501" w14:textId="77777777" w:rsidTr="00AB2CE3">
        <w:trPr>
          <w:tblHeader/>
        </w:trPr>
        <w:tc>
          <w:tcPr>
            <w:tcW w:w="797" w:type="dxa"/>
          </w:tcPr>
          <w:p w14:paraId="54975F39" w14:textId="77777777" w:rsidR="00683002" w:rsidRDefault="00683002" w:rsidP="00B723E1"/>
        </w:tc>
        <w:tc>
          <w:tcPr>
            <w:tcW w:w="5152" w:type="dxa"/>
          </w:tcPr>
          <w:p w14:paraId="4E2CEED0" w14:textId="77777777" w:rsidR="00683002" w:rsidRDefault="00683002" w:rsidP="00B723E1">
            <w:r>
              <w:rPr>
                <w:b/>
              </w:rPr>
              <w:t>Описание</w:t>
            </w:r>
          </w:p>
        </w:tc>
        <w:tc>
          <w:tcPr>
            <w:tcW w:w="1559" w:type="dxa"/>
          </w:tcPr>
          <w:p w14:paraId="2CD28AFD" w14:textId="77777777" w:rsidR="00683002" w:rsidRDefault="00683002" w:rsidP="00B723E1">
            <w:r>
              <w:rPr>
                <w:b/>
              </w:rPr>
              <w:t>Съответствие</w:t>
            </w:r>
          </w:p>
        </w:tc>
        <w:tc>
          <w:tcPr>
            <w:tcW w:w="5987" w:type="dxa"/>
          </w:tcPr>
          <w:p w14:paraId="242AD531" w14:textId="77777777" w:rsidR="00683002" w:rsidRDefault="00683002" w:rsidP="00B723E1">
            <w:r>
              <w:rPr>
                <w:b/>
              </w:rPr>
              <w:t>Обосновка</w:t>
            </w:r>
          </w:p>
        </w:tc>
      </w:tr>
      <w:tr w:rsidR="00294F48" w14:paraId="2A8595DD" w14:textId="77777777" w:rsidTr="00AB2CE3">
        <w:tc>
          <w:tcPr>
            <w:tcW w:w="797" w:type="dxa"/>
          </w:tcPr>
          <w:p w14:paraId="5E9846C9" w14:textId="732E7973" w:rsidR="00294F48" w:rsidRDefault="00294F48" w:rsidP="00294F48"/>
        </w:tc>
        <w:tc>
          <w:tcPr>
            <w:tcW w:w="5152" w:type="dxa"/>
          </w:tcPr>
          <w:p w14:paraId="12E07B8B" w14:textId="459CFE91" w:rsidR="00294F48" w:rsidRPr="002D095E" w:rsidRDefault="00294F48" w:rsidP="00294F48">
            <w:pPr>
              <w:rPr>
                <w:b/>
                <w:bCs/>
              </w:rPr>
            </w:pPr>
            <w:r>
              <w:rPr>
                <w:b/>
              </w:rPr>
              <w:t>Регистрираните лица и лицензиантите гарантират, че никое лице няма да бъде подложено на медицинско облъчване, ако не е имало съответно направление, ако не е била поета отговорност за осигуряване на защита и безопасност и ако лицето, подложено на облъчване, не е било информирано по подходящ начин за очакваните ползи и рискове.</w:t>
            </w:r>
          </w:p>
        </w:tc>
        <w:tc>
          <w:tcPr>
            <w:tcW w:w="1559" w:type="dxa"/>
          </w:tcPr>
          <w:p w14:paraId="48F033E6" w14:textId="7839D62D" w:rsidR="00294F48" w:rsidRDefault="00294F48" w:rsidP="00294F48">
            <w:pPr>
              <w:jc w:val="center"/>
            </w:pPr>
            <w:r>
              <w:t>NAP</w:t>
            </w:r>
          </w:p>
        </w:tc>
        <w:tc>
          <w:tcPr>
            <w:tcW w:w="5987" w:type="dxa"/>
          </w:tcPr>
          <w:p w14:paraId="4203E56E" w14:textId="5DDA7774" w:rsidR="00294F48" w:rsidRDefault="00294F48" w:rsidP="00294F48">
            <w:r>
              <w:t>Изискването не е приложимо към технологията.</w:t>
            </w:r>
          </w:p>
        </w:tc>
      </w:tr>
      <w:tr w:rsidR="00294F48" w14:paraId="4E9BB4DB" w14:textId="77777777" w:rsidTr="00AB2CE3">
        <w:tc>
          <w:tcPr>
            <w:tcW w:w="797" w:type="dxa"/>
          </w:tcPr>
          <w:p w14:paraId="61D2FE26" w14:textId="777C49DA" w:rsidR="00294F48" w:rsidRDefault="00294F48" w:rsidP="00294F48">
            <w:r>
              <w:t>3.151.</w:t>
            </w:r>
          </w:p>
        </w:tc>
        <w:tc>
          <w:tcPr>
            <w:tcW w:w="5152" w:type="dxa"/>
          </w:tcPr>
          <w:p w14:paraId="766CE0DA" w14:textId="7A014CD1" w:rsidR="00294F48" w:rsidRDefault="00294F48" w:rsidP="00294F48">
            <w:r>
              <w:t xml:space="preserve">Регистрираните лица и лицензиантите гарантират, че никой пациент, независимо дали е със симптоми или без симптоми, не се подлага на медицинско облъчване, освен ако: </w:t>
            </w:r>
            <w:r>
              <w:br/>
            </w:r>
            <w:r>
              <w:lastRenderedPageBreak/>
              <w:t xml:space="preserve">(а) става въпрос за радиологична процедура, която е поискана от насочващ лекар и е предоставена информация за клиничния контекст, или е част от одобрена програма за здравен скрининг; </w:t>
            </w:r>
            <w:r>
              <w:br/>
              <w:t xml:space="preserve">(б) медицинското облъчване е обосновано чрез консултация между лекаря-радиолог и насочващия лекар, според случая, или е част от одобрена програма за здравен скрининг; </w:t>
            </w:r>
            <w:r>
              <w:br/>
              <w:t xml:space="preserve">(в) лекар-радиолог е поел отговорност за защитата и безопасността при планирането и провеждането на медицинското облъчване, както е посочено в т. 3.154 (а); </w:t>
            </w:r>
            <w:r>
              <w:br/>
              <w:t>(г) пациентът или законният му упълномощен представител е бил информиран по подходящ начин за очакваните диагностични или терапевтични ползи от радиологичната процедура, както и за радиационните рискове.</w:t>
            </w:r>
          </w:p>
        </w:tc>
        <w:tc>
          <w:tcPr>
            <w:tcW w:w="1559" w:type="dxa"/>
          </w:tcPr>
          <w:p w14:paraId="49FAFE5C" w14:textId="1F9C5689" w:rsidR="00294F48" w:rsidRDefault="00294F48" w:rsidP="00294F48">
            <w:pPr>
              <w:jc w:val="center"/>
            </w:pPr>
            <w:r>
              <w:lastRenderedPageBreak/>
              <w:t>NAP</w:t>
            </w:r>
          </w:p>
        </w:tc>
        <w:tc>
          <w:tcPr>
            <w:tcW w:w="5987" w:type="dxa"/>
          </w:tcPr>
          <w:p w14:paraId="3CFCF04E" w14:textId="4BB0962B" w:rsidR="00294F48" w:rsidRDefault="00294F48" w:rsidP="00294F48">
            <w:r>
              <w:t>Изискването не е приложимо към технологията.</w:t>
            </w:r>
          </w:p>
        </w:tc>
      </w:tr>
      <w:tr w:rsidR="00294F48" w14:paraId="6379CE4E" w14:textId="77777777" w:rsidTr="00AB2CE3">
        <w:tc>
          <w:tcPr>
            <w:tcW w:w="797" w:type="dxa"/>
          </w:tcPr>
          <w:p w14:paraId="46760B34" w14:textId="16B690A0" w:rsidR="00294F48" w:rsidRDefault="00294F48" w:rsidP="00294F48">
            <w:r>
              <w:t>3.152.</w:t>
            </w:r>
          </w:p>
        </w:tc>
        <w:tc>
          <w:tcPr>
            <w:tcW w:w="5152" w:type="dxa"/>
          </w:tcPr>
          <w:p w14:paraId="399894F8" w14:textId="27843829" w:rsidR="00294F48" w:rsidRDefault="00294F48" w:rsidP="00294F48">
            <w:r>
              <w:t xml:space="preserve">Регистрираните лица и лицензиантите гарантират, че никое лице не се подлага на медицинско облъчване като част от програма за биомедицински изследвания, освен ако облъчването не е одобрено от комисия по етика (или друг институционален орган, на който съответните органи са възложили функции, подобни на тези на комисия по етика), както се изисква в т. 3.161, и лекар-радиолог е поел отговорността, както е посочено в т. 3.154 (a). Регистрираните лица и лицензиантите осигуряват изпълнението на изискванията, посочени в т. 3.174, по отношение на оптимизирането на защитата и безопасността на лицата, подложени на облъчване </w:t>
            </w:r>
            <w:r>
              <w:lastRenderedPageBreak/>
              <w:t>като част от програма за биомедицински изследвания.</w:t>
            </w:r>
          </w:p>
        </w:tc>
        <w:tc>
          <w:tcPr>
            <w:tcW w:w="1559" w:type="dxa"/>
          </w:tcPr>
          <w:p w14:paraId="2D97C816" w14:textId="1AC95A38" w:rsidR="00294F48" w:rsidRDefault="00294F48" w:rsidP="00294F48">
            <w:pPr>
              <w:jc w:val="center"/>
            </w:pPr>
            <w:r>
              <w:lastRenderedPageBreak/>
              <w:t>NAP</w:t>
            </w:r>
          </w:p>
        </w:tc>
        <w:tc>
          <w:tcPr>
            <w:tcW w:w="5987" w:type="dxa"/>
          </w:tcPr>
          <w:p w14:paraId="32E3AD3D" w14:textId="3996CB05" w:rsidR="00294F48" w:rsidRDefault="00294F48" w:rsidP="00294F48">
            <w:r>
              <w:t>Изискването не е приложимо към технологията.</w:t>
            </w:r>
          </w:p>
        </w:tc>
      </w:tr>
      <w:tr w:rsidR="00294F48" w14:paraId="42B5AEDC" w14:textId="77777777" w:rsidTr="00AB2CE3">
        <w:tc>
          <w:tcPr>
            <w:tcW w:w="797" w:type="dxa"/>
          </w:tcPr>
          <w:p w14:paraId="52EC7BAC" w14:textId="7D9F31CA" w:rsidR="00294F48" w:rsidRDefault="00294F48" w:rsidP="00294F48">
            <w:r>
              <w:t>3.153.</w:t>
            </w:r>
          </w:p>
        </w:tc>
        <w:tc>
          <w:tcPr>
            <w:tcW w:w="5152" w:type="dxa"/>
          </w:tcPr>
          <w:p w14:paraId="5551608E" w14:textId="5EA72A84" w:rsidR="00294F48" w:rsidRDefault="00294F48" w:rsidP="00294F48">
            <w:r>
              <w:t>Регистрираните лица и лицензиантите гарантират, че никое лице не е изложено на медицинско облъчване като лице, което осигурява грижи или комфортни условия, без да е получило съответна информация за радиационната защита и потвърдило, че я разбира, както и информация за радиационните рискове, преди да започне да осигурява грижи и комфортни условия на пациент, подложен на радиологична процедура. Регистрираните лица и лицензиантите осигуряват изпълнението на изискванията, посочени в т. 3.173, по отношение на оптимизацията на защитата и безопасността при всякаква радиологична процедура, при осъществяването на която присъства лице, осигуряващо грижи или комфортни условия на пациента.</w:t>
            </w:r>
          </w:p>
        </w:tc>
        <w:tc>
          <w:tcPr>
            <w:tcW w:w="1559" w:type="dxa"/>
          </w:tcPr>
          <w:p w14:paraId="2DF21715" w14:textId="6F4B32EB" w:rsidR="00294F48" w:rsidRDefault="00294F48" w:rsidP="00294F48">
            <w:pPr>
              <w:jc w:val="center"/>
            </w:pPr>
            <w:r>
              <w:t>NAP</w:t>
            </w:r>
          </w:p>
        </w:tc>
        <w:tc>
          <w:tcPr>
            <w:tcW w:w="5987" w:type="dxa"/>
          </w:tcPr>
          <w:p w14:paraId="3B6C3EE5" w14:textId="32ED603A" w:rsidR="00294F48" w:rsidRDefault="00294F48" w:rsidP="00294F48">
            <w:r>
              <w:t>Изискването не е приложимо към технологията.</w:t>
            </w:r>
          </w:p>
        </w:tc>
      </w:tr>
      <w:tr w:rsidR="00294F48" w14:paraId="356D2546" w14:textId="77777777" w:rsidTr="00AB2CE3">
        <w:tc>
          <w:tcPr>
            <w:tcW w:w="797" w:type="dxa"/>
          </w:tcPr>
          <w:p w14:paraId="4F01F554" w14:textId="6A5A5AF5" w:rsidR="00294F48" w:rsidRDefault="00294F48" w:rsidP="00294F48">
            <w:r>
              <w:t>3.154.</w:t>
            </w:r>
          </w:p>
        </w:tc>
        <w:tc>
          <w:tcPr>
            <w:tcW w:w="5152" w:type="dxa"/>
          </w:tcPr>
          <w:p w14:paraId="192D7554" w14:textId="2BDD6113" w:rsidR="008C0E6E" w:rsidRPr="007E6CD5" w:rsidRDefault="00294F48">
            <w:r>
              <w:t xml:space="preserve">Регистрираните лица и лицензиантите гарантират, че: </w:t>
            </w:r>
            <w:r>
              <w:br/>
              <w:t xml:space="preserve">(а) лекарят-радиолог, който извършва или контролира радиологичната процедура, е поел отговорността за осигуряване на цялостна защита и безопасност за пациентите при планирането и провеждането на медицинското облъчване, включително обосновка на радиологичната процедура, както се изисква в т. 3.155-3.161, и оптимизиране на защитата и безопасността в сътрудничество с медицинския физик и </w:t>
            </w:r>
            <w:r>
              <w:lastRenderedPageBreak/>
              <w:t xml:space="preserve">медицинския </w:t>
            </w:r>
            <w:r w:rsidR="00A33C3F">
              <w:t xml:space="preserve">радиологичен </w:t>
            </w:r>
            <w:r>
              <w:t xml:space="preserve">технолог, както се изисква в т. 3.162-3.177; </w:t>
            </w:r>
            <w:r>
              <w:br/>
              <w:t xml:space="preserve">б) лекарите-радиолози, медицинските физици, медицинските </w:t>
            </w:r>
            <w:r w:rsidR="00A33C3F">
              <w:t xml:space="preserve">радиологични </w:t>
            </w:r>
            <w:r>
              <w:t xml:space="preserve">технолози и другите медицински специалисти със специфични задължения във връзка със защитата и безопасността на пациентите при дадена радиологична процедура са специализирани в съответната област; </w:t>
            </w:r>
            <w:r>
              <w:br/>
              <w:t xml:space="preserve">в) налице е достатъчен медицински и парамедицински персонал, както е определено от здравния орган; </w:t>
            </w:r>
            <w:r>
              <w:br/>
              <w:t xml:space="preserve">г) за терапевтичните радиологични процедури мерките по изпълнение на изискванията на настоящите стандарти за калибриране, дозиметрия и осигуряване на качеството, включително приемане и въвеждане в експлоатация на медицинско радиологично оборудване, както е посочено в т. 3.167, т. 3.168 (в), т. 3.170 и т. 3.171, се изпълняват от медицински физик или под негов контрол; </w:t>
            </w:r>
            <w:r>
              <w:br/>
              <w:t xml:space="preserve">д) за диагностични радиологични процедури и образно контролирани интервенционни процедури мерките за изпълнение на изискванията на настоящите стандарти за медицински образни изследвания, калибриране, дозиметрия и осигуряване на качеството, включително приемане и въвеждане в експлоатация на медицинско радиологично оборудване, както е посочено в т. 3.167, т. 3.168 (а) и (б), т. 3.169, т. 3.170 и т. 3.171, се изпълняват от медицински физик или под надзора </w:t>
            </w:r>
            <w:r>
              <w:lastRenderedPageBreak/>
              <w:t xml:space="preserve">на медицински физик, или с документално оформени консултации на медицински физик, чиято степен на участие се определя от сложността на радиологичните процедури и свързаните с тях радиационни рискове; </w:t>
            </w:r>
            <w:r>
              <w:br/>
              <w:t>е) всяко делегиране на отговорности от страна на главната страна е документирано.</w:t>
            </w:r>
          </w:p>
        </w:tc>
        <w:tc>
          <w:tcPr>
            <w:tcW w:w="1559" w:type="dxa"/>
          </w:tcPr>
          <w:p w14:paraId="7FFADADF" w14:textId="6B244104" w:rsidR="00294F48" w:rsidRDefault="00294F48" w:rsidP="00294F48">
            <w:pPr>
              <w:jc w:val="center"/>
            </w:pPr>
            <w:r>
              <w:lastRenderedPageBreak/>
              <w:t>NAP</w:t>
            </w:r>
          </w:p>
        </w:tc>
        <w:tc>
          <w:tcPr>
            <w:tcW w:w="5987" w:type="dxa"/>
          </w:tcPr>
          <w:p w14:paraId="55ABA887" w14:textId="68DF299E" w:rsidR="00294F48" w:rsidRDefault="00294F48" w:rsidP="00294F48">
            <w:r>
              <w:t>Изискването не е приложимо към технологията.</w:t>
            </w:r>
          </w:p>
        </w:tc>
      </w:tr>
    </w:tbl>
    <w:p w14:paraId="4FEF5B39" w14:textId="049FA9C1" w:rsidR="00683002" w:rsidRPr="001B07F2" w:rsidRDefault="001B07F2" w:rsidP="00190D0E">
      <w:pPr>
        <w:pStyle w:val="Heading3"/>
        <w:spacing w:before="240"/>
        <w:rPr>
          <w:caps/>
        </w:rPr>
      </w:pPr>
      <w:bookmarkStart w:id="70" w:name="_Toc155347814"/>
      <w:r>
        <w:lastRenderedPageBreak/>
        <w:t>Изискване 37: Обосновка на медицински облъчвания</w:t>
      </w:r>
      <w:bookmarkEnd w:id="70"/>
    </w:p>
    <w:tbl>
      <w:tblPr>
        <w:tblStyle w:val="TableGrid"/>
        <w:tblW w:w="13495" w:type="dxa"/>
        <w:tblLayout w:type="fixed"/>
        <w:tblLook w:val="04A0" w:firstRow="1" w:lastRow="0" w:firstColumn="1" w:lastColumn="0" w:noHBand="0" w:noVBand="1"/>
      </w:tblPr>
      <w:tblGrid>
        <w:gridCol w:w="797"/>
        <w:gridCol w:w="5152"/>
        <w:gridCol w:w="1559"/>
        <w:gridCol w:w="5987"/>
      </w:tblGrid>
      <w:tr w:rsidR="00683002" w14:paraId="0C2200BF" w14:textId="77777777" w:rsidTr="00AB2CE3">
        <w:trPr>
          <w:tblHeader/>
        </w:trPr>
        <w:tc>
          <w:tcPr>
            <w:tcW w:w="797" w:type="dxa"/>
          </w:tcPr>
          <w:p w14:paraId="2C8B7831" w14:textId="77777777" w:rsidR="00683002" w:rsidRDefault="00683002" w:rsidP="00B723E1"/>
        </w:tc>
        <w:tc>
          <w:tcPr>
            <w:tcW w:w="5152" w:type="dxa"/>
          </w:tcPr>
          <w:p w14:paraId="7D8ECB82" w14:textId="77777777" w:rsidR="00683002" w:rsidRDefault="00683002" w:rsidP="00B723E1">
            <w:r>
              <w:rPr>
                <w:b/>
              </w:rPr>
              <w:t>Описание</w:t>
            </w:r>
          </w:p>
        </w:tc>
        <w:tc>
          <w:tcPr>
            <w:tcW w:w="1559" w:type="dxa"/>
          </w:tcPr>
          <w:p w14:paraId="6A224704" w14:textId="77777777" w:rsidR="00683002" w:rsidRDefault="00683002" w:rsidP="00B723E1">
            <w:r>
              <w:rPr>
                <w:b/>
              </w:rPr>
              <w:t>Съответствие</w:t>
            </w:r>
          </w:p>
        </w:tc>
        <w:tc>
          <w:tcPr>
            <w:tcW w:w="5987" w:type="dxa"/>
          </w:tcPr>
          <w:p w14:paraId="400B49FB" w14:textId="77777777" w:rsidR="00683002" w:rsidRDefault="00683002" w:rsidP="00B723E1">
            <w:r>
              <w:rPr>
                <w:b/>
              </w:rPr>
              <w:t>Обосновка</w:t>
            </w:r>
          </w:p>
        </w:tc>
      </w:tr>
      <w:tr w:rsidR="00294F48" w14:paraId="312525D1" w14:textId="77777777" w:rsidTr="00AB2CE3">
        <w:tc>
          <w:tcPr>
            <w:tcW w:w="797" w:type="dxa"/>
          </w:tcPr>
          <w:p w14:paraId="0F835BB5" w14:textId="77777777" w:rsidR="00294F48" w:rsidRDefault="00294F48" w:rsidP="00294F48"/>
        </w:tc>
        <w:tc>
          <w:tcPr>
            <w:tcW w:w="5152" w:type="dxa"/>
          </w:tcPr>
          <w:p w14:paraId="3D61EAB2" w14:textId="5F7560C7" w:rsidR="00294F48" w:rsidRPr="002D095E" w:rsidRDefault="00294F48" w:rsidP="00294F48">
            <w:pPr>
              <w:rPr>
                <w:b/>
                <w:bCs/>
              </w:rPr>
            </w:pPr>
            <w:r>
              <w:rPr>
                <w:b/>
              </w:rPr>
              <w:t>Съответните страни гарантират, че медицинските облъчвания са обосновани.</w:t>
            </w:r>
          </w:p>
        </w:tc>
        <w:tc>
          <w:tcPr>
            <w:tcW w:w="1559" w:type="dxa"/>
          </w:tcPr>
          <w:p w14:paraId="7075947D" w14:textId="555269E0" w:rsidR="00294F48" w:rsidRDefault="00294F48" w:rsidP="00294F48">
            <w:pPr>
              <w:jc w:val="center"/>
            </w:pPr>
            <w:r>
              <w:t>NAP</w:t>
            </w:r>
          </w:p>
        </w:tc>
        <w:tc>
          <w:tcPr>
            <w:tcW w:w="5987" w:type="dxa"/>
          </w:tcPr>
          <w:p w14:paraId="69CE79D7" w14:textId="55B4A2B8" w:rsidR="00294F48" w:rsidRDefault="00294F48" w:rsidP="00294F48">
            <w:r>
              <w:t>Изискването не е приложимо към технологията.</w:t>
            </w:r>
          </w:p>
        </w:tc>
      </w:tr>
      <w:tr w:rsidR="00294F48" w14:paraId="2B133264" w14:textId="77777777" w:rsidTr="00AB2CE3">
        <w:tc>
          <w:tcPr>
            <w:tcW w:w="797" w:type="dxa"/>
          </w:tcPr>
          <w:p w14:paraId="79288E4D" w14:textId="094A4802" w:rsidR="00294F48" w:rsidRDefault="00294F48" w:rsidP="00294F48">
            <w:r>
              <w:t>3.155.</w:t>
            </w:r>
          </w:p>
        </w:tc>
        <w:tc>
          <w:tcPr>
            <w:tcW w:w="5152" w:type="dxa"/>
          </w:tcPr>
          <w:p w14:paraId="23E815D6" w14:textId="0BE29D4F" w:rsidR="00B05245" w:rsidRPr="00B05245" w:rsidRDefault="00294F48" w:rsidP="00294F48">
            <w:r>
              <w:t>Медицинското облъчване се обосновава чрез съпоставяне на диагностичните или терапевтичните ползи</w:t>
            </w:r>
            <w:r>
              <w:rPr>
                <w:vertAlign w:val="superscript"/>
              </w:rPr>
              <w:t>43</w:t>
            </w:r>
            <w:r>
              <w:t>, които се очаква да донесе, с радиационните вреди, които може да причини, като се вземат предвид ползите и рисковете, свързани с налични алтернативни методи, които не включват медицинско облъчване.</w:t>
            </w:r>
          </w:p>
        </w:tc>
        <w:tc>
          <w:tcPr>
            <w:tcW w:w="1559" w:type="dxa"/>
          </w:tcPr>
          <w:p w14:paraId="199A81F2" w14:textId="267A7551" w:rsidR="00294F48" w:rsidRDefault="00294F48" w:rsidP="00294F48">
            <w:pPr>
              <w:jc w:val="center"/>
            </w:pPr>
            <w:r>
              <w:t>NAP</w:t>
            </w:r>
          </w:p>
        </w:tc>
        <w:tc>
          <w:tcPr>
            <w:tcW w:w="5987" w:type="dxa"/>
          </w:tcPr>
          <w:p w14:paraId="5777D42A" w14:textId="42F37007" w:rsidR="00294F48" w:rsidRDefault="00294F48" w:rsidP="00294F48">
            <w:r>
              <w:t>Изискването не е приложимо към технологията.</w:t>
            </w:r>
          </w:p>
        </w:tc>
      </w:tr>
      <w:tr w:rsidR="00294F48" w14:paraId="29CDC58D" w14:textId="77777777" w:rsidTr="00AB2CE3">
        <w:tc>
          <w:tcPr>
            <w:tcW w:w="797" w:type="dxa"/>
          </w:tcPr>
          <w:p w14:paraId="1A80E5B8" w14:textId="70A8834B" w:rsidR="00294F48" w:rsidRDefault="00294F48" w:rsidP="00294F48">
            <w:r>
              <w:t>3.156.</w:t>
            </w:r>
          </w:p>
        </w:tc>
        <w:tc>
          <w:tcPr>
            <w:tcW w:w="5152" w:type="dxa"/>
          </w:tcPr>
          <w:p w14:paraId="5DF990F2" w14:textId="3331EC57" w:rsidR="00294F48" w:rsidRPr="001B07F2" w:rsidRDefault="00294F48" w:rsidP="00294F48">
            <w:pPr>
              <w:rPr>
                <w:b/>
                <w:bCs/>
              </w:rPr>
            </w:pPr>
            <w:r>
              <w:t>Общата обосновка на дадена радиологична процедура се извършва от здравния орган съвместно със съответните професионални организации и се преглежда периодично, като се отчита напредъкът в знанията и технологичните постижения.</w:t>
            </w:r>
          </w:p>
        </w:tc>
        <w:tc>
          <w:tcPr>
            <w:tcW w:w="1559" w:type="dxa"/>
          </w:tcPr>
          <w:p w14:paraId="4A3A6A3B" w14:textId="03D421BD" w:rsidR="00294F48" w:rsidRDefault="00294F48" w:rsidP="00294F48">
            <w:pPr>
              <w:jc w:val="center"/>
            </w:pPr>
            <w:r>
              <w:t>NAP</w:t>
            </w:r>
          </w:p>
        </w:tc>
        <w:tc>
          <w:tcPr>
            <w:tcW w:w="5987" w:type="dxa"/>
          </w:tcPr>
          <w:p w14:paraId="3E0A3CDD" w14:textId="7C1EFF89" w:rsidR="00294F48" w:rsidRDefault="00294F48" w:rsidP="00294F48">
            <w:r>
              <w:t>Изискването не е приложимо към технологията.</w:t>
            </w:r>
          </w:p>
        </w:tc>
      </w:tr>
      <w:tr w:rsidR="00294F48" w14:paraId="7A38FDD9" w14:textId="77777777" w:rsidTr="00AB2CE3">
        <w:tc>
          <w:tcPr>
            <w:tcW w:w="797" w:type="dxa"/>
          </w:tcPr>
          <w:p w14:paraId="56206ED7" w14:textId="177CC4C1" w:rsidR="00294F48" w:rsidRDefault="00294F48" w:rsidP="00294F48">
            <w:r>
              <w:lastRenderedPageBreak/>
              <w:t>3.157.</w:t>
            </w:r>
          </w:p>
        </w:tc>
        <w:tc>
          <w:tcPr>
            <w:tcW w:w="5152" w:type="dxa"/>
          </w:tcPr>
          <w:p w14:paraId="354905EC" w14:textId="77C6571E" w:rsidR="00294F48" w:rsidRPr="001B07F2" w:rsidRDefault="00294F48" w:rsidP="00294F48">
            <w:pPr>
              <w:rPr>
                <w:b/>
                <w:bCs/>
              </w:rPr>
            </w:pPr>
            <w:r>
              <w:t xml:space="preserve">Обосноваването на медицинското облъчване за отделен пациент се извършва чрез консултации между лекаря-радиолог и насочващия лекуващ лекар, в зависимост от обстоятелствата, с отчитане, особено за пациенти, които са бременни или кърмещи жени и деца, на: </w:t>
            </w:r>
            <w:r>
              <w:br/>
              <w:t xml:space="preserve">(а) целесъобразността на искането за провеждане на облъчване; </w:t>
            </w:r>
            <w:r>
              <w:br/>
              <w:t xml:space="preserve">б) спешността на радиологичната процедура; </w:t>
            </w:r>
            <w:r>
              <w:br/>
              <w:t xml:space="preserve">в) характеристиките на медицинското облъчване; </w:t>
            </w:r>
            <w:r>
              <w:br/>
              <w:t xml:space="preserve">г) характеристиките на дадения пациент; </w:t>
            </w:r>
            <w:r>
              <w:br/>
              <w:t>д) съответната информация от проведени предишни радиологични процедури за пациента.</w:t>
            </w:r>
          </w:p>
        </w:tc>
        <w:tc>
          <w:tcPr>
            <w:tcW w:w="1559" w:type="dxa"/>
          </w:tcPr>
          <w:p w14:paraId="4D750414" w14:textId="0495A54F" w:rsidR="00294F48" w:rsidRDefault="00294F48" w:rsidP="00294F48">
            <w:pPr>
              <w:jc w:val="center"/>
            </w:pPr>
            <w:r>
              <w:t>NAP</w:t>
            </w:r>
          </w:p>
        </w:tc>
        <w:tc>
          <w:tcPr>
            <w:tcW w:w="5987" w:type="dxa"/>
          </w:tcPr>
          <w:p w14:paraId="1D2A48D6" w14:textId="7BF36DFC" w:rsidR="00294F48" w:rsidRDefault="00294F48" w:rsidP="00294F48">
            <w:r>
              <w:t>Изискването не е приложимо към технологията.</w:t>
            </w:r>
          </w:p>
        </w:tc>
      </w:tr>
      <w:tr w:rsidR="00294F48" w14:paraId="7D4920F7" w14:textId="77777777" w:rsidTr="00AB2CE3">
        <w:tc>
          <w:tcPr>
            <w:tcW w:w="797" w:type="dxa"/>
          </w:tcPr>
          <w:p w14:paraId="776F724D" w14:textId="1702F7B9" w:rsidR="00294F48" w:rsidRDefault="00294F48" w:rsidP="00294F48">
            <w:r>
              <w:t>3.158.</w:t>
            </w:r>
          </w:p>
        </w:tc>
        <w:tc>
          <w:tcPr>
            <w:tcW w:w="5152" w:type="dxa"/>
          </w:tcPr>
          <w:p w14:paraId="0980F993" w14:textId="526926F7" w:rsidR="00294F48" w:rsidRPr="00815E9C" w:rsidRDefault="00294F48" w:rsidP="00294F48">
            <w:pPr>
              <w:rPr>
                <w:b/>
                <w:bCs/>
              </w:rPr>
            </w:pPr>
            <w:r>
              <w:t>При обосноваване на медицинското облъчване на даден пациент в случай на провеждане на радиологична процедура се вземат предвид съответните национални или международни ръководни принципи за насочване.</w:t>
            </w:r>
          </w:p>
        </w:tc>
        <w:tc>
          <w:tcPr>
            <w:tcW w:w="1559" w:type="dxa"/>
          </w:tcPr>
          <w:p w14:paraId="33F32AC9" w14:textId="521AAA89" w:rsidR="00294F48" w:rsidRDefault="00294F48" w:rsidP="00294F48">
            <w:pPr>
              <w:jc w:val="center"/>
            </w:pPr>
            <w:r>
              <w:t>NAP</w:t>
            </w:r>
          </w:p>
        </w:tc>
        <w:tc>
          <w:tcPr>
            <w:tcW w:w="5987" w:type="dxa"/>
          </w:tcPr>
          <w:p w14:paraId="12BD2535" w14:textId="640D3331" w:rsidR="00294F48" w:rsidRDefault="00294F48" w:rsidP="00294F48">
            <w:r>
              <w:t>Изискването не е приложимо към технологията.</w:t>
            </w:r>
          </w:p>
        </w:tc>
      </w:tr>
      <w:tr w:rsidR="00A47B08" w14:paraId="20460522" w14:textId="77777777" w:rsidTr="00AB2CE3">
        <w:tc>
          <w:tcPr>
            <w:tcW w:w="797" w:type="dxa"/>
          </w:tcPr>
          <w:p w14:paraId="7982A534" w14:textId="454B7E9E" w:rsidR="00A47B08" w:rsidRDefault="00A47B08" w:rsidP="00A47B08">
            <w:r>
              <w:t>3.159.</w:t>
            </w:r>
          </w:p>
        </w:tc>
        <w:tc>
          <w:tcPr>
            <w:tcW w:w="5152" w:type="dxa"/>
          </w:tcPr>
          <w:p w14:paraId="2408B74D" w14:textId="66E1E75A" w:rsidR="00A47B08" w:rsidRDefault="00A47B08">
            <w:r>
              <w:t xml:space="preserve">Обосновката на радиологичните процедури, които се извършват като част от програма за здравен скрининг на </w:t>
            </w:r>
            <w:r w:rsidR="0021063D" w:rsidRPr="0021063D">
              <w:t xml:space="preserve">асимптоматични </w:t>
            </w:r>
            <w:r>
              <w:t xml:space="preserve"> групи от населението, се извършва от здравния орган съвместно със съответните професионални организации.</w:t>
            </w:r>
          </w:p>
        </w:tc>
        <w:tc>
          <w:tcPr>
            <w:tcW w:w="1559" w:type="dxa"/>
          </w:tcPr>
          <w:p w14:paraId="7D6CBEBD" w14:textId="2D105BFD" w:rsidR="00A47B08" w:rsidRDefault="00A47B08" w:rsidP="00A47B08">
            <w:pPr>
              <w:jc w:val="center"/>
            </w:pPr>
            <w:r>
              <w:t>NAP</w:t>
            </w:r>
          </w:p>
        </w:tc>
        <w:tc>
          <w:tcPr>
            <w:tcW w:w="5987" w:type="dxa"/>
          </w:tcPr>
          <w:p w14:paraId="4FDE5A96" w14:textId="67A5B11B" w:rsidR="00A47B08" w:rsidRDefault="00A47B08" w:rsidP="00A47B08">
            <w:r>
              <w:t>Изискването не е приложимо към технологията.</w:t>
            </w:r>
          </w:p>
        </w:tc>
      </w:tr>
      <w:tr w:rsidR="00A47B08" w14:paraId="4854692B" w14:textId="77777777" w:rsidTr="00AB2CE3">
        <w:tc>
          <w:tcPr>
            <w:tcW w:w="797" w:type="dxa"/>
          </w:tcPr>
          <w:p w14:paraId="52386896" w14:textId="53AADD45" w:rsidR="00A47B08" w:rsidRDefault="00A47B08" w:rsidP="00A47B08">
            <w:r>
              <w:t>3.160</w:t>
            </w:r>
          </w:p>
        </w:tc>
        <w:tc>
          <w:tcPr>
            <w:tcW w:w="5152" w:type="dxa"/>
          </w:tcPr>
          <w:p w14:paraId="59111F41" w14:textId="03754330" w:rsidR="00A47B08" w:rsidRPr="001B07F2" w:rsidRDefault="00A47B08">
            <w:pPr>
              <w:rPr>
                <w:b/>
                <w:bCs/>
              </w:rPr>
            </w:pPr>
            <w:r>
              <w:t xml:space="preserve">Всяка радиологична процедура върху </w:t>
            </w:r>
            <w:r w:rsidR="0021063D">
              <w:t>асимптоматичнo</w:t>
            </w:r>
            <w:r>
              <w:t xml:space="preserve"> лице, която е предназначена за ранно откриване на заболяване, но не е част от одобрена програма за здравен скрининг, изисква специална обосновка за това лице от лекаря-</w:t>
            </w:r>
            <w:r>
              <w:lastRenderedPageBreak/>
              <w:t>радиолог и насочващия лекар в съответствие с препоръките на съответните професионални организации или здравния орган. Като част от този процес, лицето се информира предварително за очакваните ползи, рискове и ограничения на радиологичната процедура.</w:t>
            </w:r>
          </w:p>
        </w:tc>
        <w:tc>
          <w:tcPr>
            <w:tcW w:w="1559" w:type="dxa"/>
          </w:tcPr>
          <w:p w14:paraId="00E8D583" w14:textId="1BC9B7C4" w:rsidR="00A47B08" w:rsidRDefault="00A47B08" w:rsidP="00A47B08">
            <w:pPr>
              <w:jc w:val="center"/>
            </w:pPr>
            <w:r>
              <w:lastRenderedPageBreak/>
              <w:t>NAP</w:t>
            </w:r>
          </w:p>
        </w:tc>
        <w:tc>
          <w:tcPr>
            <w:tcW w:w="5987" w:type="dxa"/>
          </w:tcPr>
          <w:p w14:paraId="7F53AE58" w14:textId="249B97A5" w:rsidR="00A47B08" w:rsidRDefault="00A47B08" w:rsidP="00A47B08">
            <w:r>
              <w:t>Изискването не е приложимо към технологията.</w:t>
            </w:r>
          </w:p>
        </w:tc>
      </w:tr>
      <w:tr w:rsidR="00A47B08" w14:paraId="47796DD7" w14:textId="77777777" w:rsidTr="00AB2CE3">
        <w:tc>
          <w:tcPr>
            <w:tcW w:w="797" w:type="dxa"/>
          </w:tcPr>
          <w:p w14:paraId="3FCBB631" w14:textId="3FF3473D" w:rsidR="00A47B08" w:rsidRDefault="00A47B08" w:rsidP="00A47B08">
            <w:r>
              <w:t>3.161.</w:t>
            </w:r>
          </w:p>
        </w:tc>
        <w:tc>
          <w:tcPr>
            <w:tcW w:w="5152" w:type="dxa"/>
          </w:tcPr>
          <w:p w14:paraId="05194B39" w14:textId="449F3399" w:rsidR="00B05245" w:rsidRDefault="00A47B08" w:rsidP="00A47B08">
            <w:r>
              <w:t xml:space="preserve">Медицинското облъчване на доброволци като част от програма за биомедицински изследвания се смята за неоправдано, освен ако: </w:t>
            </w:r>
            <w:r>
              <w:br/>
              <w:t xml:space="preserve">(а) то е в съответствие с разпоредбите на Хелзинкската декларация [23] и взема предвид ръководните принципи, публикувани от Съвета на международните медицинските научни организации [24], както и препоръките на Международната комисия по радиологична защита (МКРЗ) [25]; </w:t>
            </w:r>
            <w:r>
              <w:br/>
              <w:t xml:space="preserve">(б) то подлежи на одобрение от комисия по етика (или друг институционален орган, на който съответните власти са възложили функции, подобни на тези на комисия по етика), при спазване на всички </w:t>
            </w:r>
            <w:r w:rsidR="001277B0">
              <w:t>дозови ограничения</w:t>
            </w:r>
            <w:r>
              <w:t>, които могат да бъдат определени (както се изисква в т. 3.149 (а) (ii) и т. 3.174), и при спазване на приложимите национални норми и местни правила.</w:t>
            </w:r>
          </w:p>
        </w:tc>
        <w:tc>
          <w:tcPr>
            <w:tcW w:w="1559" w:type="dxa"/>
          </w:tcPr>
          <w:p w14:paraId="36677FE2" w14:textId="16D9D21D" w:rsidR="00A47B08" w:rsidRDefault="00A47B08" w:rsidP="00A47B08">
            <w:pPr>
              <w:jc w:val="center"/>
            </w:pPr>
            <w:r>
              <w:t>NAP</w:t>
            </w:r>
          </w:p>
        </w:tc>
        <w:tc>
          <w:tcPr>
            <w:tcW w:w="5987" w:type="dxa"/>
          </w:tcPr>
          <w:p w14:paraId="3BA1C117" w14:textId="3D5E5AE2" w:rsidR="00A47B08" w:rsidRDefault="00A47B08" w:rsidP="00A47B08">
            <w:r>
              <w:t>Изискването не е приложимо към технологията.</w:t>
            </w:r>
          </w:p>
        </w:tc>
      </w:tr>
    </w:tbl>
    <w:p w14:paraId="5D80A85C" w14:textId="6222BBB6" w:rsidR="00683002" w:rsidRPr="001B07F2" w:rsidRDefault="001B07F2" w:rsidP="00190D0E">
      <w:pPr>
        <w:pStyle w:val="Heading3"/>
        <w:spacing w:before="240"/>
        <w:rPr>
          <w:caps/>
        </w:rPr>
      </w:pPr>
      <w:bookmarkStart w:id="71" w:name="_Toc155347815"/>
      <w:r>
        <w:lastRenderedPageBreak/>
        <w:t>Изискване 38: Оптимизация на защитата и безопасността</w:t>
      </w:r>
      <w:bookmarkEnd w:id="71"/>
    </w:p>
    <w:tbl>
      <w:tblPr>
        <w:tblStyle w:val="TableGrid"/>
        <w:tblW w:w="13495" w:type="dxa"/>
        <w:tblLayout w:type="fixed"/>
        <w:tblLook w:val="04A0" w:firstRow="1" w:lastRow="0" w:firstColumn="1" w:lastColumn="0" w:noHBand="0" w:noVBand="1"/>
      </w:tblPr>
      <w:tblGrid>
        <w:gridCol w:w="797"/>
        <w:gridCol w:w="5152"/>
        <w:gridCol w:w="1559"/>
        <w:gridCol w:w="5987"/>
      </w:tblGrid>
      <w:tr w:rsidR="00683002" w14:paraId="32281E9C" w14:textId="77777777" w:rsidTr="00160C16">
        <w:trPr>
          <w:tblHeader/>
        </w:trPr>
        <w:tc>
          <w:tcPr>
            <w:tcW w:w="797" w:type="dxa"/>
          </w:tcPr>
          <w:p w14:paraId="2BC7C005" w14:textId="77777777" w:rsidR="00683002" w:rsidRDefault="00683002" w:rsidP="00B723E1"/>
        </w:tc>
        <w:tc>
          <w:tcPr>
            <w:tcW w:w="5152" w:type="dxa"/>
          </w:tcPr>
          <w:p w14:paraId="291E3731" w14:textId="77777777" w:rsidR="00683002" w:rsidRDefault="00683002" w:rsidP="00B723E1">
            <w:r>
              <w:rPr>
                <w:b/>
              </w:rPr>
              <w:t>Описание</w:t>
            </w:r>
          </w:p>
        </w:tc>
        <w:tc>
          <w:tcPr>
            <w:tcW w:w="1559" w:type="dxa"/>
          </w:tcPr>
          <w:p w14:paraId="07380F32" w14:textId="77777777" w:rsidR="00683002" w:rsidRDefault="00683002" w:rsidP="00B723E1">
            <w:r>
              <w:rPr>
                <w:b/>
              </w:rPr>
              <w:t>Съответствие</w:t>
            </w:r>
          </w:p>
        </w:tc>
        <w:tc>
          <w:tcPr>
            <w:tcW w:w="5987" w:type="dxa"/>
          </w:tcPr>
          <w:p w14:paraId="0CABB414" w14:textId="77777777" w:rsidR="00683002" w:rsidRDefault="00683002" w:rsidP="00B723E1">
            <w:r>
              <w:rPr>
                <w:b/>
              </w:rPr>
              <w:t>Обосновка</w:t>
            </w:r>
          </w:p>
        </w:tc>
      </w:tr>
      <w:tr w:rsidR="00A47B08" w14:paraId="2241FC15" w14:textId="77777777" w:rsidTr="00160C16">
        <w:tc>
          <w:tcPr>
            <w:tcW w:w="797" w:type="dxa"/>
          </w:tcPr>
          <w:p w14:paraId="482B1B1E" w14:textId="77777777" w:rsidR="00A47B08" w:rsidRDefault="00A47B08" w:rsidP="00A47B08"/>
        </w:tc>
        <w:tc>
          <w:tcPr>
            <w:tcW w:w="5152" w:type="dxa"/>
          </w:tcPr>
          <w:p w14:paraId="38BC1C93" w14:textId="6FD6F965" w:rsidR="00A47B08" w:rsidRPr="003E1B09" w:rsidRDefault="00A47B08" w:rsidP="00A47B08">
            <w:pPr>
              <w:rPr>
                <w:b/>
                <w:bCs/>
              </w:rPr>
            </w:pPr>
            <w:r>
              <w:rPr>
                <w:b/>
              </w:rPr>
              <w:t>Регистрираните лица, лицензиантите и лекарите-радиолози осигуряват оптимизация на защитата и безопасността за всеки случай на медицинско облъчване.</w:t>
            </w:r>
          </w:p>
        </w:tc>
        <w:tc>
          <w:tcPr>
            <w:tcW w:w="1559" w:type="dxa"/>
          </w:tcPr>
          <w:p w14:paraId="23A1029B" w14:textId="0FDCC6B4" w:rsidR="00A47B08" w:rsidRDefault="00A47B08" w:rsidP="00A47B08">
            <w:pPr>
              <w:jc w:val="center"/>
            </w:pPr>
            <w:r>
              <w:t>NAP</w:t>
            </w:r>
          </w:p>
        </w:tc>
        <w:tc>
          <w:tcPr>
            <w:tcW w:w="5987" w:type="dxa"/>
          </w:tcPr>
          <w:p w14:paraId="72EDA78F" w14:textId="23BFA895" w:rsidR="00A47B08" w:rsidRDefault="00A47B08" w:rsidP="00A47B08">
            <w:r>
              <w:t>Изискването не е приложимо към технологията.</w:t>
            </w:r>
          </w:p>
        </w:tc>
      </w:tr>
      <w:tr w:rsidR="00A47B08" w14:paraId="6A2E31A6" w14:textId="77777777" w:rsidTr="007E030D">
        <w:tc>
          <w:tcPr>
            <w:tcW w:w="13495" w:type="dxa"/>
            <w:gridSpan w:val="4"/>
          </w:tcPr>
          <w:p w14:paraId="084F6DA6" w14:textId="5F6ED09D" w:rsidR="00A47B08" w:rsidRPr="003E1B09" w:rsidRDefault="00A47B08" w:rsidP="00A47B08">
            <w:pPr>
              <w:jc w:val="center"/>
              <w:rPr>
                <w:i/>
                <w:iCs/>
              </w:rPr>
            </w:pPr>
            <w:r>
              <w:rPr>
                <w:i/>
              </w:rPr>
              <w:t>Конструкционни съображения</w:t>
            </w:r>
          </w:p>
        </w:tc>
      </w:tr>
      <w:tr w:rsidR="00773088" w14:paraId="2CE54715" w14:textId="77777777" w:rsidTr="00160C16">
        <w:tc>
          <w:tcPr>
            <w:tcW w:w="797" w:type="dxa"/>
          </w:tcPr>
          <w:p w14:paraId="09339DED" w14:textId="326E4030" w:rsidR="00773088" w:rsidRDefault="00773088" w:rsidP="00773088">
            <w:r>
              <w:t>3.162.</w:t>
            </w:r>
          </w:p>
        </w:tc>
        <w:tc>
          <w:tcPr>
            <w:tcW w:w="5152" w:type="dxa"/>
          </w:tcPr>
          <w:p w14:paraId="1C3E40CD" w14:textId="3D973565" w:rsidR="0093398C" w:rsidRPr="007E6CD5" w:rsidRDefault="00773088" w:rsidP="00B05245">
            <w:r>
              <w:t>В допълнение към осигуряване осъществяването на отговорностите, посочени в т. 3.49, в надлежния случай регистрираните лица и лицензиантите в сътрудничество с доставчиците гарантират, че медицинското радиологично оборудване и софтуерът, които биха могли да повлияят на доставянето на медицинско облъчване, се използват само ако отговарят на приложимите стандарти на Международната електротехническа комисия и Международната организация по стандартизация, или на националните стандарти, приети от регулаторния орган.</w:t>
            </w:r>
          </w:p>
        </w:tc>
        <w:tc>
          <w:tcPr>
            <w:tcW w:w="1559" w:type="dxa"/>
          </w:tcPr>
          <w:p w14:paraId="1B48B8B0" w14:textId="15D60435" w:rsidR="00773088" w:rsidRDefault="00773088" w:rsidP="00773088">
            <w:pPr>
              <w:jc w:val="center"/>
            </w:pPr>
            <w:r>
              <w:t>NAP</w:t>
            </w:r>
          </w:p>
        </w:tc>
        <w:tc>
          <w:tcPr>
            <w:tcW w:w="5987" w:type="dxa"/>
          </w:tcPr>
          <w:p w14:paraId="4FE204F7" w14:textId="4E6C2CBC" w:rsidR="00773088" w:rsidRDefault="00773088" w:rsidP="00773088">
            <w:r>
              <w:t>Изискването не е приложимо към технологията.</w:t>
            </w:r>
          </w:p>
        </w:tc>
      </w:tr>
      <w:tr w:rsidR="00773088" w14:paraId="2F258429" w14:textId="77777777" w:rsidTr="007E030D">
        <w:tc>
          <w:tcPr>
            <w:tcW w:w="13495" w:type="dxa"/>
            <w:gridSpan w:val="4"/>
          </w:tcPr>
          <w:p w14:paraId="16AABD1B" w14:textId="2ABFE81F" w:rsidR="00773088" w:rsidRPr="003E1B09" w:rsidRDefault="00773088" w:rsidP="00773088">
            <w:pPr>
              <w:jc w:val="center"/>
              <w:rPr>
                <w:i/>
                <w:iCs/>
              </w:rPr>
            </w:pPr>
            <w:r>
              <w:rPr>
                <w:i/>
              </w:rPr>
              <w:t>Оперативни съображения</w:t>
            </w:r>
          </w:p>
        </w:tc>
      </w:tr>
      <w:tr w:rsidR="00773088" w14:paraId="1ACA55C9" w14:textId="77777777" w:rsidTr="00160C16">
        <w:tc>
          <w:tcPr>
            <w:tcW w:w="797" w:type="dxa"/>
          </w:tcPr>
          <w:p w14:paraId="4D4BDA15" w14:textId="3686013C" w:rsidR="00773088" w:rsidRDefault="00773088" w:rsidP="00773088">
            <w:r>
              <w:t>3.163.</w:t>
            </w:r>
          </w:p>
        </w:tc>
        <w:tc>
          <w:tcPr>
            <w:tcW w:w="5152" w:type="dxa"/>
          </w:tcPr>
          <w:p w14:paraId="71FA3284" w14:textId="2A8B4009" w:rsidR="00773088" w:rsidRPr="00815E9C" w:rsidRDefault="00773088">
            <w:pPr>
              <w:rPr>
                <w:b/>
                <w:bCs/>
              </w:rPr>
            </w:pPr>
            <w:r>
              <w:t xml:space="preserve">При диагностични радиологични процедури и образно контролирани интервенционни процедури лекарят-радиолог в сътрудничество с медицинския </w:t>
            </w:r>
            <w:r w:rsidR="00DA4EBA">
              <w:t xml:space="preserve">радиологичен </w:t>
            </w:r>
            <w:r>
              <w:t xml:space="preserve">технолог и медицинския физик и, ако е необходимо, с радиофармацевта или радиохимика, гарантира, че се използват: </w:t>
            </w:r>
            <w:r>
              <w:br/>
              <w:t xml:space="preserve">(а) подходящо медицинско радиологично </w:t>
            </w:r>
            <w:r>
              <w:lastRenderedPageBreak/>
              <w:t xml:space="preserve">оборудване и софтуер, а също така – в случай на ядрена медицина – подходящи радиофармацевтични препарати; </w:t>
            </w:r>
            <w:r>
              <w:br/>
              <w:t>(б) подходящи методи и параметри за минимално медицинско облъчване на пациента, необходимо за постигане на клиничната цел на радиологичната процедура, като се вземат предвид съответните норми за приемливо качество на образа, установени от съответните професионални организации, и съответните диагностични референтни нива, установени в съответствие с т. 3.148 и т. 3.169.</w:t>
            </w:r>
          </w:p>
        </w:tc>
        <w:tc>
          <w:tcPr>
            <w:tcW w:w="1559" w:type="dxa"/>
          </w:tcPr>
          <w:p w14:paraId="2670D875" w14:textId="2659F626" w:rsidR="00773088" w:rsidRDefault="00773088" w:rsidP="00773088">
            <w:pPr>
              <w:jc w:val="center"/>
            </w:pPr>
            <w:r>
              <w:lastRenderedPageBreak/>
              <w:t>NAP</w:t>
            </w:r>
          </w:p>
        </w:tc>
        <w:tc>
          <w:tcPr>
            <w:tcW w:w="5987" w:type="dxa"/>
          </w:tcPr>
          <w:p w14:paraId="522CC690" w14:textId="6444CBBF" w:rsidR="00773088" w:rsidRDefault="00773088" w:rsidP="00773088">
            <w:r>
              <w:t>Изискването не е приложимо към технологията.</w:t>
            </w:r>
          </w:p>
        </w:tc>
      </w:tr>
      <w:tr w:rsidR="00773088" w14:paraId="45EDB210" w14:textId="77777777" w:rsidTr="00160C16">
        <w:tc>
          <w:tcPr>
            <w:tcW w:w="797" w:type="dxa"/>
          </w:tcPr>
          <w:p w14:paraId="5F49C0D5" w14:textId="61234D01" w:rsidR="00773088" w:rsidRDefault="00773088" w:rsidP="00773088">
            <w:r>
              <w:t>3.164.</w:t>
            </w:r>
          </w:p>
        </w:tc>
        <w:tc>
          <w:tcPr>
            <w:tcW w:w="5152" w:type="dxa"/>
          </w:tcPr>
          <w:p w14:paraId="2B7789CA" w14:textId="3B246FBD" w:rsidR="00773088" w:rsidRDefault="00773088">
            <w:r>
              <w:t xml:space="preserve">За терапевтични радиологични процедури лекарят-радиолог в сътрудничество с медицинския физик и медицинския </w:t>
            </w:r>
            <w:r w:rsidR="00DA4EBA">
              <w:t xml:space="preserve">радиологичен </w:t>
            </w:r>
            <w:r>
              <w:t>технолог гарантира, че за всеки пациент облъчването в обеми, различни от планирания целеви обем, е толкова ниско, колкото е разумно постижимо, в съответствие с доставката на предписаната доза в планирания целеви обем в рамките на изискваните допустими отклонения.</w:t>
            </w:r>
          </w:p>
        </w:tc>
        <w:tc>
          <w:tcPr>
            <w:tcW w:w="1559" w:type="dxa"/>
          </w:tcPr>
          <w:p w14:paraId="23EDDF21" w14:textId="28812717" w:rsidR="00773088" w:rsidRDefault="00773088" w:rsidP="00773088">
            <w:pPr>
              <w:jc w:val="center"/>
            </w:pPr>
            <w:r>
              <w:t>NAP</w:t>
            </w:r>
          </w:p>
        </w:tc>
        <w:tc>
          <w:tcPr>
            <w:tcW w:w="5987" w:type="dxa"/>
          </w:tcPr>
          <w:p w14:paraId="7795B92C" w14:textId="7DC56BBA" w:rsidR="00773088" w:rsidRDefault="00773088" w:rsidP="00773088">
            <w:r>
              <w:t>Изискването не е приложимо към технологията.</w:t>
            </w:r>
          </w:p>
        </w:tc>
      </w:tr>
      <w:tr w:rsidR="00773088" w14:paraId="23AD7F37" w14:textId="77777777" w:rsidTr="00160C16">
        <w:tc>
          <w:tcPr>
            <w:tcW w:w="797" w:type="dxa"/>
          </w:tcPr>
          <w:p w14:paraId="43654FE6" w14:textId="096D05AB" w:rsidR="00773088" w:rsidRDefault="00773088" w:rsidP="00773088">
            <w:r>
              <w:t>3.165.</w:t>
            </w:r>
          </w:p>
        </w:tc>
        <w:tc>
          <w:tcPr>
            <w:tcW w:w="5152" w:type="dxa"/>
          </w:tcPr>
          <w:p w14:paraId="20B6FAA8" w14:textId="7FDF70A9" w:rsidR="00773088" w:rsidRDefault="00773088">
            <w:r>
              <w:t xml:space="preserve">За терапевтични радиологични процедури, при които се прилагат радиофармацевтични препарати, лекарят-радиолог в сътрудничество с медицинския физик и медицинския </w:t>
            </w:r>
            <w:r w:rsidR="00DA4EBA">
              <w:t xml:space="preserve">радиологичен </w:t>
            </w:r>
            <w:r>
              <w:t xml:space="preserve">технолог и, ако е необходимо, с радиофармацевта или радиохимика, гарантира, че за всеки пациент е избран и приложен подходящият радиофармацевтичен препарат с подходяща активност, така че радиоактивността да бъде </w:t>
            </w:r>
            <w:r>
              <w:lastRenderedPageBreak/>
              <w:t>локализирана предимно в представляващия(те) интерес орган(и), а радиоактивността в останалата част на тялото да се поддържа толкова ниска, колкото е разумно постижимо.</w:t>
            </w:r>
          </w:p>
        </w:tc>
        <w:tc>
          <w:tcPr>
            <w:tcW w:w="1559" w:type="dxa"/>
          </w:tcPr>
          <w:p w14:paraId="26BAB92D" w14:textId="3F89A3DC" w:rsidR="00773088" w:rsidRDefault="00773088" w:rsidP="00773088">
            <w:pPr>
              <w:jc w:val="center"/>
            </w:pPr>
            <w:r>
              <w:lastRenderedPageBreak/>
              <w:t>NAP</w:t>
            </w:r>
          </w:p>
        </w:tc>
        <w:tc>
          <w:tcPr>
            <w:tcW w:w="5987" w:type="dxa"/>
          </w:tcPr>
          <w:p w14:paraId="645ECB63" w14:textId="1E600312" w:rsidR="00773088" w:rsidRDefault="00773088" w:rsidP="00773088">
            <w:r>
              <w:t>Изискването не е приложимо към технологията.</w:t>
            </w:r>
          </w:p>
        </w:tc>
      </w:tr>
      <w:tr w:rsidR="00773088" w14:paraId="445FEE5C" w14:textId="77777777" w:rsidTr="00160C16">
        <w:tc>
          <w:tcPr>
            <w:tcW w:w="797" w:type="dxa"/>
          </w:tcPr>
          <w:p w14:paraId="4FCCEE19" w14:textId="16685AC2" w:rsidR="00773088" w:rsidRDefault="00773088" w:rsidP="00773088">
            <w:r>
              <w:t>3.166.</w:t>
            </w:r>
          </w:p>
        </w:tc>
        <w:tc>
          <w:tcPr>
            <w:tcW w:w="5152" w:type="dxa"/>
          </w:tcPr>
          <w:p w14:paraId="03D70615" w14:textId="0FAF7926" w:rsidR="0093398C" w:rsidRDefault="00773088" w:rsidP="00773088">
            <w:r>
              <w:t xml:space="preserve">Регистрираните лица и лицензиантите гарантират, че специфичните аспекти на медицинското облъчване се отчитат в процеса на оптимизация за: </w:t>
            </w:r>
            <w:r>
              <w:br/>
              <w:t xml:space="preserve">(а) пациенти-деца, подложени на медицинско облъчване; </w:t>
            </w:r>
            <w:r>
              <w:br/>
              <w:t xml:space="preserve">(б) лица, подложени на медицинско облъчване като част от одобрена програма за здравен скрининг; </w:t>
            </w:r>
            <w:r>
              <w:br/>
              <w:t xml:space="preserve">(в) доброволци, подложени на медицинско облъчване като част от програма за биомедицински изследвания; </w:t>
            </w:r>
            <w:r>
              <w:br/>
              <w:t>(г) относително високи дози</w:t>
            </w:r>
            <w:r>
              <w:rPr>
                <w:vertAlign w:val="superscript"/>
              </w:rPr>
              <w:t>44</w:t>
            </w:r>
            <w:r>
              <w:rPr>
                <w:sz w:val="14"/>
              </w:rPr>
              <w:t xml:space="preserve"> </w:t>
            </w:r>
            <w:r>
              <w:t xml:space="preserve">за пациента; </w:t>
            </w:r>
            <w:r>
              <w:br/>
              <w:t xml:space="preserve">(д) облъчване на зародиш или плод, в частност в случай на радиологични процедури, при които коремът или тазът на бременната пациентка са изложени на полезния лъчев сноп или по друг начин биха могли да получат значителна доза; </w:t>
            </w:r>
            <w:r>
              <w:br/>
              <w:t>(е) облъчване на кърмаче в резултат на това, че пациентка е преминала през радиологична процедура с радиофармацевтични препарати.</w:t>
            </w:r>
          </w:p>
        </w:tc>
        <w:tc>
          <w:tcPr>
            <w:tcW w:w="1559" w:type="dxa"/>
          </w:tcPr>
          <w:p w14:paraId="6B1114AA" w14:textId="7BE168A4" w:rsidR="00773088" w:rsidRDefault="00773088" w:rsidP="00773088">
            <w:pPr>
              <w:jc w:val="center"/>
            </w:pPr>
            <w:r>
              <w:t>NAP</w:t>
            </w:r>
          </w:p>
        </w:tc>
        <w:tc>
          <w:tcPr>
            <w:tcW w:w="5987" w:type="dxa"/>
          </w:tcPr>
          <w:p w14:paraId="0952B113" w14:textId="1178478E" w:rsidR="00773088" w:rsidRDefault="00773088" w:rsidP="00773088">
            <w:r>
              <w:t>Изискването не е приложимо към технологията.</w:t>
            </w:r>
          </w:p>
        </w:tc>
      </w:tr>
      <w:tr w:rsidR="00773088" w14:paraId="2B4FB628" w14:textId="77777777" w:rsidTr="007E030D">
        <w:tc>
          <w:tcPr>
            <w:tcW w:w="13495" w:type="dxa"/>
            <w:gridSpan w:val="4"/>
          </w:tcPr>
          <w:p w14:paraId="4510A9D2" w14:textId="5A39F805" w:rsidR="00773088" w:rsidRPr="003E1B09" w:rsidRDefault="00773088" w:rsidP="00773088">
            <w:pPr>
              <w:jc w:val="center"/>
              <w:rPr>
                <w:b/>
                <w:bCs/>
                <w:i/>
                <w:iCs/>
              </w:rPr>
            </w:pPr>
            <w:r>
              <w:rPr>
                <w:i/>
              </w:rPr>
              <w:t>Калибриране</w:t>
            </w:r>
          </w:p>
        </w:tc>
      </w:tr>
      <w:tr w:rsidR="00E820D8" w14:paraId="5C4460E4" w14:textId="77777777" w:rsidTr="00160C16">
        <w:tc>
          <w:tcPr>
            <w:tcW w:w="797" w:type="dxa"/>
          </w:tcPr>
          <w:p w14:paraId="6F5505CF" w14:textId="790C3800" w:rsidR="00E820D8" w:rsidRDefault="00E820D8" w:rsidP="00E820D8">
            <w:r>
              <w:t>3.167.</w:t>
            </w:r>
          </w:p>
        </w:tc>
        <w:tc>
          <w:tcPr>
            <w:tcW w:w="5152" w:type="dxa"/>
          </w:tcPr>
          <w:p w14:paraId="2BCCC5EB" w14:textId="39F1FCC7" w:rsidR="00E820D8" w:rsidRDefault="00E820D8" w:rsidP="00E820D8">
            <w:r>
              <w:t xml:space="preserve">В съответствие с т. 3.154 (г) и (д), медицинският физик гарантира, че: </w:t>
            </w:r>
            <w:r>
              <w:br/>
              <w:t xml:space="preserve">(а) всички източници, създаващи медицинско облъчване, са калибрирани по отношение на </w:t>
            </w:r>
            <w:r>
              <w:lastRenderedPageBreak/>
              <w:t xml:space="preserve">подходящи величини с използване на международно приети или национално приети протоколи; </w:t>
            </w:r>
            <w:r>
              <w:br/>
              <w:t xml:space="preserve">б) калибрирането е извършено по време на въвеждането на апарата в експлоатация преди клинична употреба, след всяка процедура по поддръжка, която би могла да повлияе на дозиметрията, както и през одобрени от регулаторния орган интервали; </w:t>
            </w:r>
            <w:r>
              <w:br/>
              <w:t xml:space="preserve">в) калибрирането на апаратите за лъчетерапия подлежи на независима </w:t>
            </w:r>
            <w:r w:rsidRPr="00C469CC">
              <w:t>проверка</w:t>
            </w:r>
            <w:r>
              <w:rPr>
                <w:sz w:val="14"/>
                <w:vertAlign w:val="superscript"/>
              </w:rPr>
              <w:t>45</w:t>
            </w:r>
            <w:r>
              <w:rPr>
                <w:sz w:val="14"/>
              </w:rPr>
              <w:t xml:space="preserve"> </w:t>
            </w:r>
            <w:r>
              <w:t xml:space="preserve">преди клинична употреба; </w:t>
            </w:r>
            <w:r>
              <w:br/>
              <w:t xml:space="preserve">г) калибрирането на всички дозиметри, използвани за </w:t>
            </w:r>
            <w:r w:rsidR="00DA4EBA">
              <w:t>д</w:t>
            </w:r>
            <w:r w:rsidR="00647236">
              <w:t>озиметрично измерване</w:t>
            </w:r>
            <w:r w:rsidR="00DA4EBA" w:rsidRPr="00DA4EBA">
              <w:t>я</w:t>
            </w:r>
            <w:r>
              <w:t xml:space="preserve"> на пациенти и за калибриране на източници, е проследимо до еталони на дозиметрична лаборатория.</w:t>
            </w:r>
          </w:p>
        </w:tc>
        <w:tc>
          <w:tcPr>
            <w:tcW w:w="1559" w:type="dxa"/>
          </w:tcPr>
          <w:p w14:paraId="69D19B9D" w14:textId="0163B757" w:rsidR="00E820D8" w:rsidRDefault="00E820D8" w:rsidP="00E820D8">
            <w:pPr>
              <w:jc w:val="center"/>
            </w:pPr>
            <w:r>
              <w:lastRenderedPageBreak/>
              <w:t>NAP</w:t>
            </w:r>
          </w:p>
        </w:tc>
        <w:tc>
          <w:tcPr>
            <w:tcW w:w="5987" w:type="dxa"/>
          </w:tcPr>
          <w:p w14:paraId="294BCEAC" w14:textId="697D3E86" w:rsidR="00E820D8" w:rsidRDefault="00E820D8" w:rsidP="00E820D8">
            <w:r>
              <w:t>Изискването не е приложимо към технологията.</w:t>
            </w:r>
          </w:p>
        </w:tc>
      </w:tr>
      <w:tr w:rsidR="00E820D8" w14:paraId="210FF33D" w14:textId="77777777" w:rsidTr="007E030D">
        <w:tc>
          <w:tcPr>
            <w:tcW w:w="13495" w:type="dxa"/>
            <w:gridSpan w:val="4"/>
          </w:tcPr>
          <w:p w14:paraId="31017C72" w14:textId="137B4207" w:rsidR="00E820D8" w:rsidRPr="003E1B09" w:rsidRDefault="00DA4EBA">
            <w:pPr>
              <w:jc w:val="center"/>
              <w:rPr>
                <w:i/>
                <w:iCs/>
              </w:rPr>
            </w:pPr>
            <w:r>
              <w:rPr>
                <w:i/>
              </w:rPr>
              <w:t>Дозиметричн</w:t>
            </w:r>
            <w:r w:rsidR="00647236">
              <w:rPr>
                <w:i/>
              </w:rPr>
              <w:t>о измерване</w:t>
            </w:r>
            <w:r>
              <w:rPr>
                <w:i/>
              </w:rPr>
              <w:t xml:space="preserve"> </w:t>
            </w:r>
            <w:r w:rsidR="00E820D8">
              <w:rPr>
                <w:i/>
              </w:rPr>
              <w:t>на пациенти</w:t>
            </w:r>
          </w:p>
        </w:tc>
      </w:tr>
      <w:tr w:rsidR="00E820D8" w14:paraId="7EF0A4DA" w14:textId="77777777" w:rsidTr="00160C16">
        <w:tc>
          <w:tcPr>
            <w:tcW w:w="797" w:type="dxa"/>
          </w:tcPr>
          <w:p w14:paraId="16A828FA" w14:textId="55E2FAEE" w:rsidR="00E820D8" w:rsidRDefault="00E820D8" w:rsidP="00E820D8">
            <w:r>
              <w:t>3.168.</w:t>
            </w:r>
          </w:p>
        </w:tc>
        <w:tc>
          <w:tcPr>
            <w:tcW w:w="5152" w:type="dxa"/>
          </w:tcPr>
          <w:p w14:paraId="4C38B179" w14:textId="7AA0B0F3" w:rsidR="007E6CD5" w:rsidRPr="001B07F2" w:rsidRDefault="00E820D8">
            <w:r>
              <w:t xml:space="preserve">Регистрираните лица и лицензиантите гарантират, че </w:t>
            </w:r>
            <w:r w:rsidR="00647236">
              <w:t xml:space="preserve">дозиметричното измерване </w:t>
            </w:r>
            <w:r>
              <w:t>на пациентите се извършва и документира от медицински физик или под негов надзор, като се използват калибрирани дозиметри и се спазват международно приети или национално приети протоколи, включително дозиметрия за определяне на следното:</w:t>
            </w:r>
            <w:r>
              <w:br/>
              <w:t xml:space="preserve">(а) за диагностични радиологични процедури – типични дози за пациентите при обичайни процедури; </w:t>
            </w:r>
            <w:r>
              <w:br/>
              <w:t xml:space="preserve">б) за образно контролирани интервенционни процедури – типични дози за пациентите; </w:t>
            </w:r>
            <w:r>
              <w:br/>
            </w:r>
            <w:r>
              <w:lastRenderedPageBreak/>
              <w:t xml:space="preserve">в) за терапевтични радиологични процедури – погълнати дози в планирания целеви обем за всеки пациент, лекуван с външна лъчева терапия и/или брахитерапия, и погълнати дози в съответните тъкани или органи, определени от лекаря-радиолог; </w:t>
            </w:r>
            <w:r>
              <w:br/>
              <w:t>г) за терапевтични радиологични процедури с незапечатани източници – типични погълнати дози за пациентите.</w:t>
            </w:r>
          </w:p>
        </w:tc>
        <w:tc>
          <w:tcPr>
            <w:tcW w:w="1559" w:type="dxa"/>
          </w:tcPr>
          <w:p w14:paraId="35FD40B4" w14:textId="39B4B56D" w:rsidR="00E820D8" w:rsidRDefault="00E820D8" w:rsidP="00E820D8">
            <w:pPr>
              <w:jc w:val="center"/>
            </w:pPr>
            <w:r>
              <w:lastRenderedPageBreak/>
              <w:t>NAP</w:t>
            </w:r>
          </w:p>
        </w:tc>
        <w:tc>
          <w:tcPr>
            <w:tcW w:w="5987" w:type="dxa"/>
          </w:tcPr>
          <w:p w14:paraId="4FA819BF" w14:textId="64A0D709" w:rsidR="00E820D8" w:rsidRDefault="00E820D8" w:rsidP="00E820D8">
            <w:r>
              <w:t>Изискването не е приложимо към технологията.</w:t>
            </w:r>
          </w:p>
        </w:tc>
      </w:tr>
      <w:tr w:rsidR="00E820D8" w14:paraId="40CA71B5" w14:textId="77777777" w:rsidTr="007E030D">
        <w:tc>
          <w:tcPr>
            <w:tcW w:w="13495" w:type="dxa"/>
            <w:gridSpan w:val="4"/>
          </w:tcPr>
          <w:p w14:paraId="401D581F" w14:textId="5702218E" w:rsidR="00E820D8" w:rsidRPr="003E1B09" w:rsidRDefault="00E820D8" w:rsidP="00E820D8">
            <w:pPr>
              <w:jc w:val="center"/>
              <w:rPr>
                <w:i/>
                <w:iCs/>
              </w:rPr>
            </w:pPr>
            <w:r>
              <w:rPr>
                <w:i/>
              </w:rPr>
              <w:t>Диагностични референтни нива</w:t>
            </w:r>
          </w:p>
        </w:tc>
      </w:tr>
      <w:tr w:rsidR="006E115B" w14:paraId="341CCA4A" w14:textId="77777777" w:rsidTr="00160C16">
        <w:tc>
          <w:tcPr>
            <w:tcW w:w="797" w:type="dxa"/>
          </w:tcPr>
          <w:p w14:paraId="392C7ED0" w14:textId="2FADD5B5" w:rsidR="006E115B" w:rsidRDefault="006E115B" w:rsidP="006E115B">
            <w:r>
              <w:t>3.169.</w:t>
            </w:r>
          </w:p>
        </w:tc>
        <w:tc>
          <w:tcPr>
            <w:tcW w:w="5152" w:type="dxa"/>
          </w:tcPr>
          <w:p w14:paraId="159946DC" w14:textId="77777777" w:rsidR="000B2863" w:rsidRDefault="006E115B" w:rsidP="000B2863">
            <w:pPr>
              <w:spacing w:after="0"/>
            </w:pPr>
            <w:r>
              <w:t xml:space="preserve">Регистрираните лица и лицензиантите гарантират, че: </w:t>
            </w:r>
            <w:r>
              <w:br/>
              <w:t xml:space="preserve">(а) местни оценки въз основа на измерванията, изисквани в т. 3.168, се извършват на одобрени интервали за онези радиологични процедури, за които са установени диагностични референтни нива (т. 3.148); </w:t>
            </w:r>
            <w:r>
              <w:br/>
              <w:t>(б) се извършва анализ, за да се определи дали оптимизирането на защитата и безопасността на пациентите е адекватно или дали са необходими коригиращи действия, ако за дадена радиологична процедура:</w:t>
            </w:r>
          </w:p>
          <w:p w14:paraId="7B09BECF" w14:textId="2165884C" w:rsidR="0093398C" w:rsidRDefault="006E115B" w:rsidP="00A93171">
            <w:pPr>
              <w:ind w:left="616"/>
            </w:pPr>
            <w:r>
              <w:t xml:space="preserve">(i) типичните дози или активности надвишават съответното диагностично референтно ниво; или </w:t>
            </w:r>
            <w:r>
              <w:br/>
              <w:t xml:space="preserve">(ii) типичните дози или активности са значително под съответното диагностично референтно ниво и облъчванията не осигуряват полезна диагностична </w:t>
            </w:r>
            <w:r>
              <w:lastRenderedPageBreak/>
              <w:t>информация или не носят очакваната медицинска полза за пациента.</w:t>
            </w:r>
          </w:p>
        </w:tc>
        <w:tc>
          <w:tcPr>
            <w:tcW w:w="1559" w:type="dxa"/>
          </w:tcPr>
          <w:p w14:paraId="3FEA15D1" w14:textId="3DB95195" w:rsidR="006E115B" w:rsidRDefault="006E115B" w:rsidP="006E115B">
            <w:pPr>
              <w:jc w:val="center"/>
            </w:pPr>
            <w:r>
              <w:lastRenderedPageBreak/>
              <w:t>NAP</w:t>
            </w:r>
          </w:p>
        </w:tc>
        <w:tc>
          <w:tcPr>
            <w:tcW w:w="5987" w:type="dxa"/>
          </w:tcPr>
          <w:p w14:paraId="1253CE44" w14:textId="097B9ECB" w:rsidR="006E115B" w:rsidRDefault="006E115B" w:rsidP="006E115B">
            <w:r>
              <w:t>Изискването не е приложимо към технологията.</w:t>
            </w:r>
          </w:p>
        </w:tc>
      </w:tr>
      <w:tr w:rsidR="006E115B" w14:paraId="226DBD2E" w14:textId="77777777" w:rsidTr="007E030D">
        <w:tc>
          <w:tcPr>
            <w:tcW w:w="13495" w:type="dxa"/>
            <w:gridSpan w:val="4"/>
          </w:tcPr>
          <w:p w14:paraId="20F2ECA8" w14:textId="1614548B" w:rsidR="006E115B" w:rsidRPr="003E1B09" w:rsidRDefault="006E115B" w:rsidP="006E115B">
            <w:pPr>
              <w:jc w:val="center"/>
              <w:rPr>
                <w:i/>
                <w:iCs/>
              </w:rPr>
            </w:pPr>
            <w:r>
              <w:rPr>
                <w:i/>
              </w:rPr>
              <w:t>Осигуряване на качеството на медицинските облъчвания</w:t>
            </w:r>
          </w:p>
        </w:tc>
      </w:tr>
      <w:tr w:rsidR="008A1D0F" w14:paraId="20459953" w14:textId="77777777" w:rsidTr="00160C16">
        <w:tc>
          <w:tcPr>
            <w:tcW w:w="797" w:type="dxa"/>
          </w:tcPr>
          <w:p w14:paraId="6C4B4490" w14:textId="08EA1169" w:rsidR="008A1D0F" w:rsidRDefault="008A1D0F" w:rsidP="008A1D0F">
            <w:r>
              <w:t>3.170.</w:t>
            </w:r>
          </w:p>
        </w:tc>
        <w:tc>
          <w:tcPr>
            <w:tcW w:w="5152" w:type="dxa"/>
          </w:tcPr>
          <w:p w14:paraId="1E923449" w14:textId="01B15324" w:rsidR="008A1D0F" w:rsidRDefault="008A1D0F">
            <w:r>
              <w:t xml:space="preserve">При прилагане на изискванията на настоящите стандарти по отношение на системите за управление регистрираните лица и лицензиантите разработват цялостна програма за осигуряване на качеството на медицинското облъчване с активното участие на медицински физици, лекари-радиолози, медицински </w:t>
            </w:r>
            <w:r w:rsidR="00647236">
              <w:t xml:space="preserve">радиологични </w:t>
            </w:r>
            <w:r>
              <w:t>технолози, а за комплексните съоръжения по ядрена медицина – на радиофармацевти и радиохимици, и при необходимост съвместно с други медицински специалисти. Вземат се предвид принципите, установени от Световната здравна организация, Панамериканската здравна организация и съответните професионални организации.</w:t>
            </w:r>
          </w:p>
        </w:tc>
        <w:tc>
          <w:tcPr>
            <w:tcW w:w="1559" w:type="dxa"/>
          </w:tcPr>
          <w:p w14:paraId="69ECA49E" w14:textId="50E721C4" w:rsidR="008A1D0F" w:rsidRDefault="008A1D0F" w:rsidP="008A1D0F">
            <w:pPr>
              <w:jc w:val="center"/>
            </w:pPr>
            <w:r>
              <w:t>NAP</w:t>
            </w:r>
          </w:p>
        </w:tc>
        <w:tc>
          <w:tcPr>
            <w:tcW w:w="5987" w:type="dxa"/>
          </w:tcPr>
          <w:p w14:paraId="367421E8" w14:textId="4E072AE1" w:rsidR="008A1D0F" w:rsidRDefault="008A1D0F" w:rsidP="008A1D0F">
            <w:r>
              <w:t>Изискването не е приложимо към технологията.</w:t>
            </w:r>
          </w:p>
        </w:tc>
      </w:tr>
      <w:tr w:rsidR="008A1D0F" w14:paraId="502F4F7A" w14:textId="77777777" w:rsidTr="00160C16">
        <w:tc>
          <w:tcPr>
            <w:tcW w:w="797" w:type="dxa"/>
          </w:tcPr>
          <w:p w14:paraId="60330EF3" w14:textId="334B606E" w:rsidR="008A1D0F" w:rsidRDefault="008A1D0F" w:rsidP="008A1D0F">
            <w:r>
              <w:t>3.171.</w:t>
            </w:r>
          </w:p>
        </w:tc>
        <w:tc>
          <w:tcPr>
            <w:tcW w:w="5152" w:type="dxa"/>
          </w:tcPr>
          <w:p w14:paraId="0ECBFD0B" w14:textId="77777777" w:rsidR="004A322B" w:rsidRDefault="008A1D0F" w:rsidP="004A322B">
            <w:pPr>
              <w:spacing w:after="0"/>
            </w:pPr>
            <w:r>
              <w:t>Регистрираните лица и лицензиантите гарантират, че програмите за осигуряване на качеството при медицинското облъчване включват, както е подходящо за медицинското съоръжение за лъчелечение:</w:t>
            </w:r>
            <w:r>
              <w:br/>
              <w:t>(а) измервания на физичните параметри на медицинско радиологично оборудване, извършени от или под надзора на медицински физик:</w:t>
            </w:r>
          </w:p>
          <w:p w14:paraId="4A007FF9" w14:textId="77777777" w:rsidR="004A322B" w:rsidRDefault="008A1D0F" w:rsidP="004A322B">
            <w:pPr>
              <w:spacing w:after="0"/>
              <w:ind w:left="616"/>
            </w:pPr>
            <w:r>
              <w:t xml:space="preserve">(i) при приемането и въвеждането в експлоатация на оборудването преди клиничната му употреба върху пациенти; </w:t>
            </w:r>
            <w:r>
              <w:br/>
            </w:r>
            <w:r>
              <w:lastRenderedPageBreak/>
              <w:t xml:space="preserve">(ii) периодично след това; </w:t>
            </w:r>
            <w:r>
              <w:br/>
              <w:t xml:space="preserve">(iii) след всяка основна процедура по поддръжка, която би могла да повлияе на защитата и безопасността на пациентите; </w:t>
            </w:r>
            <w:r>
              <w:br/>
              <w:t>(iv) след всяко инсталиране на нов софтуер или промяна на съществуващ софтуер, която би могла да повлияе на защитата и безопасността на пациентите;</w:t>
            </w:r>
          </w:p>
          <w:p w14:paraId="21D15A91" w14:textId="2BF3FB68" w:rsidR="008A1D0F" w:rsidRDefault="008A1D0F" w:rsidP="008A1D0F">
            <w:r>
              <w:t xml:space="preserve">(б) изпълнение на коригиращи действия, ако измерените стойности на физичните параметри, споменати в буква а) по-горе, са извън установените допустими граници; </w:t>
            </w:r>
            <w:r>
              <w:br/>
              <w:t xml:space="preserve">(в) проверка на съответните физични и клинични фактори, използвани при радиологичните процедури; </w:t>
            </w:r>
            <w:r>
              <w:br/>
              <w:t xml:space="preserve">(г) поддържане на записи за съответните процедури и резултати; </w:t>
            </w:r>
            <w:r>
              <w:br/>
              <w:t>(д) периодични проверки на калибрирането и условията на работа на дозиметричното оборудване и оборудването за мониторинг.</w:t>
            </w:r>
          </w:p>
        </w:tc>
        <w:tc>
          <w:tcPr>
            <w:tcW w:w="1559" w:type="dxa"/>
          </w:tcPr>
          <w:p w14:paraId="778C41CB" w14:textId="48AE2021" w:rsidR="008A1D0F" w:rsidRDefault="008A1D0F" w:rsidP="008A1D0F">
            <w:pPr>
              <w:jc w:val="center"/>
            </w:pPr>
            <w:r>
              <w:lastRenderedPageBreak/>
              <w:t>NAP</w:t>
            </w:r>
          </w:p>
        </w:tc>
        <w:tc>
          <w:tcPr>
            <w:tcW w:w="5987" w:type="dxa"/>
          </w:tcPr>
          <w:p w14:paraId="5AC4EFC5" w14:textId="5B13684E" w:rsidR="008A1D0F" w:rsidRDefault="008A1D0F" w:rsidP="008A1D0F">
            <w:r>
              <w:t>Изискването не е приложимо към технологията.</w:t>
            </w:r>
          </w:p>
        </w:tc>
      </w:tr>
      <w:tr w:rsidR="008A1D0F" w14:paraId="54B199EA" w14:textId="77777777" w:rsidTr="00160C16">
        <w:tc>
          <w:tcPr>
            <w:tcW w:w="797" w:type="dxa"/>
          </w:tcPr>
          <w:p w14:paraId="27BF66FD" w14:textId="79978DC1" w:rsidR="008A1D0F" w:rsidRDefault="008A1D0F" w:rsidP="008A1D0F">
            <w:r>
              <w:t>3.172.</w:t>
            </w:r>
          </w:p>
        </w:tc>
        <w:tc>
          <w:tcPr>
            <w:tcW w:w="5152" w:type="dxa"/>
          </w:tcPr>
          <w:p w14:paraId="74DEB054" w14:textId="68E6122E" w:rsidR="008A1D0F" w:rsidRDefault="008A1D0F" w:rsidP="00723410">
            <w:r>
              <w:t>Регистрираните лица и лицензиантите гарантират, че се извършват редовни и независими одити на програмата за осигуряване на качеството на медицинското облъчване и че тяхната честота е в съответствие със сложността на извършваните радиологични процедури и свързаните с тях рискове.</w:t>
            </w:r>
          </w:p>
        </w:tc>
        <w:tc>
          <w:tcPr>
            <w:tcW w:w="1559" w:type="dxa"/>
          </w:tcPr>
          <w:p w14:paraId="1E1F7E1B" w14:textId="44D82FAB" w:rsidR="008A1D0F" w:rsidRDefault="008A1D0F" w:rsidP="008A1D0F">
            <w:pPr>
              <w:jc w:val="center"/>
            </w:pPr>
            <w:r>
              <w:t>NAP</w:t>
            </w:r>
          </w:p>
        </w:tc>
        <w:tc>
          <w:tcPr>
            <w:tcW w:w="5987" w:type="dxa"/>
          </w:tcPr>
          <w:p w14:paraId="39358164" w14:textId="34A988B1" w:rsidR="008A1D0F" w:rsidRDefault="008A1D0F" w:rsidP="008A1D0F">
            <w:r>
              <w:t>Изискването не е приложимо към технологията.</w:t>
            </w:r>
          </w:p>
        </w:tc>
      </w:tr>
      <w:tr w:rsidR="008A1D0F" w14:paraId="7D052C75" w14:textId="77777777" w:rsidTr="007E030D">
        <w:tc>
          <w:tcPr>
            <w:tcW w:w="13495" w:type="dxa"/>
            <w:gridSpan w:val="4"/>
          </w:tcPr>
          <w:p w14:paraId="0DA1389A" w14:textId="0ACF3F1C" w:rsidR="008A1D0F" w:rsidRPr="003E1B09" w:rsidRDefault="004B675C" w:rsidP="008A1D0F">
            <w:pPr>
              <w:jc w:val="center"/>
              <w:rPr>
                <w:i/>
                <w:iCs/>
              </w:rPr>
            </w:pPr>
            <w:r>
              <w:rPr>
                <w:i/>
              </w:rPr>
              <w:t>Дозово ограничение</w:t>
            </w:r>
          </w:p>
        </w:tc>
      </w:tr>
      <w:tr w:rsidR="007121BE" w14:paraId="7E4AC177" w14:textId="77777777" w:rsidTr="00160C16">
        <w:tc>
          <w:tcPr>
            <w:tcW w:w="797" w:type="dxa"/>
          </w:tcPr>
          <w:p w14:paraId="7123045E" w14:textId="75E01F94" w:rsidR="007121BE" w:rsidRDefault="007121BE" w:rsidP="007121BE">
            <w:r>
              <w:lastRenderedPageBreak/>
              <w:t>3.173.</w:t>
            </w:r>
          </w:p>
        </w:tc>
        <w:tc>
          <w:tcPr>
            <w:tcW w:w="5152" w:type="dxa"/>
          </w:tcPr>
          <w:p w14:paraId="676B6FD3" w14:textId="4BB4BD09" w:rsidR="007121BE" w:rsidRDefault="007121BE">
            <w:r>
              <w:t xml:space="preserve">Регистрираните лица и лицензиантите гарантират, че съответните </w:t>
            </w:r>
            <w:r w:rsidR="004B675C">
              <w:t>дозови ограничения</w:t>
            </w:r>
            <w:r>
              <w:t xml:space="preserve"> (т. 3.149 (а) (i)) се използват при оптимизирането на защитата и безопасността в случая на всяка радиологична процедура, при която дадено лице действа като лице, осигуряващо грижи и комфортни условия за пациентите.</w:t>
            </w:r>
          </w:p>
        </w:tc>
        <w:tc>
          <w:tcPr>
            <w:tcW w:w="1559" w:type="dxa"/>
          </w:tcPr>
          <w:p w14:paraId="1FADDE3A" w14:textId="5624BA45" w:rsidR="007121BE" w:rsidRDefault="007121BE" w:rsidP="007121BE">
            <w:pPr>
              <w:jc w:val="center"/>
            </w:pPr>
            <w:r>
              <w:t>NAP</w:t>
            </w:r>
          </w:p>
        </w:tc>
        <w:tc>
          <w:tcPr>
            <w:tcW w:w="5987" w:type="dxa"/>
          </w:tcPr>
          <w:p w14:paraId="6C33121D" w14:textId="5A0AD08B" w:rsidR="007121BE" w:rsidRDefault="007121BE" w:rsidP="007121BE">
            <w:r>
              <w:t>Изискването не е приложимо към технологията.</w:t>
            </w:r>
          </w:p>
        </w:tc>
      </w:tr>
      <w:tr w:rsidR="007121BE" w14:paraId="62643299" w14:textId="77777777" w:rsidTr="00160C16">
        <w:tc>
          <w:tcPr>
            <w:tcW w:w="797" w:type="dxa"/>
          </w:tcPr>
          <w:p w14:paraId="5939C717" w14:textId="62A9EE86" w:rsidR="007121BE" w:rsidRDefault="007121BE" w:rsidP="007121BE">
            <w:r>
              <w:t>3.174.</w:t>
            </w:r>
          </w:p>
        </w:tc>
        <w:tc>
          <w:tcPr>
            <w:tcW w:w="5152" w:type="dxa"/>
          </w:tcPr>
          <w:p w14:paraId="18979267" w14:textId="27B99F6F" w:rsidR="007121BE" w:rsidRDefault="007121BE" w:rsidP="00723410">
            <w:r>
              <w:t>Регистрираните лица и лицензиантите гарантират, че във всеки конкретен случай в рамките на предлаганите биомедицински изследвания (т. 3.161) при оптимизирането на защитата и безопасността на лицата, подложени на облъчване в рамките на програма за биомедицински изследвания, се прилагат пределните дози, посочени или одобрени от комисията по етика (или друг институционален орган, на който съответните органи са възложили функции, подобни на тези на комисия по етика).</w:t>
            </w:r>
          </w:p>
        </w:tc>
        <w:tc>
          <w:tcPr>
            <w:tcW w:w="1559" w:type="dxa"/>
          </w:tcPr>
          <w:p w14:paraId="09D8331E" w14:textId="691EC0A6" w:rsidR="007121BE" w:rsidRDefault="007121BE" w:rsidP="007121BE">
            <w:pPr>
              <w:jc w:val="center"/>
            </w:pPr>
            <w:r>
              <w:t>NAP</w:t>
            </w:r>
          </w:p>
        </w:tc>
        <w:tc>
          <w:tcPr>
            <w:tcW w:w="5987" w:type="dxa"/>
          </w:tcPr>
          <w:p w14:paraId="462DB421" w14:textId="5BD17D37" w:rsidR="007121BE" w:rsidRDefault="007121BE" w:rsidP="007121BE">
            <w:r>
              <w:t>Изискването не е приложимо към технологията.</w:t>
            </w:r>
          </w:p>
        </w:tc>
      </w:tr>
    </w:tbl>
    <w:p w14:paraId="65483B03" w14:textId="4FEACC51" w:rsidR="00683002" w:rsidRPr="00EE3F59" w:rsidRDefault="00EE3F59" w:rsidP="00190D0E">
      <w:pPr>
        <w:pStyle w:val="Heading3"/>
        <w:spacing w:before="240"/>
        <w:rPr>
          <w:caps/>
        </w:rPr>
      </w:pPr>
      <w:bookmarkStart w:id="72" w:name="_Toc155347816"/>
      <w:r>
        <w:t>Изискване 39: Бременни или кърмещи пациентки</w:t>
      </w:r>
      <w:bookmarkEnd w:id="72"/>
    </w:p>
    <w:tbl>
      <w:tblPr>
        <w:tblStyle w:val="TableGrid"/>
        <w:tblW w:w="13495" w:type="dxa"/>
        <w:tblLayout w:type="fixed"/>
        <w:tblLook w:val="04A0" w:firstRow="1" w:lastRow="0" w:firstColumn="1" w:lastColumn="0" w:noHBand="0" w:noVBand="1"/>
      </w:tblPr>
      <w:tblGrid>
        <w:gridCol w:w="797"/>
        <w:gridCol w:w="5152"/>
        <w:gridCol w:w="1559"/>
        <w:gridCol w:w="5987"/>
      </w:tblGrid>
      <w:tr w:rsidR="00683002" w14:paraId="17AE0C56" w14:textId="77777777" w:rsidTr="00160C16">
        <w:trPr>
          <w:tblHeader/>
        </w:trPr>
        <w:tc>
          <w:tcPr>
            <w:tcW w:w="797" w:type="dxa"/>
          </w:tcPr>
          <w:p w14:paraId="1F0CBE07" w14:textId="77777777" w:rsidR="00683002" w:rsidRDefault="00683002" w:rsidP="00B723E1"/>
        </w:tc>
        <w:tc>
          <w:tcPr>
            <w:tcW w:w="5152" w:type="dxa"/>
          </w:tcPr>
          <w:p w14:paraId="46E2E783" w14:textId="77777777" w:rsidR="00683002" w:rsidRDefault="00683002" w:rsidP="00B723E1">
            <w:r>
              <w:rPr>
                <w:b/>
              </w:rPr>
              <w:t>Описание</w:t>
            </w:r>
          </w:p>
        </w:tc>
        <w:tc>
          <w:tcPr>
            <w:tcW w:w="1559" w:type="dxa"/>
          </w:tcPr>
          <w:p w14:paraId="09D865AF" w14:textId="77777777" w:rsidR="00683002" w:rsidRDefault="00683002" w:rsidP="00B723E1">
            <w:r>
              <w:rPr>
                <w:b/>
              </w:rPr>
              <w:t>Съответствие</w:t>
            </w:r>
          </w:p>
        </w:tc>
        <w:tc>
          <w:tcPr>
            <w:tcW w:w="5987" w:type="dxa"/>
          </w:tcPr>
          <w:p w14:paraId="4DC19CED" w14:textId="77777777" w:rsidR="00683002" w:rsidRDefault="00683002" w:rsidP="00B723E1">
            <w:r>
              <w:rPr>
                <w:b/>
              </w:rPr>
              <w:t>Обосновка</w:t>
            </w:r>
          </w:p>
        </w:tc>
      </w:tr>
      <w:tr w:rsidR="009E5D2A" w14:paraId="56AFC532" w14:textId="77777777" w:rsidTr="00160C16">
        <w:tc>
          <w:tcPr>
            <w:tcW w:w="797" w:type="dxa"/>
          </w:tcPr>
          <w:p w14:paraId="0B1C09B9" w14:textId="77777777" w:rsidR="009E5D2A" w:rsidRDefault="009E5D2A" w:rsidP="009E5D2A"/>
        </w:tc>
        <w:tc>
          <w:tcPr>
            <w:tcW w:w="5152" w:type="dxa"/>
          </w:tcPr>
          <w:p w14:paraId="4DADC6D0" w14:textId="08CEA55C" w:rsidR="009E5D2A" w:rsidRPr="003E1B09" w:rsidRDefault="009E5D2A" w:rsidP="009E5D2A">
            <w:pPr>
              <w:rPr>
                <w:b/>
                <w:bCs/>
              </w:rPr>
            </w:pPr>
            <w:r>
              <w:rPr>
                <w:b/>
              </w:rPr>
              <w:t>Регистрираните лица и лицензиантите гарантират, че са налице мерки за подходяща радиационна защита на бременни пациентки, пациентки с възможна бременност или кърмещи пациентки.</w:t>
            </w:r>
          </w:p>
        </w:tc>
        <w:tc>
          <w:tcPr>
            <w:tcW w:w="1559" w:type="dxa"/>
          </w:tcPr>
          <w:p w14:paraId="1EB0F3C7" w14:textId="624A0B58" w:rsidR="009E5D2A" w:rsidRDefault="009E5D2A" w:rsidP="009E5D2A">
            <w:pPr>
              <w:jc w:val="center"/>
            </w:pPr>
            <w:r>
              <w:t>NAP</w:t>
            </w:r>
          </w:p>
        </w:tc>
        <w:tc>
          <w:tcPr>
            <w:tcW w:w="5987" w:type="dxa"/>
          </w:tcPr>
          <w:p w14:paraId="0584E772" w14:textId="2679F714" w:rsidR="009E5D2A" w:rsidRDefault="009E5D2A" w:rsidP="009E5D2A">
            <w:r>
              <w:t>Изискването не е приложимо към технологията.</w:t>
            </w:r>
          </w:p>
        </w:tc>
      </w:tr>
      <w:tr w:rsidR="009E5D2A" w14:paraId="235F4E79" w14:textId="77777777" w:rsidTr="00160C16">
        <w:tc>
          <w:tcPr>
            <w:tcW w:w="797" w:type="dxa"/>
          </w:tcPr>
          <w:p w14:paraId="302D05A1" w14:textId="60DC8221" w:rsidR="009E5D2A" w:rsidRDefault="009E5D2A" w:rsidP="009E5D2A">
            <w:r>
              <w:lastRenderedPageBreak/>
              <w:t>3.175.</w:t>
            </w:r>
          </w:p>
        </w:tc>
        <w:tc>
          <w:tcPr>
            <w:tcW w:w="5152" w:type="dxa"/>
          </w:tcPr>
          <w:p w14:paraId="4A3DABA2" w14:textId="4FA2CB39" w:rsidR="009E5D2A" w:rsidRDefault="009E5D2A" w:rsidP="009E5D2A">
            <w:r>
              <w:t>Регистрираните лица и лицензиантите гарантират, че на обществени места, в чакалните за пациенти, в кабинетите и на други подходящи места са поставени знаци на подходящи езици, както и че при необходимост се използват и други средства за комуникация</w:t>
            </w:r>
            <w:r>
              <w:rPr>
                <w:vertAlign w:val="superscript"/>
              </w:rPr>
              <w:t>46</w:t>
            </w:r>
            <w:r>
              <w:t xml:space="preserve">, за да се изиска от пациентките, на които предстои да се извърши радиологична процедура, да уведомят лекаря-рентгенолог, медицинския радиационен технолог или друг персонал, в случай че: </w:t>
            </w:r>
            <w:r>
              <w:br/>
              <w:t xml:space="preserve">(а) пациентката е бременна или е възможно да е бременна; </w:t>
            </w:r>
            <w:r>
              <w:br/>
              <w:t>(б) пациентката кърми, когато планираната радиологична процедура включва прилагане на радиофармацевтичен препарат.</w:t>
            </w:r>
          </w:p>
        </w:tc>
        <w:tc>
          <w:tcPr>
            <w:tcW w:w="1559" w:type="dxa"/>
          </w:tcPr>
          <w:p w14:paraId="3AEE3DE5" w14:textId="2C5F6247" w:rsidR="009E5D2A" w:rsidRDefault="009E5D2A" w:rsidP="009E5D2A">
            <w:pPr>
              <w:jc w:val="center"/>
            </w:pPr>
            <w:r>
              <w:t>NAP</w:t>
            </w:r>
          </w:p>
        </w:tc>
        <w:tc>
          <w:tcPr>
            <w:tcW w:w="5987" w:type="dxa"/>
          </w:tcPr>
          <w:p w14:paraId="60C93E13" w14:textId="25E1DD25" w:rsidR="009E5D2A" w:rsidRDefault="009E5D2A" w:rsidP="009E5D2A">
            <w:r>
              <w:t>Изискването не е приложимо към технологията.</w:t>
            </w:r>
          </w:p>
        </w:tc>
      </w:tr>
      <w:tr w:rsidR="009E5D2A" w14:paraId="5D2ACFC5" w14:textId="77777777" w:rsidTr="00160C16">
        <w:tc>
          <w:tcPr>
            <w:tcW w:w="797" w:type="dxa"/>
          </w:tcPr>
          <w:p w14:paraId="1A523D32" w14:textId="431EA7E5" w:rsidR="009E5D2A" w:rsidRDefault="009E5D2A" w:rsidP="009E5D2A">
            <w:r>
              <w:t>3.176.</w:t>
            </w:r>
          </w:p>
        </w:tc>
        <w:tc>
          <w:tcPr>
            <w:tcW w:w="5152" w:type="dxa"/>
          </w:tcPr>
          <w:p w14:paraId="60025458" w14:textId="4CEB1F0F" w:rsidR="009E5D2A" w:rsidRDefault="009E5D2A" w:rsidP="009E5D2A">
            <w:r>
              <w:t>Регистрираните лица и лицензиантите гарантират, че съществуват процедури за установяване състоянието на бременност на пациентка с репродуктивни способности преди извършването на радиологична процедура, която може да доведе до значителна доза за зародиша или плода, така че тази информация да може да бъде взета предвид при обосновката на радиологичната процедура (т. 3.155 и т. 3.156) и при оптимизирането на защитата и безопасността (т. 3.166).</w:t>
            </w:r>
          </w:p>
        </w:tc>
        <w:tc>
          <w:tcPr>
            <w:tcW w:w="1559" w:type="dxa"/>
          </w:tcPr>
          <w:p w14:paraId="546AA21D" w14:textId="20A641B7" w:rsidR="009E5D2A" w:rsidRDefault="009E5D2A" w:rsidP="009E5D2A">
            <w:pPr>
              <w:jc w:val="center"/>
            </w:pPr>
            <w:r>
              <w:t>NAP</w:t>
            </w:r>
          </w:p>
        </w:tc>
        <w:tc>
          <w:tcPr>
            <w:tcW w:w="5987" w:type="dxa"/>
          </w:tcPr>
          <w:p w14:paraId="19DA0CD4" w14:textId="2533CE0B" w:rsidR="009E5D2A" w:rsidRDefault="009E5D2A" w:rsidP="009E5D2A">
            <w:r>
              <w:t>Изискването не е приложимо към технологията.</w:t>
            </w:r>
          </w:p>
        </w:tc>
      </w:tr>
      <w:tr w:rsidR="00242262" w14:paraId="2C8B9E6B" w14:textId="77777777" w:rsidTr="00160C16">
        <w:tc>
          <w:tcPr>
            <w:tcW w:w="797" w:type="dxa"/>
          </w:tcPr>
          <w:p w14:paraId="4E719F98" w14:textId="0EEF34B2" w:rsidR="00242262" w:rsidRDefault="00242262" w:rsidP="00242262">
            <w:r>
              <w:t>3.177.</w:t>
            </w:r>
          </w:p>
        </w:tc>
        <w:tc>
          <w:tcPr>
            <w:tcW w:w="5152" w:type="dxa"/>
          </w:tcPr>
          <w:p w14:paraId="78045AB0" w14:textId="29968E5C" w:rsidR="00242262" w:rsidRDefault="00242262" w:rsidP="00A55601">
            <w:pPr>
              <w:spacing w:after="0"/>
            </w:pPr>
            <w:r>
              <w:t xml:space="preserve">Регистрираните лица и лицензиантите осигуряват вземането на мерки за установяване на това, че пациентка не кърми, преди извършването на радиологична процедура, включваща прилагане на </w:t>
            </w:r>
            <w:r>
              <w:lastRenderedPageBreak/>
              <w:t>радиофармацевтичен препарат, който би могъл да доведе до значителна доза за кърмачето, така че тази информация да може да бъде взета предвид при обосновката на радиологичната процедура (т. 3.155 и т. 3.157) и при оптимизирането на защитата и безопасността (т. 3.166).</w:t>
            </w:r>
          </w:p>
        </w:tc>
        <w:tc>
          <w:tcPr>
            <w:tcW w:w="1559" w:type="dxa"/>
          </w:tcPr>
          <w:p w14:paraId="5A181549" w14:textId="56DB98AB" w:rsidR="00242262" w:rsidRDefault="00242262" w:rsidP="00242262">
            <w:pPr>
              <w:jc w:val="center"/>
            </w:pPr>
            <w:r>
              <w:lastRenderedPageBreak/>
              <w:t>NAP</w:t>
            </w:r>
          </w:p>
        </w:tc>
        <w:tc>
          <w:tcPr>
            <w:tcW w:w="5987" w:type="dxa"/>
          </w:tcPr>
          <w:p w14:paraId="68F57B64" w14:textId="417CBF4C" w:rsidR="00242262" w:rsidRDefault="00242262" w:rsidP="00242262">
            <w:r>
              <w:t>Изискването не е приложимо към технологията.</w:t>
            </w:r>
          </w:p>
        </w:tc>
      </w:tr>
    </w:tbl>
    <w:p w14:paraId="1EE2EB76" w14:textId="26BC79AA" w:rsidR="00683002" w:rsidRPr="00EE3F59" w:rsidRDefault="00EE3F59" w:rsidP="00190D0E">
      <w:pPr>
        <w:pStyle w:val="Heading3"/>
        <w:spacing w:before="240"/>
        <w:rPr>
          <w:caps/>
        </w:rPr>
      </w:pPr>
      <w:bookmarkStart w:id="73" w:name="_Toc155347817"/>
      <w:r>
        <w:t>Изискване 40: Изписване на пациенти след радионуклидна терапия</w:t>
      </w:r>
      <w:bookmarkEnd w:id="73"/>
    </w:p>
    <w:tbl>
      <w:tblPr>
        <w:tblStyle w:val="TableGrid"/>
        <w:tblW w:w="13495" w:type="dxa"/>
        <w:tblLayout w:type="fixed"/>
        <w:tblLook w:val="04A0" w:firstRow="1" w:lastRow="0" w:firstColumn="1" w:lastColumn="0" w:noHBand="0" w:noVBand="1"/>
      </w:tblPr>
      <w:tblGrid>
        <w:gridCol w:w="797"/>
        <w:gridCol w:w="5152"/>
        <w:gridCol w:w="1559"/>
        <w:gridCol w:w="5987"/>
      </w:tblGrid>
      <w:tr w:rsidR="00683002" w14:paraId="5D57E071" w14:textId="77777777" w:rsidTr="00431B8F">
        <w:trPr>
          <w:tblHeader/>
        </w:trPr>
        <w:tc>
          <w:tcPr>
            <w:tcW w:w="797" w:type="dxa"/>
          </w:tcPr>
          <w:p w14:paraId="026FD906" w14:textId="77777777" w:rsidR="00683002" w:rsidRDefault="00683002" w:rsidP="00B723E1"/>
        </w:tc>
        <w:tc>
          <w:tcPr>
            <w:tcW w:w="5152" w:type="dxa"/>
          </w:tcPr>
          <w:p w14:paraId="17E575C7" w14:textId="77777777" w:rsidR="00683002" w:rsidRDefault="00683002" w:rsidP="00B723E1">
            <w:r>
              <w:rPr>
                <w:b/>
              </w:rPr>
              <w:t>Описание</w:t>
            </w:r>
          </w:p>
        </w:tc>
        <w:tc>
          <w:tcPr>
            <w:tcW w:w="1559" w:type="dxa"/>
          </w:tcPr>
          <w:p w14:paraId="58E4086B" w14:textId="77777777" w:rsidR="00683002" w:rsidRDefault="00683002" w:rsidP="00B723E1">
            <w:r>
              <w:rPr>
                <w:b/>
              </w:rPr>
              <w:t>Съответствие</w:t>
            </w:r>
          </w:p>
        </w:tc>
        <w:tc>
          <w:tcPr>
            <w:tcW w:w="5987" w:type="dxa"/>
          </w:tcPr>
          <w:p w14:paraId="3F23D965" w14:textId="77777777" w:rsidR="00683002" w:rsidRDefault="00683002" w:rsidP="00B723E1">
            <w:r>
              <w:rPr>
                <w:b/>
              </w:rPr>
              <w:t>Обосновка</w:t>
            </w:r>
          </w:p>
        </w:tc>
      </w:tr>
      <w:tr w:rsidR="00EA306E" w14:paraId="7F76D24A" w14:textId="77777777" w:rsidTr="00431B8F">
        <w:tc>
          <w:tcPr>
            <w:tcW w:w="797" w:type="dxa"/>
          </w:tcPr>
          <w:p w14:paraId="0F4A2658" w14:textId="77777777" w:rsidR="00EA306E" w:rsidRDefault="00EA306E" w:rsidP="00EA306E"/>
        </w:tc>
        <w:tc>
          <w:tcPr>
            <w:tcW w:w="5152" w:type="dxa"/>
          </w:tcPr>
          <w:p w14:paraId="2AADC8E6" w14:textId="126429BA" w:rsidR="00EA306E" w:rsidRPr="00D81CCE" w:rsidRDefault="00EA306E" w:rsidP="00EA306E">
            <w:pPr>
              <w:rPr>
                <w:b/>
                <w:bCs/>
              </w:rPr>
            </w:pPr>
            <w:r>
              <w:rPr>
                <w:b/>
              </w:rPr>
              <w:t>Регистрираните лица и лицензиантите гарантират, че са налице мерки за осигуряване на подходяща радиационна защита за лица от населението и за членове на семейството, преди един пациент да бъде изписан след радионуклидна терапия.</w:t>
            </w:r>
          </w:p>
        </w:tc>
        <w:tc>
          <w:tcPr>
            <w:tcW w:w="1559" w:type="dxa"/>
          </w:tcPr>
          <w:p w14:paraId="6800EB9B" w14:textId="10300898" w:rsidR="00EA306E" w:rsidRDefault="00EA306E" w:rsidP="00EA306E">
            <w:pPr>
              <w:jc w:val="center"/>
            </w:pPr>
            <w:r>
              <w:t>NAP</w:t>
            </w:r>
          </w:p>
        </w:tc>
        <w:tc>
          <w:tcPr>
            <w:tcW w:w="5987" w:type="dxa"/>
          </w:tcPr>
          <w:p w14:paraId="065B812A" w14:textId="1DC66E50" w:rsidR="00EA306E" w:rsidRDefault="00EA306E" w:rsidP="00EA306E">
            <w:r>
              <w:t>Изискването не е приложимо към технологията.</w:t>
            </w:r>
          </w:p>
        </w:tc>
      </w:tr>
      <w:tr w:rsidR="00EA306E" w14:paraId="1B368F75" w14:textId="77777777" w:rsidTr="00431B8F">
        <w:tc>
          <w:tcPr>
            <w:tcW w:w="797" w:type="dxa"/>
          </w:tcPr>
          <w:p w14:paraId="0C6E5D44" w14:textId="618CDB81" w:rsidR="00EA306E" w:rsidRDefault="00EA306E" w:rsidP="00EA306E">
            <w:r>
              <w:t>3.178.</w:t>
            </w:r>
          </w:p>
        </w:tc>
        <w:tc>
          <w:tcPr>
            <w:tcW w:w="5152" w:type="dxa"/>
          </w:tcPr>
          <w:p w14:paraId="1CC2453E" w14:textId="6F92A470" w:rsidR="004A322B" w:rsidRDefault="00EA306E" w:rsidP="004A322B">
            <w:pPr>
              <w:spacing w:after="0"/>
            </w:pPr>
            <w:r>
              <w:t xml:space="preserve">Лекарят-радиолог гарантира, че нито един пациент, който е преминал терапевтична радиологична процедура със </w:t>
            </w:r>
            <w:r w:rsidR="004B675C">
              <w:t xml:space="preserve">закрит </w:t>
            </w:r>
            <w:r>
              <w:t xml:space="preserve">или </w:t>
            </w:r>
            <w:r w:rsidR="004B675C">
              <w:t xml:space="preserve">открит </w:t>
            </w:r>
            <w:r>
              <w:t>източник, не се изписва от медицинското заведение, в което се е провело облъчване, докато не се установи от медицинския физик или от лицето, отговорно за радиационната защита на заведението, че:</w:t>
            </w:r>
            <w:r>
              <w:br/>
              <w:t xml:space="preserve">(а) активността на радионуклидите в организма на пациента е такава, че дозите, които биха могли да бъдат получени от лица от населението и членове на семейството, биха били в съответствие с изискванията, определени от съответните органи (т. 3.149 (б)); и </w:t>
            </w:r>
            <w:r>
              <w:br/>
            </w:r>
            <w:r>
              <w:lastRenderedPageBreak/>
              <w:t>(б) на пациента или на неговия законен настойник се предоставят:</w:t>
            </w:r>
          </w:p>
          <w:p w14:paraId="00FCC144" w14:textId="599AA53F" w:rsidR="00EA306E" w:rsidRDefault="00EA306E" w:rsidP="00723410">
            <w:pPr>
              <w:ind w:left="618"/>
            </w:pPr>
            <w:r>
              <w:t xml:space="preserve">(i) писмени инструкции за поддържане на дозите за лицата в контакт с пациента или в близост до него на възможно най-ниско ниво и за избягване разпространението на радиоактивно замърсяване; </w:t>
            </w:r>
            <w:r>
              <w:br/>
              <w:t>(ii) информация за радиационните рискове.</w:t>
            </w:r>
          </w:p>
        </w:tc>
        <w:tc>
          <w:tcPr>
            <w:tcW w:w="1559" w:type="dxa"/>
          </w:tcPr>
          <w:p w14:paraId="7B8EECB8" w14:textId="3B668E4B" w:rsidR="00EA306E" w:rsidRDefault="00EA306E" w:rsidP="00EA306E">
            <w:pPr>
              <w:jc w:val="center"/>
            </w:pPr>
            <w:r>
              <w:lastRenderedPageBreak/>
              <w:t>NAP</w:t>
            </w:r>
          </w:p>
        </w:tc>
        <w:tc>
          <w:tcPr>
            <w:tcW w:w="5987" w:type="dxa"/>
          </w:tcPr>
          <w:p w14:paraId="351C56B1" w14:textId="686DA391" w:rsidR="00EA306E" w:rsidRDefault="00EA306E" w:rsidP="00EA306E">
            <w:r>
              <w:t>Изискването не е приложимо към технологията.</w:t>
            </w:r>
          </w:p>
        </w:tc>
      </w:tr>
    </w:tbl>
    <w:p w14:paraId="4B0EC30E" w14:textId="1AC79E7D" w:rsidR="00683002" w:rsidRPr="002D095E" w:rsidRDefault="002D095E" w:rsidP="00190D0E">
      <w:pPr>
        <w:pStyle w:val="Heading3"/>
        <w:spacing w:before="240"/>
        <w:rPr>
          <w:caps/>
        </w:rPr>
      </w:pPr>
      <w:bookmarkStart w:id="74" w:name="_Toc155347818"/>
      <w:r>
        <w:t xml:space="preserve">Изискване 41: </w:t>
      </w:r>
      <w:r w:rsidR="001C18E8">
        <w:t>Непланирано</w:t>
      </w:r>
      <w:r>
        <w:t xml:space="preserve"> и </w:t>
      </w:r>
      <w:r w:rsidR="001C18E8">
        <w:t>инцидентно</w:t>
      </w:r>
      <w:r>
        <w:t xml:space="preserve"> медицинско облъчване</w:t>
      </w:r>
      <w:bookmarkEnd w:id="74"/>
    </w:p>
    <w:tbl>
      <w:tblPr>
        <w:tblStyle w:val="TableGrid"/>
        <w:tblW w:w="13495" w:type="dxa"/>
        <w:tblLayout w:type="fixed"/>
        <w:tblLook w:val="04A0" w:firstRow="1" w:lastRow="0" w:firstColumn="1" w:lastColumn="0" w:noHBand="0" w:noVBand="1"/>
      </w:tblPr>
      <w:tblGrid>
        <w:gridCol w:w="797"/>
        <w:gridCol w:w="5010"/>
        <w:gridCol w:w="1701"/>
        <w:gridCol w:w="5987"/>
      </w:tblGrid>
      <w:tr w:rsidR="00683002" w14:paraId="3136B097" w14:textId="77777777" w:rsidTr="00431B8F">
        <w:trPr>
          <w:tblHeader/>
        </w:trPr>
        <w:tc>
          <w:tcPr>
            <w:tcW w:w="797" w:type="dxa"/>
          </w:tcPr>
          <w:p w14:paraId="105DBD0A" w14:textId="77777777" w:rsidR="00683002" w:rsidRDefault="00683002" w:rsidP="00B723E1"/>
        </w:tc>
        <w:tc>
          <w:tcPr>
            <w:tcW w:w="5010" w:type="dxa"/>
          </w:tcPr>
          <w:p w14:paraId="7729F103" w14:textId="77777777" w:rsidR="00683002" w:rsidRDefault="00683002" w:rsidP="00B723E1">
            <w:r>
              <w:rPr>
                <w:b/>
              </w:rPr>
              <w:t>Описание</w:t>
            </w:r>
          </w:p>
        </w:tc>
        <w:tc>
          <w:tcPr>
            <w:tcW w:w="1701" w:type="dxa"/>
          </w:tcPr>
          <w:p w14:paraId="1F0FEBC4" w14:textId="77777777" w:rsidR="00683002" w:rsidRDefault="00683002" w:rsidP="00B723E1">
            <w:r>
              <w:rPr>
                <w:b/>
              </w:rPr>
              <w:t>Съответствие</w:t>
            </w:r>
          </w:p>
        </w:tc>
        <w:tc>
          <w:tcPr>
            <w:tcW w:w="5987" w:type="dxa"/>
          </w:tcPr>
          <w:p w14:paraId="40D4726E" w14:textId="77777777" w:rsidR="00683002" w:rsidRDefault="00683002" w:rsidP="00B723E1">
            <w:r>
              <w:rPr>
                <w:b/>
              </w:rPr>
              <w:t>Обосновка</w:t>
            </w:r>
          </w:p>
        </w:tc>
      </w:tr>
      <w:tr w:rsidR="00EA306E" w14:paraId="232503C9" w14:textId="77777777" w:rsidTr="00431B8F">
        <w:tc>
          <w:tcPr>
            <w:tcW w:w="797" w:type="dxa"/>
          </w:tcPr>
          <w:p w14:paraId="1A216766" w14:textId="77777777" w:rsidR="00EA306E" w:rsidRDefault="00EA306E" w:rsidP="00EA306E"/>
        </w:tc>
        <w:tc>
          <w:tcPr>
            <w:tcW w:w="5010" w:type="dxa"/>
          </w:tcPr>
          <w:p w14:paraId="0E888608" w14:textId="69CF688A" w:rsidR="00EA306E" w:rsidRPr="00A20ABA" w:rsidRDefault="00EA306E">
            <w:pPr>
              <w:rPr>
                <w:b/>
                <w:bCs/>
              </w:rPr>
            </w:pPr>
            <w:r>
              <w:rPr>
                <w:b/>
              </w:rPr>
              <w:t xml:space="preserve">Регистрираните лица и лицензиантите гарантират, че са предприети всички възможни мерки за свеждане до минимум на вероятността от </w:t>
            </w:r>
            <w:r w:rsidR="001C18E8">
              <w:rPr>
                <w:b/>
              </w:rPr>
              <w:t xml:space="preserve">непланирани </w:t>
            </w:r>
            <w:r>
              <w:rPr>
                <w:b/>
              </w:rPr>
              <w:t xml:space="preserve">или </w:t>
            </w:r>
            <w:r w:rsidR="001C18E8">
              <w:rPr>
                <w:b/>
              </w:rPr>
              <w:t>инцидентни</w:t>
            </w:r>
            <w:r>
              <w:rPr>
                <w:b/>
              </w:rPr>
              <w:t xml:space="preserve"> медицински облъчвания. Регистрираните лица и лицензиантите незабавно разследват непреднамерени или случайни медицински облъчвания и, ако е необходимо, прилагат коригиращи действия.</w:t>
            </w:r>
          </w:p>
        </w:tc>
        <w:tc>
          <w:tcPr>
            <w:tcW w:w="1701" w:type="dxa"/>
          </w:tcPr>
          <w:p w14:paraId="268A8972" w14:textId="663A2940" w:rsidR="00EA306E" w:rsidRDefault="00EA306E" w:rsidP="00EA306E">
            <w:pPr>
              <w:jc w:val="center"/>
            </w:pPr>
            <w:r>
              <w:t>NAP</w:t>
            </w:r>
          </w:p>
        </w:tc>
        <w:tc>
          <w:tcPr>
            <w:tcW w:w="5987" w:type="dxa"/>
          </w:tcPr>
          <w:p w14:paraId="2BC79828" w14:textId="604D7BDA" w:rsidR="00EA306E" w:rsidRDefault="00EA306E" w:rsidP="00EA306E">
            <w:r>
              <w:t>Изискването не е приложимо към технологията.</w:t>
            </w:r>
          </w:p>
        </w:tc>
      </w:tr>
      <w:tr w:rsidR="005C6087" w14:paraId="5B27F8AC" w14:textId="77777777" w:rsidTr="00431B8F">
        <w:tc>
          <w:tcPr>
            <w:tcW w:w="797" w:type="dxa"/>
          </w:tcPr>
          <w:p w14:paraId="5E0EF3E9" w14:textId="6DB62FEC" w:rsidR="005C6087" w:rsidRDefault="005C6087" w:rsidP="005C6087">
            <w:r>
              <w:t>3.179.</w:t>
            </w:r>
          </w:p>
        </w:tc>
        <w:tc>
          <w:tcPr>
            <w:tcW w:w="5010" w:type="dxa"/>
          </w:tcPr>
          <w:p w14:paraId="7EB00CD4" w14:textId="3E04BE5E" w:rsidR="005C6087" w:rsidRDefault="005C6087">
            <w:r>
              <w:t xml:space="preserve">Регистрираните лица и лицензиантите, в съответствие със съответните изисквания на т. 2.51, 3.41-3.42 и 3.49-3.50, гарантират, че са предприети всички възможни мерки за свеждане до минимум на вероятността от </w:t>
            </w:r>
            <w:r w:rsidR="001C18E8">
              <w:t xml:space="preserve">непланирано </w:t>
            </w:r>
            <w:r>
              <w:t xml:space="preserve">или </w:t>
            </w:r>
            <w:r w:rsidR="001C18E8">
              <w:t xml:space="preserve">инцидентно </w:t>
            </w:r>
            <w:r>
              <w:t xml:space="preserve">медицинско облъчване, произтичащо от недостатъци в конструкцията и </w:t>
            </w:r>
            <w:r>
              <w:lastRenderedPageBreak/>
              <w:t>експлоатационни откази на медицинското радиологично оборудване, откази и грешки в софтуера или вследствие на човешка грешка.</w:t>
            </w:r>
          </w:p>
        </w:tc>
        <w:tc>
          <w:tcPr>
            <w:tcW w:w="1701" w:type="dxa"/>
          </w:tcPr>
          <w:p w14:paraId="42E92364" w14:textId="4ECF8BAA" w:rsidR="005C6087" w:rsidRDefault="005C6087" w:rsidP="005C6087">
            <w:pPr>
              <w:jc w:val="center"/>
            </w:pPr>
            <w:r>
              <w:lastRenderedPageBreak/>
              <w:t>NAP</w:t>
            </w:r>
          </w:p>
        </w:tc>
        <w:tc>
          <w:tcPr>
            <w:tcW w:w="5987" w:type="dxa"/>
          </w:tcPr>
          <w:p w14:paraId="04FF8F45" w14:textId="0B2DCA0F" w:rsidR="005C6087" w:rsidRDefault="005C6087" w:rsidP="005C6087">
            <w:r>
              <w:t>Изискването не е приложимо към технологията.</w:t>
            </w:r>
          </w:p>
        </w:tc>
      </w:tr>
      <w:tr w:rsidR="005C6087" w14:paraId="5D16C5C5" w14:textId="77777777" w:rsidTr="009A04E8">
        <w:tc>
          <w:tcPr>
            <w:tcW w:w="13495" w:type="dxa"/>
            <w:gridSpan w:val="4"/>
          </w:tcPr>
          <w:p w14:paraId="73068B31" w14:textId="67ED7726" w:rsidR="005C6087" w:rsidRPr="00A20ABA" w:rsidRDefault="005C6087">
            <w:pPr>
              <w:jc w:val="center"/>
              <w:rPr>
                <w:i/>
                <w:iCs/>
              </w:rPr>
            </w:pPr>
            <w:r>
              <w:rPr>
                <w:i/>
              </w:rPr>
              <w:t xml:space="preserve">Разследване на </w:t>
            </w:r>
            <w:r w:rsidR="001C18E8">
              <w:rPr>
                <w:i/>
              </w:rPr>
              <w:t xml:space="preserve">непланирани </w:t>
            </w:r>
            <w:r>
              <w:rPr>
                <w:i/>
              </w:rPr>
              <w:t xml:space="preserve">и </w:t>
            </w:r>
            <w:r w:rsidR="001C18E8">
              <w:rPr>
                <w:i/>
              </w:rPr>
              <w:t xml:space="preserve">инцидентни </w:t>
            </w:r>
            <w:r>
              <w:rPr>
                <w:i/>
              </w:rPr>
              <w:t>медицински облъчвания</w:t>
            </w:r>
          </w:p>
        </w:tc>
      </w:tr>
      <w:tr w:rsidR="005C6087" w14:paraId="1C15E6BC" w14:textId="77777777" w:rsidTr="00431B8F">
        <w:tc>
          <w:tcPr>
            <w:tcW w:w="797" w:type="dxa"/>
          </w:tcPr>
          <w:p w14:paraId="4DAE07C8" w14:textId="44A9DBF6" w:rsidR="005C6087" w:rsidRDefault="005C6087" w:rsidP="005C6087">
            <w:r>
              <w:t>3.180.</w:t>
            </w:r>
          </w:p>
        </w:tc>
        <w:tc>
          <w:tcPr>
            <w:tcW w:w="5010" w:type="dxa"/>
          </w:tcPr>
          <w:p w14:paraId="286D6F1B" w14:textId="678EDA0E" w:rsidR="004244E0" w:rsidRDefault="005C6087">
            <w:r>
              <w:t xml:space="preserve">Регистрираните лица и лицензиантите трябва незабавно да разследват всеки от следните случаи на </w:t>
            </w:r>
            <w:r w:rsidR="001C18E8" w:rsidRPr="001C18E8">
              <w:t>непланирано или инцидентно</w:t>
            </w:r>
            <w:r w:rsidR="001C18E8" w:rsidRPr="001C18E8" w:rsidDel="001C18E8">
              <w:t xml:space="preserve"> </w:t>
            </w:r>
            <w:r>
              <w:t xml:space="preserve">медицинско облъчване: </w:t>
            </w:r>
            <w:r>
              <w:br/>
              <w:t xml:space="preserve">(а) всякакво медицинско лечение, проведено за неправилен пациент или за неправилна тъкан или орган на пациента, или с използване на неправилен радиофармацевтичен препарат, или с активност, доза или фракциониране на дозата, които се различават значително (над или под) от стойностите, предписани от лекаря-радиолог, или които биха могли да доведат до неоправдано тежки вторични ефекти; </w:t>
            </w:r>
            <w:r>
              <w:br/>
              <w:t xml:space="preserve">(б) всякаква диагностична радиологична процедура или образно контролирана интервенционна процедура, при която е подложен на облъчване неправилен пациент или неправилна тъкан или орган на пациента; </w:t>
            </w:r>
            <w:r>
              <w:br/>
              <w:t xml:space="preserve">(в) всяко облъчване с диагностична цел, което е значително по-голямо от предвиденото; </w:t>
            </w:r>
            <w:r>
              <w:br/>
              <w:t xml:space="preserve">г) всяко облъчване, произтичащо от образно контролирана интервенционна процедура, което е значително по-голямо от предвиденото; </w:t>
            </w:r>
            <w:r>
              <w:br/>
              <w:t xml:space="preserve">д) всяко </w:t>
            </w:r>
            <w:r w:rsidR="001C18E8" w:rsidRPr="001C18E8">
              <w:t xml:space="preserve">непланирано </w:t>
            </w:r>
            <w:r>
              <w:t xml:space="preserve"> облъчване на зародиш или плод в хода на извършване на радиологична </w:t>
            </w:r>
            <w:r>
              <w:lastRenderedPageBreak/>
              <w:t xml:space="preserve">процедура; </w:t>
            </w:r>
            <w:r>
              <w:br/>
              <w:t>е) всеки отказ на медицинско радиологично оборудване, отказ в софтуер или отказ на система, или авария, грешка, неизправност или друго необичайно събитие с потенциал да подложи пациента на медицинско облъчване, съществено различаващо се от предвиденото.</w:t>
            </w:r>
          </w:p>
        </w:tc>
        <w:tc>
          <w:tcPr>
            <w:tcW w:w="1701" w:type="dxa"/>
          </w:tcPr>
          <w:p w14:paraId="094C246C" w14:textId="0B2DC714" w:rsidR="005C6087" w:rsidRDefault="005C6087" w:rsidP="005C6087">
            <w:pPr>
              <w:jc w:val="center"/>
            </w:pPr>
            <w:r>
              <w:lastRenderedPageBreak/>
              <w:t>NAP</w:t>
            </w:r>
          </w:p>
        </w:tc>
        <w:tc>
          <w:tcPr>
            <w:tcW w:w="5987" w:type="dxa"/>
          </w:tcPr>
          <w:p w14:paraId="491DECE5" w14:textId="763B11AB" w:rsidR="005C6087" w:rsidRDefault="005C6087" w:rsidP="005C6087">
            <w:r>
              <w:t>Изискването не е приложимо към технологията.</w:t>
            </w:r>
          </w:p>
        </w:tc>
      </w:tr>
      <w:tr w:rsidR="005C6087" w14:paraId="6123ABC9" w14:textId="77777777" w:rsidTr="00431B8F">
        <w:tc>
          <w:tcPr>
            <w:tcW w:w="797" w:type="dxa"/>
          </w:tcPr>
          <w:p w14:paraId="0F417019" w14:textId="241C5E3F" w:rsidR="005C6087" w:rsidRDefault="005C6087" w:rsidP="005C6087">
            <w:r>
              <w:t>3.181.</w:t>
            </w:r>
          </w:p>
        </w:tc>
        <w:tc>
          <w:tcPr>
            <w:tcW w:w="5010" w:type="dxa"/>
          </w:tcPr>
          <w:p w14:paraId="5C763297" w14:textId="3D502471" w:rsidR="004244E0" w:rsidRPr="00B05245" w:rsidRDefault="005C6087" w:rsidP="005C6087">
            <w:r>
              <w:t xml:space="preserve">Регистрираните лица и лицензиантите при провеждане, както се изисква от т. 3.180, на всякакво разследване на случай на непреднамерено или аварийно медицинско облъчване: </w:t>
            </w:r>
            <w:r>
              <w:br/>
              <w:t xml:space="preserve">(а) изчисляват или оценяват получените дози и тяхното разпределение в пациента; </w:t>
            </w:r>
            <w:r>
              <w:br/>
              <w:t xml:space="preserve">б) посочват коригиращите действия, необходими за предотвратяване на повторното възникване на такова непреднамерено или аварийно медицинско облъчване; </w:t>
            </w:r>
            <w:r>
              <w:br/>
              <w:t xml:space="preserve">в) прилагат всички коригиращи действия, за чието осъществяване носят отговорност; </w:t>
            </w:r>
            <w:r>
              <w:br/>
              <w:t xml:space="preserve">(г) изготвят и съхраняват във възможно най-кратък срок след разследването или при други изисквания на регулаторния орган писмен отчет, в който се посочва причината за </w:t>
            </w:r>
            <w:r w:rsidR="001C18E8" w:rsidRPr="001C18E8">
              <w:t>непланирано или инцидентно</w:t>
            </w:r>
            <w:r>
              <w:t xml:space="preserve"> медицинско облъчване и който включва информацията, посочена в букви а)-в) по-горе, в зависимост от случая, както и всяка друга информация, изисквана от регулаторния орган; и за значителни </w:t>
            </w:r>
            <w:r w:rsidR="001C18E8">
              <w:t>непланирани или инцидентни</w:t>
            </w:r>
            <w:r>
              <w:t xml:space="preserve"> медицински облъчвания или ако регулаторният </w:t>
            </w:r>
            <w:r>
              <w:lastRenderedPageBreak/>
              <w:t xml:space="preserve">орган изисква друго, представят този писмен отчет във възможно най-кратък срок на регулаторния орган и на съответния здравен орган, ако е уместно; </w:t>
            </w:r>
            <w:r>
              <w:br/>
              <w:t xml:space="preserve">д) гарантират, че съответният лекар-радиолог информира насочващия лекар и пациента или законния упълномощен представител на пациента за </w:t>
            </w:r>
            <w:r w:rsidR="001C18E8" w:rsidRPr="001C18E8">
              <w:t>непланирано или инцидентно</w:t>
            </w:r>
            <w:r>
              <w:t xml:space="preserve"> медицинско облъчване.</w:t>
            </w:r>
          </w:p>
        </w:tc>
        <w:tc>
          <w:tcPr>
            <w:tcW w:w="1701" w:type="dxa"/>
          </w:tcPr>
          <w:p w14:paraId="3D7FBDF2" w14:textId="13B5EB05" w:rsidR="005C6087" w:rsidRDefault="005C6087" w:rsidP="005C6087">
            <w:pPr>
              <w:jc w:val="center"/>
            </w:pPr>
            <w:r>
              <w:lastRenderedPageBreak/>
              <w:t>NAP</w:t>
            </w:r>
          </w:p>
        </w:tc>
        <w:tc>
          <w:tcPr>
            <w:tcW w:w="5987" w:type="dxa"/>
          </w:tcPr>
          <w:p w14:paraId="68A6C6C0" w14:textId="4505D8E3" w:rsidR="005C6087" w:rsidRDefault="005C6087" w:rsidP="005C6087">
            <w:r>
              <w:t>Изискването не е приложимо към технологията.</w:t>
            </w:r>
          </w:p>
        </w:tc>
      </w:tr>
    </w:tbl>
    <w:p w14:paraId="4B466FBC" w14:textId="2D5C4EE0" w:rsidR="00683002" w:rsidRPr="00A20ABA" w:rsidRDefault="00A20ABA" w:rsidP="00190D0E">
      <w:pPr>
        <w:pStyle w:val="Heading3"/>
        <w:spacing w:before="240"/>
        <w:rPr>
          <w:caps/>
        </w:rPr>
      </w:pPr>
      <w:bookmarkStart w:id="75" w:name="_Toc155347819"/>
      <w:r>
        <w:t>Изискване 42: Проверки и записи</w:t>
      </w:r>
      <w:bookmarkEnd w:id="75"/>
    </w:p>
    <w:tbl>
      <w:tblPr>
        <w:tblStyle w:val="TableGrid"/>
        <w:tblW w:w="13495" w:type="dxa"/>
        <w:tblLayout w:type="fixed"/>
        <w:tblLook w:val="04A0" w:firstRow="1" w:lastRow="0" w:firstColumn="1" w:lastColumn="0" w:noHBand="0" w:noVBand="1"/>
      </w:tblPr>
      <w:tblGrid>
        <w:gridCol w:w="867"/>
        <w:gridCol w:w="5082"/>
        <w:gridCol w:w="1559"/>
        <w:gridCol w:w="5987"/>
      </w:tblGrid>
      <w:tr w:rsidR="00683002" w14:paraId="414251E7" w14:textId="77777777" w:rsidTr="007A556F">
        <w:trPr>
          <w:tblHeader/>
        </w:trPr>
        <w:tc>
          <w:tcPr>
            <w:tcW w:w="867" w:type="dxa"/>
          </w:tcPr>
          <w:p w14:paraId="6839590F" w14:textId="77777777" w:rsidR="00683002" w:rsidRDefault="00683002" w:rsidP="00B723E1"/>
        </w:tc>
        <w:tc>
          <w:tcPr>
            <w:tcW w:w="5082" w:type="dxa"/>
          </w:tcPr>
          <w:p w14:paraId="7B1A8583" w14:textId="77777777" w:rsidR="00683002" w:rsidRDefault="00683002" w:rsidP="00B723E1">
            <w:r>
              <w:rPr>
                <w:b/>
              </w:rPr>
              <w:t>Описание</w:t>
            </w:r>
          </w:p>
        </w:tc>
        <w:tc>
          <w:tcPr>
            <w:tcW w:w="1559" w:type="dxa"/>
          </w:tcPr>
          <w:p w14:paraId="4380F677" w14:textId="77777777" w:rsidR="00683002" w:rsidRDefault="00683002" w:rsidP="00B723E1">
            <w:r>
              <w:rPr>
                <w:b/>
              </w:rPr>
              <w:t>Съответствие</w:t>
            </w:r>
          </w:p>
        </w:tc>
        <w:tc>
          <w:tcPr>
            <w:tcW w:w="5987" w:type="dxa"/>
          </w:tcPr>
          <w:p w14:paraId="457C0115" w14:textId="77777777" w:rsidR="00683002" w:rsidRDefault="00683002" w:rsidP="00B723E1">
            <w:r>
              <w:rPr>
                <w:b/>
              </w:rPr>
              <w:t>Обосновка</w:t>
            </w:r>
          </w:p>
        </w:tc>
      </w:tr>
      <w:tr w:rsidR="005C6087" w14:paraId="74F0D670" w14:textId="77777777" w:rsidTr="007A556F">
        <w:tc>
          <w:tcPr>
            <w:tcW w:w="867" w:type="dxa"/>
          </w:tcPr>
          <w:p w14:paraId="284CEB81" w14:textId="2940A26D" w:rsidR="005C6087" w:rsidRDefault="005C6087" w:rsidP="005C6087"/>
        </w:tc>
        <w:tc>
          <w:tcPr>
            <w:tcW w:w="5082" w:type="dxa"/>
          </w:tcPr>
          <w:p w14:paraId="29F36C83" w14:textId="078399D3" w:rsidR="00653213" w:rsidRPr="00A20ABA" w:rsidRDefault="005C6087" w:rsidP="005C6087">
            <w:pPr>
              <w:rPr>
                <w:b/>
                <w:bCs/>
              </w:rPr>
            </w:pPr>
            <w:r>
              <w:rPr>
                <w:b/>
              </w:rPr>
              <w:t>Регистрираните лица и лицензиантите осигуряват периодични радиологични проверки в медицинските съоръжения за облъчване и водене на записи.</w:t>
            </w:r>
          </w:p>
        </w:tc>
        <w:tc>
          <w:tcPr>
            <w:tcW w:w="1559" w:type="dxa"/>
          </w:tcPr>
          <w:p w14:paraId="7A969D5A" w14:textId="674FB834" w:rsidR="005C6087" w:rsidRDefault="005C6087" w:rsidP="005C6087">
            <w:pPr>
              <w:jc w:val="center"/>
            </w:pPr>
            <w:r>
              <w:t>NAP</w:t>
            </w:r>
          </w:p>
        </w:tc>
        <w:tc>
          <w:tcPr>
            <w:tcW w:w="5987" w:type="dxa"/>
          </w:tcPr>
          <w:p w14:paraId="7F1F75A2" w14:textId="785A8F29" w:rsidR="005C6087" w:rsidRDefault="005C6087" w:rsidP="005C6087">
            <w:r>
              <w:t>Изискването не е приложимо към технологията.</w:t>
            </w:r>
          </w:p>
        </w:tc>
      </w:tr>
      <w:tr w:rsidR="005C6087" w14:paraId="5152C793" w14:textId="77777777" w:rsidTr="009A04E8">
        <w:tc>
          <w:tcPr>
            <w:tcW w:w="13495" w:type="dxa"/>
            <w:gridSpan w:val="4"/>
          </w:tcPr>
          <w:p w14:paraId="3C598512" w14:textId="58FACFBC" w:rsidR="005C6087" w:rsidRPr="00A20ABA" w:rsidRDefault="005C6087" w:rsidP="005C6087">
            <w:pPr>
              <w:jc w:val="center"/>
              <w:rPr>
                <w:i/>
                <w:iCs/>
              </w:rPr>
            </w:pPr>
            <w:r>
              <w:rPr>
                <w:i/>
              </w:rPr>
              <w:t>Радиологични проверки</w:t>
            </w:r>
          </w:p>
        </w:tc>
      </w:tr>
      <w:tr w:rsidR="005C6087" w14:paraId="2AE2E9F7" w14:textId="77777777" w:rsidTr="007A556F">
        <w:tc>
          <w:tcPr>
            <w:tcW w:w="867" w:type="dxa"/>
          </w:tcPr>
          <w:p w14:paraId="6FBF298B" w14:textId="5A24597A" w:rsidR="005C6087" w:rsidRDefault="005C6087" w:rsidP="005C6087">
            <w:r>
              <w:t>3.182.</w:t>
            </w:r>
          </w:p>
        </w:tc>
        <w:tc>
          <w:tcPr>
            <w:tcW w:w="5082" w:type="dxa"/>
          </w:tcPr>
          <w:p w14:paraId="13A99CDB" w14:textId="4692CCEE" w:rsidR="005C6087" w:rsidRDefault="005C6087">
            <w:r>
              <w:t xml:space="preserve">Регистрираните лица и лицензиантите осигуряват периодично провеждане на радиологични проверки от лекарите-радиолози в съоръжението за медицинско облъчване в сътрудничество с медицинските </w:t>
            </w:r>
            <w:r w:rsidR="00EB4BDB">
              <w:t xml:space="preserve">радиологичните </w:t>
            </w:r>
            <w:r>
              <w:t xml:space="preserve">технолози и медицинските физици. Радиологичната проверка включва проучване и критичен анализ на текущото практическо прилагане на принципите на радиационната защита за обосновка и </w:t>
            </w:r>
            <w:r>
              <w:lastRenderedPageBreak/>
              <w:t>оптимизация на радиологичните процедури, които се извършват в съоръжението за медицинско облъчване.</w:t>
            </w:r>
          </w:p>
        </w:tc>
        <w:tc>
          <w:tcPr>
            <w:tcW w:w="1559" w:type="dxa"/>
          </w:tcPr>
          <w:p w14:paraId="6CF32BA3" w14:textId="10632352" w:rsidR="005C6087" w:rsidRDefault="005C6087" w:rsidP="005C6087">
            <w:pPr>
              <w:jc w:val="center"/>
            </w:pPr>
            <w:r>
              <w:lastRenderedPageBreak/>
              <w:t>NAP</w:t>
            </w:r>
          </w:p>
        </w:tc>
        <w:tc>
          <w:tcPr>
            <w:tcW w:w="5987" w:type="dxa"/>
          </w:tcPr>
          <w:p w14:paraId="47DE0141" w14:textId="464ECBDE" w:rsidR="005C6087" w:rsidRDefault="005C6087" w:rsidP="005C6087">
            <w:r>
              <w:t>Изискването не е приложимо към технологията.</w:t>
            </w:r>
          </w:p>
        </w:tc>
      </w:tr>
      <w:tr w:rsidR="005C6087" w14:paraId="3FE8DD7E" w14:textId="77777777" w:rsidTr="009A04E8">
        <w:tc>
          <w:tcPr>
            <w:tcW w:w="13495" w:type="dxa"/>
            <w:gridSpan w:val="4"/>
          </w:tcPr>
          <w:p w14:paraId="7C82C5BD" w14:textId="3C333ADB" w:rsidR="005C6087" w:rsidRPr="00A20ABA" w:rsidRDefault="005C6087" w:rsidP="005C6087">
            <w:pPr>
              <w:jc w:val="center"/>
              <w:rPr>
                <w:i/>
                <w:iCs/>
              </w:rPr>
            </w:pPr>
            <w:r>
              <w:rPr>
                <w:i/>
              </w:rPr>
              <w:t>Записи</w:t>
            </w:r>
          </w:p>
        </w:tc>
      </w:tr>
      <w:tr w:rsidR="00E37BAB" w14:paraId="29070C0F" w14:textId="77777777" w:rsidTr="007A556F">
        <w:tc>
          <w:tcPr>
            <w:tcW w:w="867" w:type="dxa"/>
          </w:tcPr>
          <w:p w14:paraId="2D7E4CC3" w14:textId="47A81011" w:rsidR="00E37BAB" w:rsidRDefault="00E37BAB" w:rsidP="00E37BAB">
            <w:r>
              <w:t>3.183.</w:t>
            </w:r>
          </w:p>
        </w:tc>
        <w:tc>
          <w:tcPr>
            <w:tcW w:w="5082" w:type="dxa"/>
          </w:tcPr>
          <w:p w14:paraId="6153A576" w14:textId="51C8934E" w:rsidR="00E37BAB" w:rsidRDefault="00E37BAB" w:rsidP="00E37BAB">
            <w:r>
              <w:t xml:space="preserve">Регистрираните лица и лицензиантите съхраняват за период, определен от регулаторния орган, и предоставят при поискване следните записи за персонала: </w:t>
            </w:r>
            <w:r>
              <w:br/>
              <w:t xml:space="preserve">(а) записи за всяко делегиране на отговорности от страна на главната страна (съгласно изискванията на т. 3.154 (е)); </w:t>
            </w:r>
            <w:r>
              <w:br/>
              <w:t>(б) записи за обучението на персонала по радиационна защита (съгласно изискванията на т. 3.150 (б)).</w:t>
            </w:r>
          </w:p>
        </w:tc>
        <w:tc>
          <w:tcPr>
            <w:tcW w:w="1559" w:type="dxa"/>
          </w:tcPr>
          <w:p w14:paraId="60FF8ACA" w14:textId="72F553A1" w:rsidR="00E37BAB" w:rsidRDefault="00E37BAB" w:rsidP="00E37BAB">
            <w:pPr>
              <w:jc w:val="center"/>
            </w:pPr>
            <w:r>
              <w:t>NAP</w:t>
            </w:r>
          </w:p>
        </w:tc>
        <w:tc>
          <w:tcPr>
            <w:tcW w:w="5987" w:type="dxa"/>
          </w:tcPr>
          <w:p w14:paraId="467C48F0" w14:textId="48964BBD" w:rsidR="00E37BAB" w:rsidRDefault="00E37BAB" w:rsidP="00E37BAB">
            <w:r>
              <w:t>Изискването не е приложимо към технологията.</w:t>
            </w:r>
          </w:p>
        </w:tc>
      </w:tr>
      <w:tr w:rsidR="00E37BAB" w14:paraId="33F76A48" w14:textId="77777777" w:rsidTr="007A556F">
        <w:tc>
          <w:tcPr>
            <w:tcW w:w="867" w:type="dxa"/>
          </w:tcPr>
          <w:p w14:paraId="536E9196" w14:textId="584C4EF3" w:rsidR="00E37BAB" w:rsidRDefault="00E37BAB" w:rsidP="00E37BAB">
            <w:r>
              <w:t>3.184.</w:t>
            </w:r>
          </w:p>
        </w:tc>
        <w:tc>
          <w:tcPr>
            <w:tcW w:w="5082" w:type="dxa"/>
          </w:tcPr>
          <w:p w14:paraId="53D40740" w14:textId="08CCA40D" w:rsidR="00E37BAB" w:rsidRDefault="00E37BAB">
            <w:r>
              <w:t xml:space="preserve">Регистрираните лица и лицензиантите поддържат за период, определен от регулаторния орган, и да предоставят при поискване следните записи за калибриране, дозиметрия и осигуряване на качеството: </w:t>
            </w:r>
            <w:r>
              <w:br/>
              <w:t xml:space="preserve">(а) записи на резултатите от калибрирането и периодичните проверки на съответните физични и клинични параметри, избрани по време на лечението на пациентите; </w:t>
            </w:r>
            <w:r>
              <w:br/>
              <w:t xml:space="preserve">б) записи на </w:t>
            </w:r>
            <w:r w:rsidR="00EB4BDB">
              <w:t xml:space="preserve">дозиметричното измерване </w:t>
            </w:r>
            <w:r>
              <w:t xml:space="preserve">на пациентите, както се изисква в т. 3.168; </w:t>
            </w:r>
            <w:r>
              <w:br/>
              <w:t xml:space="preserve">в) записи на местните оценки и проверки, извършени по отношение на диагностичните референтни нива, както се изисква в т. 3.169; </w:t>
            </w:r>
            <w:r>
              <w:br/>
            </w:r>
            <w:r>
              <w:lastRenderedPageBreak/>
              <w:t>г) записи, свързани с програмата за осигуряване на качеството, както се изисква в т. 3.171 (г).</w:t>
            </w:r>
          </w:p>
        </w:tc>
        <w:tc>
          <w:tcPr>
            <w:tcW w:w="1559" w:type="dxa"/>
          </w:tcPr>
          <w:p w14:paraId="08270156" w14:textId="281BEFFF" w:rsidR="00E37BAB" w:rsidRDefault="00E37BAB" w:rsidP="00E37BAB">
            <w:pPr>
              <w:jc w:val="center"/>
            </w:pPr>
            <w:r>
              <w:lastRenderedPageBreak/>
              <w:t>NAP</w:t>
            </w:r>
          </w:p>
        </w:tc>
        <w:tc>
          <w:tcPr>
            <w:tcW w:w="5987" w:type="dxa"/>
          </w:tcPr>
          <w:p w14:paraId="5B6B06F9" w14:textId="52D2D34A" w:rsidR="00E37BAB" w:rsidRDefault="00E37BAB" w:rsidP="00E37BAB">
            <w:r>
              <w:t>Изискването не е приложимо към технологията.</w:t>
            </w:r>
          </w:p>
        </w:tc>
      </w:tr>
      <w:tr w:rsidR="00E37BAB" w14:paraId="7C6BE05A" w14:textId="77777777" w:rsidTr="007A556F">
        <w:tc>
          <w:tcPr>
            <w:tcW w:w="867" w:type="dxa"/>
          </w:tcPr>
          <w:p w14:paraId="35E46D7E" w14:textId="3078074D" w:rsidR="00E37BAB" w:rsidRDefault="00E37BAB" w:rsidP="00E37BAB">
            <w:r>
              <w:t>3.185.</w:t>
            </w:r>
          </w:p>
        </w:tc>
        <w:tc>
          <w:tcPr>
            <w:tcW w:w="5082" w:type="dxa"/>
          </w:tcPr>
          <w:p w14:paraId="17495212" w14:textId="2DBE352E" w:rsidR="00E37BAB" w:rsidRDefault="00E37BAB">
            <w:r>
              <w:t xml:space="preserve">Регистрираните лица и лицензиантите поддържат за период, определен от регулаторния орган, и предоставят при поискване следните записи за медицинско облъчване: </w:t>
            </w:r>
            <w:r>
              <w:br/>
              <w:t xml:space="preserve">(а) по диагностична радиология – информация, необходима за ретроспективна оценка на дозите, включително броя на облъчванията и продължителността на флуороскопските радиологични процедури; </w:t>
            </w:r>
            <w:r>
              <w:br/>
              <w:t xml:space="preserve">б) по образно контролирани интервенционни процедури с насочване на образа – информация, необходима за ретроспективна оценка на дозите, включително продължителността на флуороскопския компонент и броя на получените образи; </w:t>
            </w:r>
            <w:r>
              <w:br/>
              <w:t xml:space="preserve">в) по ядрена медицина – сведения за видовете приложени радиофармацевтични препарати и тяхната активност; </w:t>
            </w:r>
            <w:r>
              <w:br/>
              <w:t xml:space="preserve">(г) по външна лъчева терапия или брахитерапия – описание на планирания целеви обем, погълнатата доза в центъра на планирания целеви обем и максималните и минималните погълнати дози, доставени в планирания целеви обем, или еквивалентна алтернативна информация за погълнатите дози в планирания целеви обем, както и за погълнатите дози в съответните тъкани или органи, определени от лекаря-радиолог; а също така по външната лъчева терапия – за </w:t>
            </w:r>
            <w:r>
              <w:lastRenderedPageBreak/>
              <w:t xml:space="preserve">фракционирането на дозите и общото време на лечение; </w:t>
            </w:r>
            <w:r>
              <w:br/>
              <w:t xml:space="preserve">д) записи за облъчване на доброволци, подложени на медицинско облъчване като част от програма за биомедицински изследвания; </w:t>
            </w:r>
            <w:r>
              <w:br/>
              <w:t xml:space="preserve">е) отчети за разследвания на случаи на </w:t>
            </w:r>
            <w:r w:rsidR="00290E06">
              <w:t>непланирано и инцидентно</w:t>
            </w:r>
            <w:r>
              <w:t xml:space="preserve"> медицинско облъчване (съгласно изискванията на т. 3.181 (г)).</w:t>
            </w:r>
          </w:p>
        </w:tc>
        <w:tc>
          <w:tcPr>
            <w:tcW w:w="1559" w:type="dxa"/>
          </w:tcPr>
          <w:p w14:paraId="72DE381B" w14:textId="1B8610B7" w:rsidR="00E37BAB" w:rsidRDefault="00E37BAB" w:rsidP="00E37BAB">
            <w:pPr>
              <w:jc w:val="center"/>
            </w:pPr>
            <w:r>
              <w:lastRenderedPageBreak/>
              <w:t>NAP</w:t>
            </w:r>
          </w:p>
        </w:tc>
        <w:tc>
          <w:tcPr>
            <w:tcW w:w="5987" w:type="dxa"/>
          </w:tcPr>
          <w:p w14:paraId="521B4D28" w14:textId="013BF97A" w:rsidR="00E37BAB" w:rsidRDefault="00E37BAB" w:rsidP="00E37BAB">
            <w:r>
              <w:t>Изискването не е приложимо към технологията.</w:t>
            </w:r>
          </w:p>
        </w:tc>
      </w:tr>
    </w:tbl>
    <w:p w14:paraId="68EDD4DF" w14:textId="77777777" w:rsidR="0093398C" w:rsidRDefault="0093398C" w:rsidP="0093398C"/>
    <w:p w14:paraId="6F31502F" w14:textId="7955BAD7" w:rsidR="00043C6B" w:rsidRDefault="00043C6B" w:rsidP="00894DF1">
      <w:pPr>
        <w:pStyle w:val="Heading2"/>
        <w:spacing w:before="240" w:after="0"/>
      </w:pPr>
      <w:bookmarkStart w:id="76" w:name="_Toc155347820"/>
      <w:r>
        <w:t>Ситуации на аварийно облъчване</w:t>
      </w:r>
      <w:bookmarkEnd w:id="76"/>
    </w:p>
    <w:p w14:paraId="7DF0424D" w14:textId="4707B162" w:rsidR="00683002" w:rsidRPr="00043C6B" w:rsidRDefault="00043C6B" w:rsidP="00043C6B">
      <w:pPr>
        <w:rPr>
          <w:b/>
          <w:bCs/>
        </w:rPr>
      </w:pPr>
      <w:r>
        <w:tab/>
      </w:r>
      <w:r>
        <w:rPr>
          <w:b/>
          <w:sz w:val="24"/>
        </w:rPr>
        <w:t>Обхват</w:t>
      </w:r>
    </w:p>
    <w:tbl>
      <w:tblPr>
        <w:tblStyle w:val="TableGrid"/>
        <w:tblW w:w="13495" w:type="dxa"/>
        <w:tblLayout w:type="fixed"/>
        <w:tblLook w:val="04A0" w:firstRow="1" w:lastRow="0" w:firstColumn="1" w:lastColumn="0" w:noHBand="0" w:noVBand="1"/>
      </w:tblPr>
      <w:tblGrid>
        <w:gridCol w:w="797"/>
        <w:gridCol w:w="5152"/>
        <w:gridCol w:w="1559"/>
        <w:gridCol w:w="5987"/>
      </w:tblGrid>
      <w:tr w:rsidR="00683002" w14:paraId="222BFD30" w14:textId="77777777" w:rsidTr="007A556F">
        <w:trPr>
          <w:tblHeader/>
        </w:trPr>
        <w:tc>
          <w:tcPr>
            <w:tcW w:w="797" w:type="dxa"/>
          </w:tcPr>
          <w:p w14:paraId="052C85C1" w14:textId="77777777" w:rsidR="00683002" w:rsidRDefault="00683002" w:rsidP="00B723E1"/>
        </w:tc>
        <w:tc>
          <w:tcPr>
            <w:tcW w:w="5152" w:type="dxa"/>
          </w:tcPr>
          <w:p w14:paraId="1813E14E" w14:textId="77777777" w:rsidR="00683002" w:rsidRDefault="00683002" w:rsidP="00B723E1">
            <w:r>
              <w:rPr>
                <w:b/>
              </w:rPr>
              <w:t>Описание</w:t>
            </w:r>
          </w:p>
        </w:tc>
        <w:tc>
          <w:tcPr>
            <w:tcW w:w="1559" w:type="dxa"/>
          </w:tcPr>
          <w:p w14:paraId="4DB73CE9" w14:textId="77777777" w:rsidR="00683002" w:rsidRDefault="00683002" w:rsidP="00B723E1">
            <w:r>
              <w:rPr>
                <w:b/>
              </w:rPr>
              <w:t>Съответствие</w:t>
            </w:r>
          </w:p>
        </w:tc>
        <w:tc>
          <w:tcPr>
            <w:tcW w:w="5987" w:type="dxa"/>
          </w:tcPr>
          <w:p w14:paraId="09A88CBE" w14:textId="77777777" w:rsidR="00683002" w:rsidRDefault="00683002" w:rsidP="00B723E1">
            <w:r>
              <w:rPr>
                <w:b/>
              </w:rPr>
              <w:t>Обосновка</w:t>
            </w:r>
          </w:p>
        </w:tc>
      </w:tr>
      <w:tr w:rsidR="00805EBA" w14:paraId="24E3DD28" w14:textId="77777777" w:rsidTr="007A556F">
        <w:trPr>
          <w:tblHeader/>
        </w:trPr>
        <w:tc>
          <w:tcPr>
            <w:tcW w:w="797" w:type="dxa"/>
          </w:tcPr>
          <w:p w14:paraId="7B548634" w14:textId="7C22EACD" w:rsidR="00805EBA" w:rsidRDefault="00805EBA" w:rsidP="00B723E1">
            <w:r>
              <w:t>4.1.</w:t>
            </w:r>
          </w:p>
        </w:tc>
        <w:tc>
          <w:tcPr>
            <w:tcW w:w="5152" w:type="dxa"/>
          </w:tcPr>
          <w:p w14:paraId="74AD76FE" w14:textId="565552CD" w:rsidR="00126858" w:rsidRPr="004244E0" w:rsidRDefault="00805EBA" w:rsidP="001C2474">
            <w:r>
              <w:t>Изискванията за ситуации на аварийно облъчване, установени в Раздел 4, се прилагат за дейности по осигуряване на готовност за ядрена или радиационна аварийна ситуация и реагиране на такава ситуация.</w:t>
            </w:r>
          </w:p>
        </w:tc>
        <w:tc>
          <w:tcPr>
            <w:tcW w:w="1559" w:type="dxa"/>
          </w:tcPr>
          <w:p w14:paraId="3DBAE316" w14:textId="6F25FE7F" w:rsidR="00805EBA" w:rsidRPr="001C2474" w:rsidRDefault="001C2474" w:rsidP="001C2474">
            <w:pPr>
              <w:jc w:val="center"/>
            </w:pPr>
            <w:r>
              <w:t>NR</w:t>
            </w:r>
          </w:p>
        </w:tc>
        <w:tc>
          <w:tcPr>
            <w:tcW w:w="5987" w:type="dxa"/>
          </w:tcPr>
          <w:p w14:paraId="45A6A3B9" w14:textId="11DA4821" w:rsidR="00805EBA" w:rsidRPr="00F172DF" w:rsidRDefault="001C2474" w:rsidP="00B723E1">
            <w:pPr>
              <w:rPr>
                <w:b/>
                <w:bCs/>
              </w:rPr>
            </w:pPr>
            <w:r>
              <w:t>Това е пояснение, а не изискване.</w:t>
            </w:r>
          </w:p>
        </w:tc>
      </w:tr>
    </w:tbl>
    <w:p w14:paraId="4A3284FE" w14:textId="433800DF" w:rsidR="00043C6B" w:rsidRPr="00043C6B" w:rsidRDefault="00043C6B" w:rsidP="00894DF1">
      <w:pPr>
        <w:spacing w:before="240" w:after="0"/>
        <w:rPr>
          <w:b/>
          <w:bCs/>
        </w:rPr>
      </w:pPr>
      <w:r>
        <w:tab/>
      </w:r>
      <w:r>
        <w:rPr>
          <w:b/>
          <w:sz w:val="24"/>
        </w:rPr>
        <w:t>ОБЩИ ИЗИСКВАНИЯ</w:t>
      </w:r>
    </w:p>
    <w:p w14:paraId="41C4E903" w14:textId="04B90CF3" w:rsidR="00683002" w:rsidRPr="008D02B5" w:rsidRDefault="008D02B5" w:rsidP="00043C6B">
      <w:pPr>
        <w:pStyle w:val="Heading3"/>
      </w:pPr>
      <w:bookmarkStart w:id="77" w:name="_Toc155347821"/>
      <w:r>
        <w:lastRenderedPageBreak/>
        <w:t>Изискване 43: Система за управление на аварийни ситуации</w:t>
      </w:r>
      <w:bookmarkEnd w:id="77"/>
    </w:p>
    <w:tbl>
      <w:tblPr>
        <w:tblStyle w:val="TableGrid"/>
        <w:tblW w:w="13495" w:type="dxa"/>
        <w:tblLayout w:type="fixed"/>
        <w:tblLook w:val="04A0" w:firstRow="1" w:lastRow="0" w:firstColumn="1" w:lastColumn="0" w:noHBand="0" w:noVBand="1"/>
      </w:tblPr>
      <w:tblGrid>
        <w:gridCol w:w="797"/>
        <w:gridCol w:w="5152"/>
        <w:gridCol w:w="1559"/>
        <w:gridCol w:w="5987"/>
      </w:tblGrid>
      <w:tr w:rsidR="00683002" w14:paraId="3389C55A" w14:textId="77777777" w:rsidTr="007A556F">
        <w:trPr>
          <w:tblHeader/>
        </w:trPr>
        <w:tc>
          <w:tcPr>
            <w:tcW w:w="797" w:type="dxa"/>
          </w:tcPr>
          <w:p w14:paraId="3A2BFD2B" w14:textId="77777777" w:rsidR="00683002" w:rsidRDefault="00683002" w:rsidP="00B723E1"/>
        </w:tc>
        <w:tc>
          <w:tcPr>
            <w:tcW w:w="5152" w:type="dxa"/>
          </w:tcPr>
          <w:p w14:paraId="449C35BC" w14:textId="77777777" w:rsidR="00683002" w:rsidRDefault="00683002" w:rsidP="00B723E1">
            <w:r>
              <w:rPr>
                <w:b/>
              </w:rPr>
              <w:t>Описание</w:t>
            </w:r>
          </w:p>
        </w:tc>
        <w:tc>
          <w:tcPr>
            <w:tcW w:w="1559" w:type="dxa"/>
          </w:tcPr>
          <w:p w14:paraId="37C64257" w14:textId="77777777" w:rsidR="00683002" w:rsidRDefault="00683002" w:rsidP="00B723E1">
            <w:r>
              <w:rPr>
                <w:b/>
              </w:rPr>
              <w:t>Съответствие</w:t>
            </w:r>
          </w:p>
        </w:tc>
        <w:tc>
          <w:tcPr>
            <w:tcW w:w="5987" w:type="dxa"/>
          </w:tcPr>
          <w:p w14:paraId="4BEBE3AA" w14:textId="77777777" w:rsidR="00683002" w:rsidRDefault="00683002" w:rsidP="00B723E1">
            <w:r>
              <w:rPr>
                <w:b/>
              </w:rPr>
              <w:t>Обосновка</w:t>
            </w:r>
          </w:p>
        </w:tc>
      </w:tr>
      <w:tr w:rsidR="009D0D31" w:rsidRPr="00AC39B1" w14:paraId="05BC9534" w14:textId="77777777" w:rsidTr="007A556F">
        <w:tc>
          <w:tcPr>
            <w:tcW w:w="797" w:type="dxa"/>
          </w:tcPr>
          <w:p w14:paraId="4764EA4E" w14:textId="77777777" w:rsidR="009D0D31" w:rsidRDefault="009D0D31" w:rsidP="009D0D31"/>
        </w:tc>
        <w:tc>
          <w:tcPr>
            <w:tcW w:w="5152" w:type="dxa"/>
          </w:tcPr>
          <w:p w14:paraId="057D9FA9" w14:textId="15D95087" w:rsidR="009D0D31" w:rsidRPr="00F4394E" w:rsidRDefault="009D0D31" w:rsidP="009D0D31">
            <w:pPr>
              <w:rPr>
                <w:b/>
                <w:bCs/>
              </w:rPr>
            </w:pPr>
            <w:r>
              <w:rPr>
                <w:b/>
              </w:rPr>
              <w:t>Правителството поддържа създаването поддържането на интегрирана и координирана система за управление на аварийни ситуации.</w:t>
            </w:r>
          </w:p>
        </w:tc>
        <w:tc>
          <w:tcPr>
            <w:tcW w:w="1559" w:type="dxa"/>
          </w:tcPr>
          <w:p w14:paraId="3F62CA65" w14:textId="08F351B5" w:rsidR="009D0D31" w:rsidRDefault="00FF1019" w:rsidP="009D0D31">
            <w:pPr>
              <w:jc w:val="center"/>
            </w:pPr>
            <w:r>
              <w:t>EP</w:t>
            </w:r>
          </w:p>
        </w:tc>
        <w:tc>
          <w:tcPr>
            <w:tcW w:w="5987" w:type="dxa"/>
          </w:tcPr>
          <w:p w14:paraId="74382A9C" w14:textId="05532D57" w:rsidR="003168AF" w:rsidRDefault="00E70076" w:rsidP="009D0D31">
            <w:pPr>
              <w:rPr>
                <w:rFonts w:eastAsiaTheme="minorHAnsi" w:cstheme="minorBidi"/>
              </w:rPr>
            </w:pPr>
            <w:r>
              <w:t>Това е отговорност на Правителството.</w:t>
            </w:r>
          </w:p>
          <w:p w14:paraId="4BFB60C7" w14:textId="09741531" w:rsidR="00AC39B1" w:rsidRPr="00AC39B1" w:rsidRDefault="00AC39B1" w:rsidP="009D0D31">
            <w:r>
              <w:t>ДКП на Уестингхаус, изготвен за централата AP1000, може да бъде полезен при разработването на система за управление на аварийни ситуации. Провеждането на операцията, описано в Глава 13 на ДКП, включва аварийно планиране. Освен това, Глава 19 на ДКП, “Вероятностен анализ на безопасността”, съдържа оценка на опасностите, която може да бъде полезна при подготовката за различни видове извънредни събития.</w:t>
            </w:r>
          </w:p>
        </w:tc>
      </w:tr>
      <w:tr w:rsidR="00AC39B1" w14:paraId="3D444829" w14:textId="77777777" w:rsidTr="007A556F">
        <w:tc>
          <w:tcPr>
            <w:tcW w:w="797" w:type="dxa"/>
          </w:tcPr>
          <w:p w14:paraId="2EB49660" w14:textId="217A9105" w:rsidR="00AC39B1" w:rsidRDefault="00AC39B1" w:rsidP="00AC39B1">
            <w:r>
              <w:t>4.2.</w:t>
            </w:r>
          </w:p>
        </w:tc>
        <w:tc>
          <w:tcPr>
            <w:tcW w:w="5152" w:type="dxa"/>
          </w:tcPr>
          <w:p w14:paraId="60F9BA56" w14:textId="7E46C82D" w:rsidR="00AC39B1" w:rsidRDefault="00AC39B1" w:rsidP="00AC39B1">
            <w:r>
              <w:t>Правителството осигурява създаването и поддържането на система за управление на аварийни ситуации на териториите и в рамките на юрисдикцията на държавата за аварийно реагиране с цел защита на живота и здравето на хората, както и опазване на околната среда в случай на ядрена или радиологична аварийна ситуация.</w:t>
            </w:r>
          </w:p>
        </w:tc>
        <w:tc>
          <w:tcPr>
            <w:tcW w:w="1559" w:type="dxa"/>
          </w:tcPr>
          <w:p w14:paraId="676E70CC" w14:textId="325052ED" w:rsidR="00AC39B1" w:rsidRDefault="00FF1019" w:rsidP="00AC39B1">
            <w:pPr>
              <w:jc w:val="center"/>
            </w:pPr>
            <w:r>
              <w:t>EP</w:t>
            </w:r>
          </w:p>
        </w:tc>
        <w:tc>
          <w:tcPr>
            <w:tcW w:w="5987" w:type="dxa"/>
          </w:tcPr>
          <w:p w14:paraId="12EA301B" w14:textId="709A02CE" w:rsidR="00AC39B1" w:rsidRDefault="00E70076" w:rsidP="00AC39B1">
            <w:r>
              <w:t>Това е отговорност на Правителството.</w:t>
            </w:r>
          </w:p>
        </w:tc>
      </w:tr>
      <w:tr w:rsidR="00AC39B1" w14:paraId="27BB665D" w14:textId="77777777" w:rsidTr="007A556F">
        <w:tc>
          <w:tcPr>
            <w:tcW w:w="797" w:type="dxa"/>
          </w:tcPr>
          <w:p w14:paraId="7F912A40" w14:textId="6281DF8E" w:rsidR="00AC39B1" w:rsidRDefault="00AC39B1" w:rsidP="00AC39B1">
            <w:r>
              <w:t>4.3.</w:t>
            </w:r>
          </w:p>
        </w:tc>
        <w:tc>
          <w:tcPr>
            <w:tcW w:w="5152" w:type="dxa"/>
          </w:tcPr>
          <w:p w14:paraId="7F0EE5E3" w14:textId="2FAFE851" w:rsidR="00AC39B1" w:rsidRDefault="00AC39B1" w:rsidP="00AC39B1">
            <w:r>
              <w:t>Системата за управление на аварийни ситуации се проектира по такъв начин, че да съответства на резултатите от оценката на опасностите [20] и да осигурява ефективно аварийно реагиране при разумно прогнозируеми събития (включително събития с много ниска вероятност за възникване) във връзка със съоръжения или дейности.</w:t>
            </w:r>
          </w:p>
        </w:tc>
        <w:tc>
          <w:tcPr>
            <w:tcW w:w="1559" w:type="dxa"/>
          </w:tcPr>
          <w:p w14:paraId="7996336B" w14:textId="002C465A" w:rsidR="00AC39B1" w:rsidRDefault="00DE5355" w:rsidP="00AC39B1">
            <w:pPr>
              <w:jc w:val="center"/>
            </w:pPr>
            <w:r>
              <w:t>OR</w:t>
            </w:r>
          </w:p>
        </w:tc>
        <w:tc>
          <w:tcPr>
            <w:tcW w:w="5987" w:type="dxa"/>
          </w:tcPr>
          <w:p w14:paraId="123F76C0" w14:textId="10314848" w:rsidR="00AC39B1" w:rsidRDefault="0096306F" w:rsidP="00AC39B1">
            <w:r>
              <w:t>Това е отговорност на Собственика/Лицензианта.</w:t>
            </w:r>
          </w:p>
        </w:tc>
      </w:tr>
      <w:tr w:rsidR="0096306F" w14:paraId="5DF718CD" w14:textId="77777777" w:rsidTr="007A556F">
        <w:tc>
          <w:tcPr>
            <w:tcW w:w="797" w:type="dxa"/>
          </w:tcPr>
          <w:p w14:paraId="5B52C39E" w14:textId="6E395C32" w:rsidR="0096306F" w:rsidRDefault="0096306F" w:rsidP="0096306F">
            <w:r>
              <w:t>4.4.</w:t>
            </w:r>
          </w:p>
        </w:tc>
        <w:tc>
          <w:tcPr>
            <w:tcW w:w="5152" w:type="dxa"/>
          </w:tcPr>
          <w:p w14:paraId="11276954" w14:textId="22BE8D05" w:rsidR="0096306F" w:rsidRDefault="0096306F" w:rsidP="0096306F">
            <w:r>
              <w:t xml:space="preserve">Системата за управление на аварийни ситуации се интегрира в практически постижими граници в </w:t>
            </w:r>
            <w:r>
              <w:lastRenderedPageBreak/>
              <w:t>общата система за управление на аварийни ситуации, свързани с опасности от всякакъв вид.</w:t>
            </w:r>
          </w:p>
        </w:tc>
        <w:tc>
          <w:tcPr>
            <w:tcW w:w="1559" w:type="dxa"/>
          </w:tcPr>
          <w:p w14:paraId="300088B1" w14:textId="6F4E35B4" w:rsidR="0096306F" w:rsidRDefault="0096306F" w:rsidP="0096306F">
            <w:pPr>
              <w:jc w:val="center"/>
            </w:pPr>
            <w:r>
              <w:lastRenderedPageBreak/>
              <w:t>OR</w:t>
            </w:r>
          </w:p>
        </w:tc>
        <w:tc>
          <w:tcPr>
            <w:tcW w:w="5987" w:type="dxa"/>
          </w:tcPr>
          <w:p w14:paraId="1F88CB97" w14:textId="735E7FC7" w:rsidR="0096306F" w:rsidRDefault="00C33101" w:rsidP="0096306F">
            <w:r>
              <w:t>Това е отговорност на Собственика/Лицензианта.</w:t>
            </w:r>
          </w:p>
        </w:tc>
      </w:tr>
      <w:tr w:rsidR="0096306F" w14:paraId="07C72EA7" w14:textId="77777777" w:rsidTr="007A556F">
        <w:tc>
          <w:tcPr>
            <w:tcW w:w="797" w:type="dxa"/>
          </w:tcPr>
          <w:p w14:paraId="6B7F4C1C" w14:textId="1D120C2B" w:rsidR="0096306F" w:rsidRDefault="0096306F" w:rsidP="0096306F">
            <w:r>
              <w:t>4.5.</w:t>
            </w:r>
          </w:p>
        </w:tc>
        <w:tc>
          <w:tcPr>
            <w:tcW w:w="5152" w:type="dxa"/>
          </w:tcPr>
          <w:p w14:paraId="0D97ADA2" w14:textId="091DA6CA" w:rsidR="0096306F" w:rsidRPr="00815E9C" w:rsidRDefault="0096306F">
            <w:pPr>
              <w:rPr>
                <w:b/>
                <w:bCs/>
              </w:rPr>
            </w:pPr>
            <w:r>
              <w:t xml:space="preserve">Системата за управление на аварийни ситуации осигурява основните елементи на мястото на събитието, както и на местно, национално и международно равнище, според случая, включително следното [20]: </w:t>
            </w:r>
            <w:r>
              <w:br/>
              <w:t xml:space="preserve">(а) оценка на опасностите; </w:t>
            </w:r>
            <w:r>
              <w:br/>
              <w:t xml:space="preserve">б) разработване и осъществяване на аварийни планове и аварийни процедури; </w:t>
            </w:r>
            <w:r>
              <w:br/>
              <w:t xml:space="preserve">в) ясно разпределение на отговорностите на лицата и организациите, които имат роля в мерките за осигуряване на аварийна готовност и реагиране; </w:t>
            </w:r>
            <w:r>
              <w:br/>
              <w:t xml:space="preserve">г) мерки за ефикасно и ефективно сътрудничество и координация между организациите; </w:t>
            </w:r>
            <w:r>
              <w:br/>
              <w:t xml:space="preserve">д) надеждна комуникация, включително информиране на населението; </w:t>
            </w:r>
            <w:r>
              <w:br/>
              <w:t xml:space="preserve">е) оптимизирани стратегии за защита за осъществяване и прекратяване на мерки за защита на лицата от населението, които биха могли да бъдат подложени на облъчване при авария, включително съответни съображения по защитата на околната среда; </w:t>
            </w:r>
            <w:r>
              <w:br/>
              <w:t xml:space="preserve">(ж) мерки за защита на аварийните работници; </w:t>
            </w:r>
            <w:r>
              <w:br/>
              <w:t xml:space="preserve">з) образование и обучение, включително обучение по радиационна защита, на всички лица, участващи в аварийното реагиране, и осъществяване на аварийни планове и аварийни процедури; </w:t>
            </w:r>
            <w:r>
              <w:br/>
              <w:t xml:space="preserve">и) подготовка за преминаване от ситуация на аварийно облъчване към ситуация на </w:t>
            </w:r>
            <w:r>
              <w:lastRenderedPageBreak/>
              <w:t xml:space="preserve">съществуващо облъчване; </w:t>
            </w:r>
            <w:r>
              <w:br/>
              <w:t xml:space="preserve">й) мерки по реагиране на медицински служби и упълномощени органи в областта на здравеопазването в аварийна ситуация; </w:t>
            </w:r>
            <w:r>
              <w:br/>
              <w:t xml:space="preserve">к) осигуряване на индивидуален мониторинг и мониторинг на околната среда, както и оценки на дозата; </w:t>
            </w:r>
            <w:r>
              <w:br/>
              <w:t>л) участие на съответните страни и заинтересовани страни.</w:t>
            </w:r>
          </w:p>
        </w:tc>
        <w:tc>
          <w:tcPr>
            <w:tcW w:w="1559" w:type="dxa"/>
          </w:tcPr>
          <w:p w14:paraId="0EECE337" w14:textId="5638DEE4" w:rsidR="0096306F" w:rsidRDefault="0096306F" w:rsidP="0096306F">
            <w:pPr>
              <w:jc w:val="center"/>
            </w:pPr>
            <w:r>
              <w:lastRenderedPageBreak/>
              <w:t>OR</w:t>
            </w:r>
          </w:p>
        </w:tc>
        <w:tc>
          <w:tcPr>
            <w:tcW w:w="5987" w:type="dxa"/>
          </w:tcPr>
          <w:p w14:paraId="390F676E" w14:textId="77777777" w:rsidR="00C33101" w:rsidRDefault="00C33101" w:rsidP="0096306F">
            <w:pPr>
              <w:rPr>
                <w:rFonts w:eastAsiaTheme="minorHAnsi" w:cstheme="minorBidi"/>
              </w:rPr>
            </w:pPr>
            <w:r>
              <w:t>Това е отговорност на Собственика/Лицензианта.</w:t>
            </w:r>
          </w:p>
          <w:p w14:paraId="30D573C6" w14:textId="6F5FFC4E" w:rsidR="00BF7185" w:rsidRDefault="00BF7185" w:rsidP="0096306F">
            <w:r>
              <w:t>ДКП на Уестингхаус, изготвен за централата AP1000, може да бъде полезен при разработването на система за управление на аварийни ситуации. Провеждането на операцията, описано в Глава 13 на ДКП, включва аварийно планиране. Освен това, Глава 19 на ДКП, “Вероятностен анализ на безопасността”, съдържа оценка на опасностите, която може да бъде полезна при подготовката за различни видове извънредни събития.</w:t>
            </w:r>
          </w:p>
        </w:tc>
      </w:tr>
      <w:tr w:rsidR="00AC39B1" w14:paraId="5DD60CE2" w14:textId="77777777" w:rsidTr="007A556F">
        <w:tc>
          <w:tcPr>
            <w:tcW w:w="797" w:type="dxa"/>
          </w:tcPr>
          <w:p w14:paraId="7F556739" w14:textId="6C409E31" w:rsidR="00AC39B1" w:rsidRDefault="00AC39B1" w:rsidP="00AC39B1">
            <w:r>
              <w:t>4.6.</w:t>
            </w:r>
          </w:p>
        </w:tc>
        <w:tc>
          <w:tcPr>
            <w:tcW w:w="5152" w:type="dxa"/>
          </w:tcPr>
          <w:p w14:paraId="0A65FC82" w14:textId="0157DD37" w:rsidR="0061347C" w:rsidRDefault="00AC39B1" w:rsidP="00AC39B1">
            <w:r>
              <w:t>Правителството осигурява координация на своите противоаварийни механизми и способности със съответните международни противоаварийни механизми.</w:t>
            </w:r>
          </w:p>
        </w:tc>
        <w:tc>
          <w:tcPr>
            <w:tcW w:w="1559" w:type="dxa"/>
          </w:tcPr>
          <w:p w14:paraId="0594B204" w14:textId="7809E19E" w:rsidR="00AC39B1" w:rsidRDefault="007F0DC6" w:rsidP="00AC39B1">
            <w:pPr>
              <w:jc w:val="center"/>
            </w:pPr>
            <w:r>
              <w:t>EP</w:t>
            </w:r>
          </w:p>
        </w:tc>
        <w:tc>
          <w:tcPr>
            <w:tcW w:w="5987" w:type="dxa"/>
          </w:tcPr>
          <w:p w14:paraId="347DEC11" w14:textId="1558DF02" w:rsidR="00AC39B1" w:rsidRDefault="00E70076" w:rsidP="00AC39B1">
            <w:r>
              <w:t>Това е отговорност на Правителството.</w:t>
            </w:r>
          </w:p>
        </w:tc>
      </w:tr>
    </w:tbl>
    <w:p w14:paraId="1E48ED73" w14:textId="11D457A3" w:rsidR="00043C6B" w:rsidRPr="00043C6B" w:rsidRDefault="00043C6B" w:rsidP="00894DF1">
      <w:pPr>
        <w:spacing w:before="240" w:after="0"/>
        <w:rPr>
          <w:b/>
          <w:bCs/>
          <w:kern w:val="24"/>
          <w:sz w:val="24"/>
        </w:rPr>
      </w:pPr>
      <w:r>
        <w:tab/>
      </w:r>
      <w:r>
        <w:rPr>
          <w:b/>
          <w:sz w:val="24"/>
        </w:rPr>
        <w:t>ОБЛЪЧВАНЕ НА НАСЕЛЕНИЕТО</w:t>
      </w:r>
    </w:p>
    <w:p w14:paraId="157D90DA" w14:textId="7884EB6F" w:rsidR="00683002" w:rsidRPr="0027026F" w:rsidRDefault="008D02B5" w:rsidP="00043C6B">
      <w:pPr>
        <w:pStyle w:val="Heading3"/>
      </w:pPr>
      <w:bookmarkStart w:id="78" w:name="_Toc155347822"/>
      <w:r>
        <w:t>Изискване 44: Готовност и реагиране в случай на аварийна ситуация</w:t>
      </w:r>
      <w:bookmarkEnd w:id="78"/>
    </w:p>
    <w:tbl>
      <w:tblPr>
        <w:tblStyle w:val="TableGrid"/>
        <w:tblW w:w="13495" w:type="dxa"/>
        <w:tblLayout w:type="fixed"/>
        <w:tblLook w:val="04A0" w:firstRow="1" w:lastRow="0" w:firstColumn="1" w:lastColumn="0" w:noHBand="0" w:noVBand="1"/>
      </w:tblPr>
      <w:tblGrid>
        <w:gridCol w:w="797"/>
        <w:gridCol w:w="5152"/>
        <w:gridCol w:w="1559"/>
        <w:gridCol w:w="5987"/>
      </w:tblGrid>
      <w:tr w:rsidR="00683002" w14:paraId="1E5C8ECA" w14:textId="77777777" w:rsidTr="007A556F">
        <w:trPr>
          <w:tblHeader/>
        </w:trPr>
        <w:tc>
          <w:tcPr>
            <w:tcW w:w="797" w:type="dxa"/>
          </w:tcPr>
          <w:p w14:paraId="0D2AAC94" w14:textId="77777777" w:rsidR="00683002" w:rsidRDefault="00683002" w:rsidP="00B723E1"/>
        </w:tc>
        <w:tc>
          <w:tcPr>
            <w:tcW w:w="5152" w:type="dxa"/>
          </w:tcPr>
          <w:p w14:paraId="392B51C7" w14:textId="77777777" w:rsidR="00683002" w:rsidRDefault="00683002" w:rsidP="00B723E1">
            <w:r>
              <w:rPr>
                <w:b/>
              </w:rPr>
              <w:t>Описание</w:t>
            </w:r>
          </w:p>
        </w:tc>
        <w:tc>
          <w:tcPr>
            <w:tcW w:w="1559" w:type="dxa"/>
          </w:tcPr>
          <w:p w14:paraId="4DED18FB" w14:textId="77777777" w:rsidR="00683002" w:rsidRDefault="00683002" w:rsidP="00B723E1">
            <w:r>
              <w:rPr>
                <w:b/>
              </w:rPr>
              <w:t>Съответствие</w:t>
            </w:r>
          </w:p>
        </w:tc>
        <w:tc>
          <w:tcPr>
            <w:tcW w:w="5987" w:type="dxa"/>
          </w:tcPr>
          <w:p w14:paraId="1BE43F49" w14:textId="77777777" w:rsidR="00683002" w:rsidRDefault="00683002" w:rsidP="00B723E1">
            <w:r>
              <w:rPr>
                <w:b/>
              </w:rPr>
              <w:t>Обосновка</w:t>
            </w:r>
          </w:p>
        </w:tc>
      </w:tr>
      <w:tr w:rsidR="00014148" w14:paraId="56056159" w14:textId="77777777" w:rsidTr="007A556F">
        <w:tc>
          <w:tcPr>
            <w:tcW w:w="797" w:type="dxa"/>
          </w:tcPr>
          <w:p w14:paraId="5FDEA8DB" w14:textId="77777777" w:rsidR="00014148" w:rsidRDefault="00014148" w:rsidP="00014148"/>
        </w:tc>
        <w:tc>
          <w:tcPr>
            <w:tcW w:w="5152" w:type="dxa"/>
          </w:tcPr>
          <w:p w14:paraId="7C00D2B7" w14:textId="5E78BBEB" w:rsidR="00014148" w:rsidRPr="00815E9C" w:rsidRDefault="00014148" w:rsidP="00014148">
            <w:r>
              <w:rPr>
                <w:b/>
              </w:rPr>
              <w:t>Правителството осигурява разработване, обосновка и оптимизация на стратегии за защита на етапа на планиране и прилагане на мерки за аварийно реагиране чрез своевременно осъществяване на тези стратегии.</w:t>
            </w:r>
          </w:p>
        </w:tc>
        <w:tc>
          <w:tcPr>
            <w:tcW w:w="1559" w:type="dxa"/>
          </w:tcPr>
          <w:p w14:paraId="46A0ABAB" w14:textId="0008D4BD" w:rsidR="00014148" w:rsidRDefault="007F0DC6" w:rsidP="00014148">
            <w:pPr>
              <w:jc w:val="center"/>
            </w:pPr>
            <w:r>
              <w:t>EP</w:t>
            </w:r>
          </w:p>
        </w:tc>
        <w:tc>
          <w:tcPr>
            <w:tcW w:w="5987" w:type="dxa"/>
          </w:tcPr>
          <w:p w14:paraId="1CE69C42" w14:textId="20203212" w:rsidR="00014148" w:rsidRDefault="00E70076" w:rsidP="00014148">
            <w:r>
              <w:t>Това е отговорност на Правителството.</w:t>
            </w:r>
          </w:p>
        </w:tc>
      </w:tr>
      <w:tr w:rsidR="00014148" w14:paraId="01FEDF12" w14:textId="77777777" w:rsidTr="007A556F">
        <w:tc>
          <w:tcPr>
            <w:tcW w:w="797" w:type="dxa"/>
          </w:tcPr>
          <w:p w14:paraId="27747737" w14:textId="0B19143C" w:rsidR="00014148" w:rsidRDefault="00014148" w:rsidP="00014148">
            <w:r>
              <w:t>4.7.</w:t>
            </w:r>
          </w:p>
        </w:tc>
        <w:tc>
          <w:tcPr>
            <w:tcW w:w="5152" w:type="dxa"/>
          </w:tcPr>
          <w:p w14:paraId="3A0E3154" w14:textId="6560FC78" w:rsidR="00014148" w:rsidRDefault="00014148" w:rsidP="00014148">
            <w:r>
              <w:t xml:space="preserve">Правителството осигурява разработване, обосновка и оптимизация на стратегии за защита на етапа на планиране, използвайки сценарии, основани на оценката на опасността, за да се избегнат </w:t>
            </w:r>
            <w:r>
              <w:lastRenderedPageBreak/>
              <w:t>детерминистични ефекти и да се намали вероятността от стохастични ефекти, свързани с облъчване на населението.</w:t>
            </w:r>
          </w:p>
        </w:tc>
        <w:tc>
          <w:tcPr>
            <w:tcW w:w="1559" w:type="dxa"/>
          </w:tcPr>
          <w:p w14:paraId="4D872DC5" w14:textId="78073FA9" w:rsidR="00014148" w:rsidRDefault="007F0DC6" w:rsidP="00014148">
            <w:pPr>
              <w:jc w:val="center"/>
            </w:pPr>
            <w:r>
              <w:lastRenderedPageBreak/>
              <w:t>EP</w:t>
            </w:r>
          </w:p>
        </w:tc>
        <w:tc>
          <w:tcPr>
            <w:tcW w:w="5987" w:type="dxa"/>
          </w:tcPr>
          <w:p w14:paraId="027E01D3" w14:textId="05EF1023" w:rsidR="003168AF" w:rsidRDefault="00E70076" w:rsidP="00014148">
            <w:pPr>
              <w:rPr>
                <w:rFonts w:eastAsiaTheme="minorHAnsi" w:cstheme="minorBidi"/>
              </w:rPr>
            </w:pPr>
            <w:r>
              <w:t>Това е отговорност на Правителството.</w:t>
            </w:r>
          </w:p>
          <w:p w14:paraId="55F3B8A1" w14:textId="505F27A2" w:rsidR="00DE0A83" w:rsidRDefault="00DE0A83" w:rsidP="00014148">
            <w:r>
              <w:t xml:space="preserve">Глава 19 на ДКП, изготвен за централата AP1000, представлява Вероятностен анализ на безопасността и </w:t>
            </w:r>
            <w:r>
              <w:lastRenderedPageBreak/>
              <w:t>съдържа оценка на опасностите, която може да бъде полезна за изпълнението на това изискване.</w:t>
            </w:r>
          </w:p>
        </w:tc>
      </w:tr>
      <w:tr w:rsidR="00583285" w14:paraId="742BC74C" w14:textId="77777777" w:rsidTr="007A556F">
        <w:tc>
          <w:tcPr>
            <w:tcW w:w="797" w:type="dxa"/>
          </w:tcPr>
          <w:p w14:paraId="29C05C34" w14:textId="363CD32B" w:rsidR="00583285" w:rsidRDefault="00583285" w:rsidP="00583285">
            <w:r>
              <w:lastRenderedPageBreak/>
              <w:t>4.8.</w:t>
            </w:r>
          </w:p>
        </w:tc>
        <w:tc>
          <w:tcPr>
            <w:tcW w:w="5152" w:type="dxa"/>
          </w:tcPr>
          <w:p w14:paraId="539E063E" w14:textId="750AF0DC" w:rsidR="00583285" w:rsidRPr="001717D0" w:rsidRDefault="00583285">
            <w:pPr>
              <w:rPr>
                <w:highlight w:val="cyan"/>
              </w:rPr>
            </w:pPr>
            <w:r>
              <w:t>Разработването на стратегия за защита включва следните три последователни стъпки, без да се ограничава до тях:</w:t>
            </w:r>
            <w:r>
              <w:br/>
              <w:t xml:space="preserve">(1) Определя се референтно ниво, изразено като остатъчна доза, обикновено ефективна доза в диапазона 20-100 mSv, която включва приносите в дозата </w:t>
            </w:r>
            <w:r w:rsidR="00115B8C">
              <w:t xml:space="preserve">от </w:t>
            </w:r>
            <w:r>
              <w:t xml:space="preserve">всички пътища на облъчване. Стратегията за защита включва планиране на остатъчни дози, които да са разумно постижими под референтното ниво, и стратегията се оптимизира. </w:t>
            </w:r>
            <w:r>
              <w:br/>
              <w:t>(2) Въз основа на резултатите от оптимизацията на стратегията за защита и с използване на референтното ниво, се разработват общи критерии за конкретни защитни действия и други действия за реагиране, изразени като прогнозна доза или получена доза. В случай на превишаване на числените стойности на общите критерии</w:t>
            </w:r>
            <w:r>
              <w:rPr>
                <w:sz w:val="14"/>
                <w:vertAlign w:val="superscript"/>
              </w:rPr>
              <w:t>47</w:t>
            </w:r>
            <w:r>
              <w:rPr>
                <w:sz w:val="14"/>
              </w:rPr>
              <w:t xml:space="preserve"> </w:t>
            </w:r>
            <w:r>
              <w:t xml:space="preserve">тези защитни действия и други действия за реагиране се осъществяват поотделно или в комбинация. </w:t>
            </w:r>
            <w:r>
              <w:br/>
              <w:t xml:space="preserve">(3) След оптимизация на стратегията за защита и разработване на набор от общи критерии, въз основа на тези общите критерии се формулират предварително установени оперативни критерии, осигуряващи иницииране на различните части на аварийния план, най-вече за началната фаза. Оперативните критерии, като например условията на място, нивата на оперативна намеса и нивата на </w:t>
            </w:r>
            <w:r>
              <w:lastRenderedPageBreak/>
              <w:t>аварийно действие, се изразяват с параметри или наблюдаеми условия. Предварително се установяват мерки за преразглеждане на тези оперативни критерии, ако е необходимо, при извънредна ситуация, като се отчитат преобладаващите условия в хода на тяхното развитие.</w:t>
            </w:r>
          </w:p>
        </w:tc>
        <w:tc>
          <w:tcPr>
            <w:tcW w:w="1559" w:type="dxa"/>
          </w:tcPr>
          <w:p w14:paraId="706250B6" w14:textId="0162D3E5" w:rsidR="00583285" w:rsidRDefault="00D6759A" w:rsidP="00583285">
            <w:pPr>
              <w:jc w:val="center"/>
            </w:pPr>
            <w:r>
              <w:lastRenderedPageBreak/>
              <w:t>CWO, EP, OR</w:t>
            </w:r>
          </w:p>
        </w:tc>
        <w:tc>
          <w:tcPr>
            <w:tcW w:w="5987" w:type="dxa"/>
          </w:tcPr>
          <w:p w14:paraId="76470F61" w14:textId="2BE33C97" w:rsidR="00583285" w:rsidRDefault="00BF7185" w:rsidP="00583285">
            <w:pPr>
              <w:rPr>
                <w:rFonts w:eastAsiaTheme="minorHAnsi" w:cstheme="minorBidi"/>
              </w:rPr>
            </w:pPr>
            <w:r>
              <w:t>Това е отговорност на Собственика/Лицензианта и/или външни страни.</w:t>
            </w:r>
          </w:p>
          <w:p w14:paraId="33103BAB" w14:textId="3D73C8A3" w:rsidR="00D6759A" w:rsidRPr="007C4275" w:rsidRDefault="00D6759A" w:rsidP="00D6759A">
            <w:r>
              <w:t>Предоставените ефективни дози са в съответствие с ЕВРАТОМ 2013/59 [10] Приложение I. Референтни нива за облъчване на населението, както е посочено в Членове 7 (Референтни нива, при които има искане за определянето им за ситуации на аварийно и съществуващо облъчване), 101 (Определяне на стратегии) и Препоръките на Публикация 103 на МКРЗ [11] за планиране на ситуации на аварийно облъчване, вж. Таблица 8.</w:t>
            </w:r>
          </w:p>
          <w:p w14:paraId="10CDEE49" w14:textId="77777777" w:rsidR="00D6759A" w:rsidRPr="007C4275" w:rsidRDefault="00D6759A" w:rsidP="006D5FEB">
            <w:pPr>
              <w:spacing w:after="0"/>
            </w:pPr>
            <w:r>
              <w:t>Това ще се основава на информация, предоставена от Уестингхаус. В това отношение:</w:t>
            </w:r>
          </w:p>
          <w:p w14:paraId="473B0DDB" w14:textId="576C3929" w:rsidR="00D6759A" w:rsidRPr="007C4275" w:rsidRDefault="00D6759A" w:rsidP="006D5FEB">
            <w:pPr>
              <w:spacing w:after="0"/>
            </w:pPr>
            <w:r>
              <w:t xml:space="preserve">За проекта на централата AP1000 са извършени два набора от анализи на </w:t>
            </w:r>
            <w:r w:rsidR="00CC604C">
              <w:t xml:space="preserve">радиологични </w:t>
            </w:r>
            <w:r>
              <w:t xml:space="preserve">последици. В САЩ </w:t>
            </w:r>
            <w:r w:rsidR="00CC604C">
              <w:t xml:space="preserve">радиологичните </w:t>
            </w:r>
            <w:r>
              <w:t xml:space="preserve">последици исторически се изчисляват с помощта на много консервативни методики (при които разглеждането на тежки аварии е включено като част от анализа на проектната доза) и също така се сравняват със специфични критерии за приемане, съответстващи на тези консервативни допускания. Анализите на дозата, представени в Глава 15 на ДКП [3], са извършени в този контекст, като отговарят на изискванията на САЩ. За процеса на лицензиране на Общата оценка на проекта (GDA) на Обединеното кралство изчисленията на дозата бяха извършени, като бяха използвани по-реалистични </w:t>
            </w:r>
            <w:r>
              <w:lastRenderedPageBreak/>
              <w:t>допускания, в съответствие с обичайната регулаторна практика извън САЩ.</w:t>
            </w:r>
          </w:p>
          <w:p w14:paraId="3F8F7242" w14:textId="7B2AFD59" w:rsidR="00D6759A" w:rsidRDefault="00D6759A" w:rsidP="006D5FEB">
            <w:pPr>
              <w:spacing w:after="0"/>
            </w:pPr>
            <w:r>
              <w:t xml:space="preserve">Анализите, приложими за референтната централа, са тези, представени в Глава 15 на ДКП. Дозите на </w:t>
            </w:r>
            <w:r w:rsidR="009313D8">
              <w:t>о</w:t>
            </w:r>
            <w:r w:rsidR="009313D8" w:rsidRPr="009313D8">
              <w:t>бщ</w:t>
            </w:r>
            <w:r w:rsidR="009313D8">
              <w:t>ия</w:t>
            </w:r>
            <w:r w:rsidR="009313D8" w:rsidRPr="009313D8">
              <w:t xml:space="preserve"> ефективен дозов еквивалент</w:t>
            </w:r>
            <w:r>
              <w:t xml:space="preserve"> (</w:t>
            </w:r>
            <w:r w:rsidR="009313D8">
              <w:t>ОЕДЕ</w:t>
            </w:r>
            <w:r>
              <w:t xml:space="preserve">), изчислени за лицензиране в САЩ, включват приноса на вдишването и </w:t>
            </w:r>
            <w:r w:rsidR="004F7CC3">
              <w:t>облъчването</w:t>
            </w:r>
            <w:r>
              <w:t xml:space="preserve">. Дозите се изчисляват в блочния щит за управление, на границата на площадката или на границата на зоната със строг режим (ГЗСС) за ограничаващия 2-часов интервал, и на външната граница на рядко населената зона (РНЗ) за продължителността на аварийните изхвърляния. Взема се предвид само възрастовата група на възрастните. В САЩ критериите за приемане на радиологични изхвърляния, изчислени и представени в ДКП, са установени в 10 CFR 50.34, който изисква: </w:t>
            </w:r>
          </w:p>
          <w:p w14:paraId="7D1F36CC" w14:textId="0EEF5451" w:rsidR="00D6759A" w:rsidRDefault="00D6759A" w:rsidP="00784989">
            <w:pPr>
              <w:pStyle w:val="ListParagraph"/>
              <w:numPr>
                <w:ilvl w:val="0"/>
                <w:numId w:val="62"/>
              </w:numPr>
              <w:spacing w:before="120" w:after="120"/>
            </w:pPr>
            <w:r>
              <w:t>Лице, намиращо се на границата на зоната със строг режим за всеки период от 2 часа, няма да получи доза, надвишаваща 25 rem (250 mSv) СЕЕД,</w:t>
            </w:r>
          </w:p>
          <w:p w14:paraId="318634BC" w14:textId="77777777" w:rsidR="00D6759A" w:rsidRPr="007C4275" w:rsidRDefault="00D6759A" w:rsidP="00784989">
            <w:pPr>
              <w:pStyle w:val="ListParagraph"/>
              <w:numPr>
                <w:ilvl w:val="0"/>
                <w:numId w:val="61"/>
              </w:numPr>
              <w:spacing w:before="120"/>
              <w:ind w:left="714" w:hanging="357"/>
            </w:pPr>
            <w:r>
              <w:t>Човек, намиращ се на външната граница на рядко населената зона, няма да получи радиационна доза, надвишаваща 25 rem (250 mSv) СЕЕД. Всички събития, анализирани, както е описано в глава 15 на ДКП, отговарят на критериите на САЩ за приемане.</w:t>
            </w:r>
          </w:p>
          <w:p w14:paraId="04A1D742" w14:textId="0E82586F" w:rsidR="00D6759A" w:rsidRPr="00C469CC" w:rsidRDefault="00D6759A" w:rsidP="006D5FEB">
            <w:pPr>
              <w:spacing w:after="200"/>
              <w:rPr>
                <w:lang w:val="en-US"/>
              </w:rPr>
            </w:pPr>
            <w:r>
              <w:t xml:space="preserve">Обърнете внимание, че макар изискванията на NRC да изглеждат по-малко строги, това не е непременно вярно поради консервативността, която е включена в подхода на NRC на САЩ (главно изискването източникът на радиоактивност да се основава на детерминистична авария с разтопяване на активната зона, което означава значително </w:t>
            </w:r>
            <w:r>
              <w:lastRenderedPageBreak/>
              <w:t>по-консервативен източник на радиоактивност). NRC на САЩ изисква оценката на дозата за LOCA да съдържа източник на радиоактивност, съответстващ на пълно разтопяване на активната зона, въпреки че анализът на безопасността предвижда ограничени откази на топлоотделящите елементи и поддържане на охлаждаща геометрия</w:t>
            </w:r>
            <w:r w:rsidR="00E62CF8">
              <w:rPr>
                <w:lang w:val="en-US"/>
              </w:rPr>
              <w:t xml:space="preserve"> </w:t>
            </w:r>
            <w:r w:rsidR="00E62CF8">
              <w:t>(активна зона)</w:t>
            </w:r>
            <w:r>
              <w:t>. Изискванията към анализа в САЩ, които по този начин са значително по-консервативни, в някои случаи имат съответно по-високи пределни стойности, отколкото в други държави; това е причината резултатите от ДКП да не съответстват на пределните стойности, предписани в други държави, но причината, както е обяснено по-горе, се дължи просто на различната методология за лицензиране и терминология, използвани при анализите на дозите в специфичните за САЩ анализи.</w:t>
            </w:r>
          </w:p>
          <w:p w14:paraId="4FCBB2FA" w14:textId="494C236C" w:rsidR="00D6759A" w:rsidRPr="007C4275" w:rsidRDefault="00D6759A" w:rsidP="006D5FEB">
            <w:pPr>
              <w:spacing w:after="200"/>
            </w:pPr>
            <w:r>
              <w:t xml:space="preserve">Вторият набор от анализи е извършен в подкрепа на усилията за лицензиране или преди лицензиране в други географски региони, например в Чешката република или в Обединеното кралство, особено по време на процеса на лицензиране в Обединеното кралство; британският регулатор поиска от Уестингхаус да изчисли </w:t>
            </w:r>
            <w:r w:rsidR="00E62CF8">
              <w:t xml:space="preserve">радиологични </w:t>
            </w:r>
            <w:r>
              <w:t xml:space="preserve">последици от проектни грешки, като използва методи и допускания, съответстващи на съответната практика в Обединеното кралство, които обикновено са по-реалистични от американските методи. Изчисленията на дозата включват приноса на вдишването и </w:t>
            </w:r>
            <w:r w:rsidR="00E62CF8">
              <w:t>облъчването</w:t>
            </w:r>
            <w:r>
              <w:t xml:space="preserve">, както и на активността, отложена върху земята. Дозите се изчисляват не само в ГЗСС, РНЗ и в БЩУ, но и на всяко отделно място. Дозите на всички места се изчисляват за продължителността на изхвърлянията и се съобщават за възрастните възрастови </w:t>
            </w:r>
            <w:r>
              <w:lastRenderedPageBreak/>
              <w:t>групи. Приносът към дозите от активност, отложена върху земята, се основава на цяла година въздействие върху замърсената земя. Тези изчисления за оценка дават увереност, че анализът може да е достатъчен, за да се постигне съответствие с тези референтни нива.</w:t>
            </w:r>
          </w:p>
          <w:p w14:paraId="06BF4E4E" w14:textId="6E933A6C" w:rsidR="00D6759A" w:rsidRPr="00BF7185" w:rsidRDefault="00D6759A" w:rsidP="008B5443">
            <w:pPr>
              <w:rPr>
                <w:rFonts w:eastAsiaTheme="minorHAnsi" w:cstheme="minorBidi"/>
              </w:rPr>
            </w:pPr>
            <w:r>
              <w:t>Въпреки това, за да се изпълнят Стандартите за безопасност на МААЕ № GSR, Част 3, Радиационна защита и безопасност на източниците на радиация: Международни основни стандарти за безопасност, ще е необходимо да се извършат конкретни изчисления за анализите на авариите.</w:t>
            </w:r>
          </w:p>
        </w:tc>
      </w:tr>
      <w:tr w:rsidR="00583285" w14:paraId="102B6636" w14:textId="77777777" w:rsidTr="007A556F">
        <w:tc>
          <w:tcPr>
            <w:tcW w:w="797" w:type="dxa"/>
          </w:tcPr>
          <w:p w14:paraId="4E899AF5" w14:textId="6DE32B13" w:rsidR="00583285" w:rsidRDefault="00583285" w:rsidP="00583285">
            <w:r>
              <w:lastRenderedPageBreak/>
              <w:t>4.9.</w:t>
            </w:r>
          </w:p>
        </w:tc>
        <w:tc>
          <w:tcPr>
            <w:tcW w:w="5152" w:type="dxa"/>
          </w:tcPr>
          <w:p w14:paraId="100A75A9" w14:textId="0C1A7709" w:rsidR="00583285" w:rsidRPr="0040380D" w:rsidRDefault="00583285" w:rsidP="00583285">
            <w:pPr>
              <w:rPr>
                <w:highlight w:val="cyan"/>
              </w:rPr>
            </w:pPr>
            <w:r>
              <w:t>Всяко защитно действие се обосновава в контекста на стратегията за защита.</w:t>
            </w:r>
          </w:p>
        </w:tc>
        <w:tc>
          <w:tcPr>
            <w:tcW w:w="1559" w:type="dxa"/>
          </w:tcPr>
          <w:p w14:paraId="7C5080E6" w14:textId="1C898B18" w:rsidR="00583285" w:rsidRDefault="00DE5355" w:rsidP="00583285">
            <w:pPr>
              <w:jc w:val="center"/>
            </w:pPr>
            <w:r>
              <w:t>OR</w:t>
            </w:r>
          </w:p>
        </w:tc>
        <w:tc>
          <w:tcPr>
            <w:tcW w:w="5987" w:type="dxa"/>
          </w:tcPr>
          <w:p w14:paraId="376DF3B6" w14:textId="0A81CEA2" w:rsidR="00C515B5" w:rsidRPr="00C515B5" w:rsidRDefault="00DE5355" w:rsidP="00557DE4">
            <w:r>
              <w:t>Това е отговорност на Собственика/Лицензианта.</w:t>
            </w:r>
          </w:p>
        </w:tc>
      </w:tr>
      <w:tr w:rsidR="00583285" w14:paraId="7EF3FEA5" w14:textId="77777777" w:rsidTr="007A556F">
        <w:tc>
          <w:tcPr>
            <w:tcW w:w="797" w:type="dxa"/>
          </w:tcPr>
          <w:p w14:paraId="6BFCD7F7" w14:textId="0BBBB44D" w:rsidR="00583285" w:rsidRDefault="00583285" w:rsidP="00583285">
            <w:bookmarkStart w:id="79" w:name="_Hlk119494924"/>
            <w:r>
              <w:t>4.10.</w:t>
            </w:r>
          </w:p>
        </w:tc>
        <w:tc>
          <w:tcPr>
            <w:tcW w:w="5152" w:type="dxa"/>
          </w:tcPr>
          <w:p w14:paraId="5DF62154" w14:textId="583CDD48" w:rsidR="00583285" w:rsidRPr="00815E9C" w:rsidRDefault="00583285" w:rsidP="00583285">
            <w:pPr>
              <w:rPr>
                <w:b/>
                <w:bCs/>
              </w:rPr>
            </w:pPr>
            <w:r>
              <w:t>Правителството гарантира, че при предприемането на мерки за готовност и реагиране при извънредни ситуации се взема предвид, че извънредните ситуации са динамични, че решенията, взети в началото на реагирането при извънредни ситуации, могат да повлияят на последващите действия и че в различните географски райони може да има различни преобладаващи условия и различни изисквания за реагиране.</w:t>
            </w:r>
          </w:p>
        </w:tc>
        <w:tc>
          <w:tcPr>
            <w:tcW w:w="1559" w:type="dxa"/>
          </w:tcPr>
          <w:p w14:paraId="4669846F" w14:textId="2830195E" w:rsidR="00583285" w:rsidRDefault="007F0DC6" w:rsidP="00583285">
            <w:pPr>
              <w:jc w:val="center"/>
            </w:pPr>
            <w:r>
              <w:t>EP</w:t>
            </w:r>
          </w:p>
        </w:tc>
        <w:tc>
          <w:tcPr>
            <w:tcW w:w="5987" w:type="dxa"/>
          </w:tcPr>
          <w:p w14:paraId="590A65E6" w14:textId="3136CCEA" w:rsidR="00583285" w:rsidRDefault="00E70076" w:rsidP="00583285">
            <w:r>
              <w:t>Това е отговорност на Правителството.</w:t>
            </w:r>
          </w:p>
        </w:tc>
      </w:tr>
      <w:bookmarkEnd w:id="79"/>
      <w:tr w:rsidR="00583285" w14:paraId="26F7B115" w14:textId="77777777" w:rsidTr="007A556F">
        <w:tc>
          <w:tcPr>
            <w:tcW w:w="797" w:type="dxa"/>
          </w:tcPr>
          <w:p w14:paraId="717CF4D4" w14:textId="75C827A3" w:rsidR="00583285" w:rsidRDefault="00583285" w:rsidP="00583285">
            <w:r>
              <w:t>4.11.</w:t>
            </w:r>
          </w:p>
        </w:tc>
        <w:tc>
          <w:tcPr>
            <w:tcW w:w="5152" w:type="dxa"/>
          </w:tcPr>
          <w:p w14:paraId="61C950A4" w14:textId="4C475B7C" w:rsidR="00583285" w:rsidRDefault="00583285" w:rsidP="00583285">
            <w:r>
              <w:t xml:space="preserve">Правителството осигурява реагиране в ситуация на аварийно облъчване посредством своевременно осъществяване на мерки за аварийно реагиране, включително, но не само: </w:t>
            </w:r>
            <w:r>
              <w:br/>
              <w:t xml:space="preserve">(а) незабавно предприемане на защитни действия и други действия за реагиране с цел избягване на </w:t>
            </w:r>
            <w:r>
              <w:lastRenderedPageBreak/>
              <w:t xml:space="preserve">тежки детерминистични ефекти въз основа на наблюдаваните условия и, ако е възможно, преди да е настъпило облъчване. Нивата на дозите, които се изисква да бъдат използвани като общи критерии за предотвратяване на тежки детерминистични ефекти, са дадени в Таблица IV.1 на Приложение IV (стр. 372); </w:t>
            </w:r>
            <w:r>
              <w:br/>
              <w:t xml:space="preserve">б) оценка на ефективността на предприетите защитни действия и други действия за реагиране и тяхното изменение, ако е необходимо; </w:t>
            </w:r>
            <w:r>
              <w:br/>
              <w:t xml:space="preserve">в) сравняване на остатъчните дози с приложимото референтно ниво, като се дава приоритет на групите, за които остатъчните дози превишават референтното ниво; </w:t>
            </w:r>
            <w:r>
              <w:br/>
              <w:t>г) прилагане на допълнителни стратегии за защита, ако е необходимо, въз основа на преобладаващите условия и наличната информация.</w:t>
            </w:r>
          </w:p>
        </w:tc>
        <w:tc>
          <w:tcPr>
            <w:tcW w:w="1559" w:type="dxa"/>
          </w:tcPr>
          <w:p w14:paraId="03278583" w14:textId="37004004" w:rsidR="00583285" w:rsidRDefault="007F0DC6" w:rsidP="00583285">
            <w:pPr>
              <w:jc w:val="center"/>
            </w:pPr>
            <w:r>
              <w:lastRenderedPageBreak/>
              <w:t>EP</w:t>
            </w:r>
          </w:p>
        </w:tc>
        <w:tc>
          <w:tcPr>
            <w:tcW w:w="5987" w:type="dxa"/>
          </w:tcPr>
          <w:p w14:paraId="0948562B" w14:textId="6E7203D4" w:rsidR="003168AF" w:rsidRDefault="00E70076" w:rsidP="00583285">
            <w:pPr>
              <w:rPr>
                <w:rFonts w:eastAsiaTheme="minorHAnsi" w:cstheme="minorBidi"/>
              </w:rPr>
            </w:pPr>
            <w:r>
              <w:t>Това е отговорност на Правителството.</w:t>
            </w:r>
          </w:p>
          <w:p w14:paraId="1E39B594" w14:textId="352CA931" w:rsidR="00EC49DB" w:rsidRPr="00EC49DB" w:rsidRDefault="00EC49DB" w:rsidP="00583285">
            <w:pPr>
              <w:rPr>
                <w:rFonts w:eastAsiaTheme="minorHAnsi" w:cstheme="minorBidi"/>
                <w:kern w:val="0"/>
              </w:rPr>
            </w:pPr>
            <w:r>
              <w:t xml:space="preserve">Приложение IV може да бъде намерено в документа, наречен “Радиационна защита и безопасност на </w:t>
            </w:r>
            <w:r>
              <w:lastRenderedPageBreak/>
              <w:t>източниците на радиация: Международни основни стандарти за безопасност”, публикуван от МААЕ.</w:t>
            </w:r>
          </w:p>
        </w:tc>
      </w:tr>
    </w:tbl>
    <w:p w14:paraId="5BF17740" w14:textId="6B85CBBE" w:rsidR="00755728" w:rsidRPr="00755728" w:rsidRDefault="00755728" w:rsidP="00894DF1">
      <w:pPr>
        <w:spacing w:before="240" w:after="0"/>
        <w:rPr>
          <w:b/>
          <w:bCs/>
        </w:rPr>
      </w:pPr>
      <w:r>
        <w:rPr>
          <w:b/>
        </w:rPr>
        <w:lastRenderedPageBreak/>
        <w:tab/>
        <w:t>ОБЛЪЧВАНЕ НА АВАРИЙНИ РАБОТНИЦИ</w:t>
      </w:r>
    </w:p>
    <w:p w14:paraId="0028B907" w14:textId="296D2A03" w:rsidR="00EA5C68" w:rsidRPr="00EA5C68" w:rsidRDefault="00EA5C68" w:rsidP="00755728">
      <w:pPr>
        <w:pStyle w:val="Heading3"/>
      </w:pPr>
      <w:bookmarkStart w:id="80" w:name="_Toc155347823"/>
      <w:r>
        <w:t>Изискване 45: Мерки за контрол на облъчването на аварийни работници</w:t>
      </w:r>
      <w:bookmarkEnd w:id="80"/>
    </w:p>
    <w:tbl>
      <w:tblPr>
        <w:tblStyle w:val="TableGrid"/>
        <w:tblW w:w="13495" w:type="dxa"/>
        <w:tblLayout w:type="fixed"/>
        <w:tblLook w:val="04A0" w:firstRow="1" w:lastRow="0" w:firstColumn="1" w:lastColumn="0" w:noHBand="0" w:noVBand="1"/>
      </w:tblPr>
      <w:tblGrid>
        <w:gridCol w:w="797"/>
        <w:gridCol w:w="5152"/>
        <w:gridCol w:w="1559"/>
        <w:gridCol w:w="5987"/>
      </w:tblGrid>
      <w:tr w:rsidR="00EA5C68" w14:paraId="70132285" w14:textId="77777777" w:rsidTr="007A556F">
        <w:trPr>
          <w:tblHeader/>
        </w:trPr>
        <w:tc>
          <w:tcPr>
            <w:tcW w:w="797" w:type="dxa"/>
          </w:tcPr>
          <w:p w14:paraId="354EE728" w14:textId="77777777" w:rsidR="00EA5C68" w:rsidRDefault="00EA5C68" w:rsidP="00B723E1"/>
        </w:tc>
        <w:tc>
          <w:tcPr>
            <w:tcW w:w="5152" w:type="dxa"/>
          </w:tcPr>
          <w:p w14:paraId="2F06CA6B" w14:textId="77777777" w:rsidR="00EA5C68" w:rsidRDefault="00EA5C68" w:rsidP="00B723E1">
            <w:r>
              <w:rPr>
                <w:b/>
              </w:rPr>
              <w:t>Описание</w:t>
            </w:r>
          </w:p>
        </w:tc>
        <w:tc>
          <w:tcPr>
            <w:tcW w:w="1559" w:type="dxa"/>
          </w:tcPr>
          <w:p w14:paraId="3290276A" w14:textId="77777777" w:rsidR="00EA5C68" w:rsidRDefault="00EA5C68" w:rsidP="00B723E1">
            <w:r>
              <w:rPr>
                <w:b/>
              </w:rPr>
              <w:t>Съответствие</w:t>
            </w:r>
          </w:p>
        </w:tc>
        <w:tc>
          <w:tcPr>
            <w:tcW w:w="5987" w:type="dxa"/>
          </w:tcPr>
          <w:p w14:paraId="5F44DE5B" w14:textId="77777777" w:rsidR="00EA5C68" w:rsidRDefault="00EA5C68" w:rsidP="00B723E1">
            <w:r>
              <w:rPr>
                <w:b/>
              </w:rPr>
              <w:t>Обосновка</w:t>
            </w:r>
          </w:p>
        </w:tc>
      </w:tr>
      <w:tr w:rsidR="00AD3B96" w14:paraId="7BA83052" w14:textId="77777777" w:rsidTr="007A556F">
        <w:tc>
          <w:tcPr>
            <w:tcW w:w="797" w:type="dxa"/>
          </w:tcPr>
          <w:p w14:paraId="292043E0" w14:textId="77777777" w:rsidR="00AD3B96" w:rsidRDefault="00AD3B96" w:rsidP="00AD3B96"/>
        </w:tc>
        <w:tc>
          <w:tcPr>
            <w:tcW w:w="5152" w:type="dxa"/>
          </w:tcPr>
          <w:p w14:paraId="7FE08B83" w14:textId="13594D18" w:rsidR="00AD3B96" w:rsidRPr="00501497" w:rsidRDefault="00AD3B96" w:rsidP="00AD3B96">
            <w:pPr>
              <w:rPr>
                <w:b/>
                <w:bCs/>
              </w:rPr>
            </w:pPr>
            <w:r>
              <w:rPr>
                <w:b/>
              </w:rPr>
              <w:t>Правителството създава програма за управление, контрол и регистриране на дозите, получени от аварийни работници в аварийна ситуация.</w:t>
            </w:r>
          </w:p>
        </w:tc>
        <w:tc>
          <w:tcPr>
            <w:tcW w:w="1559" w:type="dxa"/>
          </w:tcPr>
          <w:p w14:paraId="64552DAE" w14:textId="4A5B2E6D" w:rsidR="00AD3B96" w:rsidRDefault="00B43B00" w:rsidP="00AD3B96">
            <w:pPr>
              <w:jc w:val="center"/>
            </w:pPr>
            <w:r>
              <w:t>EP</w:t>
            </w:r>
          </w:p>
        </w:tc>
        <w:tc>
          <w:tcPr>
            <w:tcW w:w="5987" w:type="dxa"/>
          </w:tcPr>
          <w:p w14:paraId="32C64740" w14:textId="3DBA1FE4" w:rsidR="00AD3B96" w:rsidRDefault="00E70076" w:rsidP="00AD3B96">
            <w:r>
              <w:t>Това е отговорност на Правителството.</w:t>
            </w:r>
          </w:p>
        </w:tc>
      </w:tr>
      <w:tr w:rsidR="00AD3B96" w14:paraId="250D0BB1" w14:textId="77777777" w:rsidTr="007A556F">
        <w:tc>
          <w:tcPr>
            <w:tcW w:w="797" w:type="dxa"/>
          </w:tcPr>
          <w:p w14:paraId="7E52C454" w14:textId="03A35E04" w:rsidR="00AD3B96" w:rsidRDefault="00AD3B96" w:rsidP="00AD3B96">
            <w:r>
              <w:t>4.12.</w:t>
            </w:r>
          </w:p>
        </w:tc>
        <w:tc>
          <w:tcPr>
            <w:tcW w:w="5152" w:type="dxa"/>
          </w:tcPr>
          <w:p w14:paraId="1DBA2C15" w14:textId="411E1090" w:rsidR="00AD3B96" w:rsidRPr="00EA5C68" w:rsidRDefault="00AD3B96" w:rsidP="00AD3B96">
            <w:pPr>
              <w:rPr>
                <w:b/>
                <w:bCs/>
              </w:rPr>
            </w:pPr>
            <w:r>
              <w:t xml:space="preserve">Правителството създава програма за управление, контрол и регистриране на дозите, получени от аварийни работници в аварийна ситуация, която се </w:t>
            </w:r>
            <w:r>
              <w:lastRenderedPageBreak/>
              <w:t>реализира от организации за реагиране и работодатели.</w:t>
            </w:r>
          </w:p>
        </w:tc>
        <w:tc>
          <w:tcPr>
            <w:tcW w:w="1559" w:type="dxa"/>
          </w:tcPr>
          <w:p w14:paraId="0A39E5D1" w14:textId="382D50EC" w:rsidR="00AD3B96" w:rsidRDefault="00B43B00" w:rsidP="00AD3B96">
            <w:pPr>
              <w:jc w:val="center"/>
            </w:pPr>
            <w:r>
              <w:lastRenderedPageBreak/>
              <w:t>EP</w:t>
            </w:r>
          </w:p>
        </w:tc>
        <w:tc>
          <w:tcPr>
            <w:tcW w:w="5987" w:type="dxa"/>
          </w:tcPr>
          <w:p w14:paraId="6A3241A3" w14:textId="75B5E9DA" w:rsidR="00AD3B96" w:rsidRDefault="00E70076" w:rsidP="00AD3B96">
            <w:r>
              <w:t>Това е отговорност на Правителството.</w:t>
            </w:r>
          </w:p>
        </w:tc>
      </w:tr>
      <w:tr w:rsidR="00BC348A" w14:paraId="20EB3AE2" w14:textId="77777777" w:rsidTr="007A556F">
        <w:tc>
          <w:tcPr>
            <w:tcW w:w="797" w:type="dxa"/>
          </w:tcPr>
          <w:p w14:paraId="00865A59" w14:textId="6D70BB5F" w:rsidR="00BC348A" w:rsidRDefault="00BC348A" w:rsidP="00BC348A">
            <w:r>
              <w:t>4.13.</w:t>
            </w:r>
          </w:p>
        </w:tc>
        <w:tc>
          <w:tcPr>
            <w:tcW w:w="5152" w:type="dxa"/>
          </w:tcPr>
          <w:p w14:paraId="58655ABB" w14:textId="062DDFE1" w:rsidR="00BC348A" w:rsidRPr="00121245" w:rsidRDefault="00BC348A" w:rsidP="00BC348A">
            <w:r>
              <w:t>Организацията за реагиране и работодателите, отговорни за осигуряване на спазването на изискванията в т. 4.14-4.19, се посочват в аварийния план.</w:t>
            </w:r>
          </w:p>
        </w:tc>
        <w:tc>
          <w:tcPr>
            <w:tcW w:w="1559" w:type="dxa"/>
          </w:tcPr>
          <w:p w14:paraId="4356AD7F" w14:textId="2ED4394E" w:rsidR="00BC348A" w:rsidRDefault="00BC348A" w:rsidP="00BC348A">
            <w:pPr>
              <w:jc w:val="center"/>
            </w:pPr>
            <w:r>
              <w:t>EP</w:t>
            </w:r>
          </w:p>
        </w:tc>
        <w:tc>
          <w:tcPr>
            <w:tcW w:w="5987" w:type="dxa"/>
          </w:tcPr>
          <w:p w14:paraId="6F4ABAC0" w14:textId="41D536C9" w:rsidR="00BC348A" w:rsidRDefault="00BC348A" w:rsidP="00BC348A">
            <w:r>
              <w:t>Това е отговорност на Правителството.</w:t>
            </w:r>
          </w:p>
        </w:tc>
      </w:tr>
      <w:tr w:rsidR="00430892" w14:paraId="7F948674" w14:textId="77777777" w:rsidTr="007A556F">
        <w:tc>
          <w:tcPr>
            <w:tcW w:w="797" w:type="dxa"/>
          </w:tcPr>
          <w:p w14:paraId="7B3EAF90" w14:textId="6A47BF72" w:rsidR="00430892" w:rsidRDefault="00430892" w:rsidP="00430892">
            <w:r>
              <w:t>4.14.</w:t>
            </w:r>
          </w:p>
        </w:tc>
        <w:tc>
          <w:tcPr>
            <w:tcW w:w="5152" w:type="dxa"/>
          </w:tcPr>
          <w:p w14:paraId="34356EBC" w14:textId="6C2A6D73" w:rsidR="00430892" w:rsidRPr="00121245" w:rsidRDefault="00430892" w:rsidP="00430892">
            <w:r>
              <w:t>В ситуация на аварийно облъчване съответните изисквания за професионално облъчване в ситуации на планирано облъчване (т. 3.69-3.116) се прилагат за аварийните работници в съответствие с диференциран подход, освен в случаите, предвидени в т. 4.15.</w:t>
            </w:r>
          </w:p>
        </w:tc>
        <w:tc>
          <w:tcPr>
            <w:tcW w:w="1559" w:type="dxa"/>
          </w:tcPr>
          <w:p w14:paraId="00E5EDAE" w14:textId="234FA46E" w:rsidR="00430892" w:rsidRDefault="00DE5355" w:rsidP="00430892">
            <w:pPr>
              <w:jc w:val="center"/>
            </w:pPr>
            <w:r>
              <w:t>OR, EP</w:t>
            </w:r>
          </w:p>
        </w:tc>
        <w:tc>
          <w:tcPr>
            <w:tcW w:w="5987" w:type="dxa"/>
          </w:tcPr>
          <w:p w14:paraId="0FDBD55A" w14:textId="1B36FB1A" w:rsidR="00430892" w:rsidRDefault="009B2189" w:rsidP="00430892">
            <w:r>
              <w:t>Това е отговорност на Собственика/Лицензианта и/или външни страни.</w:t>
            </w:r>
          </w:p>
        </w:tc>
      </w:tr>
      <w:tr w:rsidR="00430892" w14:paraId="59582CAE" w14:textId="77777777" w:rsidTr="007A556F">
        <w:tc>
          <w:tcPr>
            <w:tcW w:w="797" w:type="dxa"/>
          </w:tcPr>
          <w:p w14:paraId="7FF714A6" w14:textId="23140F6C" w:rsidR="00430892" w:rsidRDefault="00430892" w:rsidP="00430892">
            <w:r>
              <w:t>4.15.</w:t>
            </w:r>
          </w:p>
        </w:tc>
        <w:tc>
          <w:tcPr>
            <w:tcW w:w="5152" w:type="dxa"/>
          </w:tcPr>
          <w:p w14:paraId="091C50DB" w14:textId="1BE9C56B" w:rsidR="00430892" w:rsidRPr="00121245" w:rsidRDefault="00430892" w:rsidP="00430892">
            <w:pPr>
              <w:rPr>
                <w:b/>
                <w:bCs/>
              </w:rPr>
            </w:pPr>
            <w:r>
              <w:t>Организациите за реагиране и работодателите гарантират, че нито един работник в аварийна ситуация не е подложен на облъчване, превишаващо 50 mSv, освен в посочените по-долу случаи:</w:t>
            </w:r>
            <w:r>
              <w:br/>
              <w:t xml:space="preserve">(а) с цел спасяване на човешки живот или предотвратяване на сериозни наранявания; </w:t>
            </w:r>
            <w:r>
              <w:br/>
              <w:t xml:space="preserve">(б) при предприемане на действия за предотвратяване на тежки детерминистични ефекти и действия за предотвратяване развитието на катастрофални условия, които биха могли да окажат значително въздействие върху хората и околната среда; или </w:t>
            </w:r>
            <w:r>
              <w:br/>
              <w:t>(в) при предприемане на действия за предотвратяване на голяма колективна доза.</w:t>
            </w:r>
          </w:p>
        </w:tc>
        <w:tc>
          <w:tcPr>
            <w:tcW w:w="1559" w:type="dxa"/>
          </w:tcPr>
          <w:p w14:paraId="1E568574" w14:textId="48407D6D" w:rsidR="00430892" w:rsidRDefault="00DE5355" w:rsidP="00430892">
            <w:pPr>
              <w:jc w:val="center"/>
            </w:pPr>
            <w:r>
              <w:t>OR, EP</w:t>
            </w:r>
          </w:p>
        </w:tc>
        <w:tc>
          <w:tcPr>
            <w:tcW w:w="5987" w:type="dxa"/>
          </w:tcPr>
          <w:p w14:paraId="784A66D7" w14:textId="41BBF1CD" w:rsidR="00430892" w:rsidRDefault="00DE5355" w:rsidP="00430892">
            <w:r>
              <w:t>Това е отговорност на Собственика/Лицензианта и/или външни страни.</w:t>
            </w:r>
          </w:p>
        </w:tc>
      </w:tr>
      <w:tr w:rsidR="00430892" w14:paraId="1ABA49CE" w14:textId="77777777" w:rsidTr="007A556F">
        <w:tc>
          <w:tcPr>
            <w:tcW w:w="797" w:type="dxa"/>
          </w:tcPr>
          <w:p w14:paraId="26B702AD" w14:textId="4B314AA0" w:rsidR="00430892" w:rsidRDefault="00430892" w:rsidP="00430892">
            <w:r>
              <w:lastRenderedPageBreak/>
              <w:t>4.16.</w:t>
            </w:r>
          </w:p>
        </w:tc>
        <w:tc>
          <w:tcPr>
            <w:tcW w:w="5152" w:type="dxa"/>
          </w:tcPr>
          <w:p w14:paraId="3F9C5F38" w14:textId="08F7B31D" w:rsidR="00430892" w:rsidRPr="00121245" w:rsidRDefault="00430892">
            <w:r>
              <w:t>При изключителните обстоятелства, посочени в т. 4.15, организациите за реагиране и работодателите трябва да положат всички разумни усилия, за да поддържат дозите, получавани от аварийните работници, под стойностите, посочени в Таблица IV.2 на Приложение IV (стр. 373). Освен това, аварийни работници, предприемащи действия, в резултат на които дозите им могат да се доближат до или да надхвърлят стойностите, посочени в Таблица IV.2 на Приложение IV, трябва да правят това само когато очакваните ползи за другите ясно надвишават рисковете за аварийните работници.</w:t>
            </w:r>
          </w:p>
        </w:tc>
        <w:tc>
          <w:tcPr>
            <w:tcW w:w="1559" w:type="dxa"/>
          </w:tcPr>
          <w:p w14:paraId="6CFDBA5D" w14:textId="31F6104B" w:rsidR="00430892" w:rsidRDefault="00DE5355" w:rsidP="00430892">
            <w:pPr>
              <w:jc w:val="center"/>
            </w:pPr>
            <w:r>
              <w:t>OR, EP</w:t>
            </w:r>
          </w:p>
        </w:tc>
        <w:tc>
          <w:tcPr>
            <w:tcW w:w="5987" w:type="dxa"/>
          </w:tcPr>
          <w:p w14:paraId="72BA40B5" w14:textId="77777777" w:rsidR="005B07BA" w:rsidRDefault="005B07BA" w:rsidP="00EC49DB">
            <w:pPr>
              <w:rPr>
                <w:rFonts w:eastAsiaTheme="minorHAnsi" w:cstheme="minorBidi"/>
              </w:rPr>
            </w:pPr>
            <w:r>
              <w:t>Това е отговорност на Собственика/Лицензианта и/или външни страни.</w:t>
            </w:r>
          </w:p>
          <w:p w14:paraId="5CE36583" w14:textId="2491EA24" w:rsidR="00EC49DB" w:rsidRPr="00FE53E1" w:rsidRDefault="00EC49DB" w:rsidP="00430892">
            <w:pPr>
              <w:rPr>
                <w:rFonts w:eastAsiaTheme="minorHAnsi" w:cstheme="minorBidi"/>
                <w:kern w:val="0"/>
              </w:rPr>
            </w:pPr>
            <w:r>
              <w:t>Приложение IV може да бъде намерено в документа, наречен “Радиационна защита и безопасност на източниците на радиация: Международни основни стандарти за безопасност”, публикуван от МААЕ.</w:t>
            </w:r>
          </w:p>
        </w:tc>
      </w:tr>
      <w:tr w:rsidR="00430892" w14:paraId="1CA5B781" w14:textId="77777777" w:rsidTr="007A556F">
        <w:tc>
          <w:tcPr>
            <w:tcW w:w="797" w:type="dxa"/>
          </w:tcPr>
          <w:p w14:paraId="6F2940BE" w14:textId="4844C039" w:rsidR="00430892" w:rsidRDefault="00430892" w:rsidP="00430892">
            <w:r>
              <w:t>4.17.</w:t>
            </w:r>
          </w:p>
        </w:tc>
        <w:tc>
          <w:tcPr>
            <w:tcW w:w="5152" w:type="dxa"/>
          </w:tcPr>
          <w:p w14:paraId="1CA5B867" w14:textId="61761545" w:rsidR="00430892" w:rsidRPr="00121245" w:rsidRDefault="00430892" w:rsidP="00FE53E1">
            <w:r>
              <w:t>Организациите за реагиране и работодателите гарантират, че аварийни работници, предприемащи действия, при които получените дози могат да надхвърлят 50 mSv, правят това доброволно</w:t>
            </w:r>
            <w:r>
              <w:rPr>
                <w:vertAlign w:val="superscript"/>
              </w:rPr>
              <w:t>48</w:t>
            </w:r>
            <w:r>
              <w:t>; че те са били предварително ясно и изчерпателно информирани за съпътстващите рискове за здравето, както и за наличните мерки за защита и безопасност; и че те са, доколкото е възможно, обучени за действията, които може да се наложи да предприемат.</w:t>
            </w:r>
          </w:p>
        </w:tc>
        <w:tc>
          <w:tcPr>
            <w:tcW w:w="1559" w:type="dxa"/>
          </w:tcPr>
          <w:p w14:paraId="1CA0192B" w14:textId="0C132645" w:rsidR="00430892" w:rsidRDefault="00DE5355" w:rsidP="00430892">
            <w:pPr>
              <w:jc w:val="center"/>
            </w:pPr>
            <w:r>
              <w:t>OR, EP</w:t>
            </w:r>
          </w:p>
        </w:tc>
        <w:tc>
          <w:tcPr>
            <w:tcW w:w="5987" w:type="dxa"/>
          </w:tcPr>
          <w:p w14:paraId="44F2409E" w14:textId="68018ACD" w:rsidR="00430892" w:rsidRPr="005B07BA" w:rsidRDefault="00064CFD" w:rsidP="00430892">
            <w:pPr>
              <w:rPr>
                <w:rFonts w:eastAsiaTheme="minorHAnsi" w:cstheme="minorBidi"/>
              </w:rPr>
            </w:pPr>
            <w:r>
              <w:t>Това е отговорност на Собственика/Лицензианта и/или външни страни.</w:t>
            </w:r>
          </w:p>
        </w:tc>
      </w:tr>
      <w:tr w:rsidR="00064CFD" w14:paraId="416E19A0" w14:textId="77777777" w:rsidTr="007A556F">
        <w:tc>
          <w:tcPr>
            <w:tcW w:w="797" w:type="dxa"/>
          </w:tcPr>
          <w:p w14:paraId="25B95220" w14:textId="331316CA" w:rsidR="00064CFD" w:rsidRDefault="00064CFD" w:rsidP="00064CFD">
            <w:r>
              <w:t>4.18.</w:t>
            </w:r>
          </w:p>
        </w:tc>
        <w:tc>
          <w:tcPr>
            <w:tcW w:w="5152" w:type="dxa"/>
          </w:tcPr>
          <w:p w14:paraId="51906CC4" w14:textId="251BA264" w:rsidR="00064CFD" w:rsidRPr="00121245" w:rsidRDefault="00064CFD" w:rsidP="00064CFD">
            <w:r>
              <w:t>Организациите за реагиране и работодателите предприемат всички разумни мерки за оценка и регистриране на дозите, получени в аварийна ситуация от аварийни работници. На засегнатите работници се съобщава информация за получените дози и свързаните с тях рискове за здравето.</w:t>
            </w:r>
          </w:p>
        </w:tc>
        <w:tc>
          <w:tcPr>
            <w:tcW w:w="1559" w:type="dxa"/>
          </w:tcPr>
          <w:p w14:paraId="2CA97E8F" w14:textId="566CADE2" w:rsidR="00064CFD" w:rsidRDefault="00064CFD" w:rsidP="00064CFD">
            <w:pPr>
              <w:jc w:val="center"/>
            </w:pPr>
            <w:r>
              <w:t>OR, EP</w:t>
            </w:r>
          </w:p>
        </w:tc>
        <w:tc>
          <w:tcPr>
            <w:tcW w:w="5987" w:type="dxa"/>
          </w:tcPr>
          <w:p w14:paraId="7D69083D" w14:textId="5772980C" w:rsidR="00064CFD" w:rsidRDefault="00064CFD" w:rsidP="00064CFD">
            <w:r>
              <w:t>Това е отговорност на Собственика/Лицензианта и/или външни страни.</w:t>
            </w:r>
          </w:p>
        </w:tc>
      </w:tr>
      <w:tr w:rsidR="00064CFD" w14:paraId="45E8F63C" w14:textId="77777777" w:rsidTr="007A556F">
        <w:tc>
          <w:tcPr>
            <w:tcW w:w="797" w:type="dxa"/>
          </w:tcPr>
          <w:p w14:paraId="543BF58B" w14:textId="10FF74A2" w:rsidR="00064CFD" w:rsidRDefault="00064CFD" w:rsidP="00064CFD">
            <w:r>
              <w:lastRenderedPageBreak/>
              <w:t>4.19.</w:t>
            </w:r>
          </w:p>
        </w:tc>
        <w:tc>
          <w:tcPr>
            <w:tcW w:w="5152" w:type="dxa"/>
          </w:tcPr>
          <w:p w14:paraId="1B47A8AB" w14:textId="74EEA24B" w:rsidR="00FB24CD" w:rsidRPr="00121245" w:rsidRDefault="00064CFD" w:rsidP="008B5443">
            <w:r>
              <w:t>Работниците, които са получили дози в ситуация на аварийно облъчване, обикновено не се отстраняват от работи, свързани с по-нататъшно професионално облъчване. Въпреки това, ако такъв работник е получил доза, превишаваща 200 mSv, или, по молба на работника, преди всяко по-нататъшно професионално облъчване той получава квалифициран медицински съвет.</w:t>
            </w:r>
          </w:p>
        </w:tc>
        <w:tc>
          <w:tcPr>
            <w:tcW w:w="1559" w:type="dxa"/>
          </w:tcPr>
          <w:p w14:paraId="271E736D" w14:textId="22918439" w:rsidR="00064CFD" w:rsidRDefault="00064CFD" w:rsidP="00064CFD">
            <w:pPr>
              <w:jc w:val="center"/>
            </w:pPr>
            <w:r>
              <w:t>OR</w:t>
            </w:r>
          </w:p>
        </w:tc>
        <w:tc>
          <w:tcPr>
            <w:tcW w:w="5987" w:type="dxa"/>
          </w:tcPr>
          <w:p w14:paraId="563EE521" w14:textId="717D7894" w:rsidR="00064CFD" w:rsidRDefault="00064CFD" w:rsidP="00064CFD">
            <w:r>
              <w:t>Това е отговорност на Собственика/Лицензианта.</w:t>
            </w:r>
          </w:p>
        </w:tc>
      </w:tr>
    </w:tbl>
    <w:p w14:paraId="478D243A" w14:textId="51D5DCDB" w:rsidR="00AF4047" w:rsidRPr="00AF4047" w:rsidRDefault="00AF4047" w:rsidP="00894DF1">
      <w:pPr>
        <w:spacing w:before="240" w:after="0"/>
        <w:rPr>
          <w:b/>
          <w:bCs/>
          <w:sz w:val="24"/>
          <w:szCs w:val="24"/>
        </w:rPr>
      </w:pPr>
      <w:r>
        <w:rPr>
          <w:b/>
          <w:sz w:val="24"/>
        </w:rPr>
        <w:tab/>
        <w:t xml:space="preserve">ПРЕМИНАВАНЕ ОТ СИТУАЦИЯ НА АВАРИЙНО ОБЛЪЧВАНЕ КЪМ СИТУАЦИЯ НА СЪЩЕСТВУВАЩО ОБЛЪЧВАНЕ </w:t>
      </w:r>
    </w:p>
    <w:p w14:paraId="52B6161F" w14:textId="7442F3BA" w:rsidR="00EA5C68" w:rsidRPr="00EA5C68" w:rsidRDefault="00EA5C68" w:rsidP="00AF4047">
      <w:pPr>
        <w:pStyle w:val="Heading3"/>
      </w:pPr>
      <w:bookmarkStart w:id="81" w:name="_Toc155347824"/>
      <w:r>
        <w:t>Изискване 46: Мерки за преминаване от ситуация на аварийно облъчване към ситуация на съществуващо облъчване</w:t>
      </w:r>
      <w:bookmarkEnd w:id="81"/>
    </w:p>
    <w:tbl>
      <w:tblPr>
        <w:tblStyle w:val="TableGrid"/>
        <w:tblW w:w="13495" w:type="dxa"/>
        <w:tblLayout w:type="fixed"/>
        <w:tblLook w:val="04A0" w:firstRow="1" w:lastRow="0" w:firstColumn="1" w:lastColumn="0" w:noHBand="0" w:noVBand="1"/>
      </w:tblPr>
      <w:tblGrid>
        <w:gridCol w:w="797"/>
        <w:gridCol w:w="5152"/>
        <w:gridCol w:w="1559"/>
        <w:gridCol w:w="5987"/>
      </w:tblGrid>
      <w:tr w:rsidR="00EA5C68" w14:paraId="036E505F" w14:textId="77777777" w:rsidTr="007A556F">
        <w:trPr>
          <w:tblHeader/>
        </w:trPr>
        <w:tc>
          <w:tcPr>
            <w:tcW w:w="797" w:type="dxa"/>
          </w:tcPr>
          <w:p w14:paraId="2E7B7922" w14:textId="77777777" w:rsidR="00EA5C68" w:rsidRDefault="00EA5C68" w:rsidP="00B723E1"/>
        </w:tc>
        <w:tc>
          <w:tcPr>
            <w:tcW w:w="5152" w:type="dxa"/>
          </w:tcPr>
          <w:p w14:paraId="51E2C6F8" w14:textId="77777777" w:rsidR="00EA5C68" w:rsidRDefault="00EA5C68" w:rsidP="00B723E1">
            <w:r>
              <w:rPr>
                <w:b/>
              </w:rPr>
              <w:t>Описание</w:t>
            </w:r>
          </w:p>
        </w:tc>
        <w:tc>
          <w:tcPr>
            <w:tcW w:w="1559" w:type="dxa"/>
          </w:tcPr>
          <w:p w14:paraId="03F80C16" w14:textId="77777777" w:rsidR="00EA5C68" w:rsidRDefault="00EA5C68" w:rsidP="00B723E1">
            <w:r>
              <w:rPr>
                <w:b/>
              </w:rPr>
              <w:t>Съответствие</w:t>
            </w:r>
          </w:p>
        </w:tc>
        <w:tc>
          <w:tcPr>
            <w:tcW w:w="5987" w:type="dxa"/>
          </w:tcPr>
          <w:p w14:paraId="5DF4625C" w14:textId="77777777" w:rsidR="00EA5C68" w:rsidRDefault="00EA5C68" w:rsidP="00B723E1">
            <w:r>
              <w:rPr>
                <w:b/>
              </w:rPr>
              <w:t>Обосновка</w:t>
            </w:r>
          </w:p>
        </w:tc>
      </w:tr>
      <w:tr w:rsidR="00EA5C68" w14:paraId="43CE8553" w14:textId="77777777" w:rsidTr="007A556F">
        <w:tc>
          <w:tcPr>
            <w:tcW w:w="797" w:type="dxa"/>
          </w:tcPr>
          <w:p w14:paraId="3A0E0409" w14:textId="77777777" w:rsidR="00EA5C68" w:rsidRDefault="00EA5C68" w:rsidP="00B723E1"/>
        </w:tc>
        <w:tc>
          <w:tcPr>
            <w:tcW w:w="5152" w:type="dxa"/>
          </w:tcPr>
          <w:p w14:paraId="46BD9799" w14:textId="48FEB574" w:rsidR="00EA5C68" w:rsidRPr="00501497" w:rsidRDefault="00EA5C68" w:rsidP="004477BF">
            <w:pPr>
              <w:rPr>
                <w:b/>
                <w:bCs/>
              </w:rPr>
            </w:pPr>
            <w:r>
              <w:rPr>
                <w:b/>
              </w:rPr>
              <w:t>Правителството гарантира, че са въведени и се прилагат подходящи мерки за преминаване от ситуация на аварийно облъчване към ситуация на съществуващо облъчване.</w:t>
            </w:r>
          </w:p>
        </w:tc>
        <w:tc>
          <w:tcPr>
            <w:tcW w:w="1559" w:type="dxa"/>
          </w:tcPr>
          <w:p w14:paraId="726DA99D" w14:textId="09329885" w:rsidR="00EA5C68" w:rsidRDefault="00B43B00" w:rsidP="00D27590">
            <w:pPr>
              <w:jc w:val="center"/>
            </w:pPr>
            <w:r>
              <w:t>EP</w:t>
            </w:r>
          </w:p>
        </w:tc>
        <w:tc>
          <w:tcPr>
            <w:tcW w:w="5987" w:type="dxa"/>
          </w:tcPr>
          <w:p w14:paraId="7410CE7D" w14:textId="50FF9576" w:rsidR="00EA5C68" w:rsidRPr="003064A3" w:rsidRDefault="00E70076" w:rsidP="00B723E1">
            <w:pPr>
              <w:rPr>
                <w:rFonts w:eastAsiaTheme="minorHAnsi" w:cstheme="minorBidi"/>
              </w:rPr>
            </w:pPr>
            <w:r>
              <w:t>Това е отговорност на Правителството.</w:t>
            </w:r>
          </w:p>
        </w:tc>
      </w:tr>
      <w:tr w:rsidR="00EA5C68" w14:paraId="515C0A10" w14:textId="77777777" w:rsidTr="007A556F">
        <w:tc>
          <w:tcPr>
            <w:tcW w:w="797" w:type="dxa"/>
          </w:tcPr>
          <w:p w14:paraId="64DD9AFD" w14:textId="6BC76BEA" w:rsidR="00EA5C68" w:rsidRDefault="003376C5" w:rsidP="00B723E1">
            <w:r>
              <w:t>4.20.</w:t>
            </w:r>
          </w:p>
        </w:tc>
        <w:tc>
          <w:tcPr>
            <w:tcW w:w="5152" w:type="dxa"/>
          </w:tcPr>
          <w:p w14:paraId="248FD3F3" w14:textId="03104DC2" w:rsidR="00064CFD" w:rsidRDefault="00EA5C68" w:rsidP="00DA49D2">
            <w:r>
              <w:t xml:space="preserve">Правителството в рамките на своята обща аварийна готовност осигурява вземането на мерки за преминаване от ситуация на извънредно облъчване към ситуация на съществуващо облъчване. Мерките отчитат факта, че в различните географски райони преходът може да се осъществи по различно време. Решението за преминаване към ситуация на съществуващо облъчване се взема от отговорния орган. Преходът се извършва по координиран и организиран начин с необходимото </w:t>
            </w:r>
            <w:r>
              <w:lastRenderedPageBreak/>
              <w:t>преразпределяне на отговорности между организациите и с участието на съответните компетентни органи и заинтересовани страни.</w:t>
            </w:r>
          </w:p>
        </w:tc>
        <w:tc>
          <w:tcPr>
            <w:tcW w:w="1559" w:type="dxa"/>
          </w:tcPr>
          <w:p w14:paraId="3CC2C44E" w14:textId="53B150D7" w:rsidR="00EA5C68" w:rsidRDefault="00B43B00" w:rsidP="00D27590">
            <w:pPr>
              <w:jc w:val="center"/>
            </w:pPr>
            <w:r>
              <w:lastRenderedPageBreak/>
              <w:t>EP</w:t>
            </w:r>
          </w:p>
        </w:tc>
        <w:tc>
          <w:tcPr>
            <w:tcW w:w="5987" w:type="dxa"/>
          </w:tcPr>
          <w:p w14:paraId="16F1B290" w14:textId="675F04B6" w:rsidR="00EA5C68" w:rsidRDefault="00E70076" w:rsidP="00B723E1">
            <w:r>
              <w:t>Това е отговорност на Правителството и/или Собственика/Лицензианта.</w:t>
            </w:r>
          </w:p>
        </w:tc>
      </w:tr>
      <w:tr w:rsidR="00EA5C68" w14:paraId="77C3DE33" w14:textId="77777777" w:rsidTr="007A556F">
        <w:tc>
          <w:tcPr>
            <w:tcW w:w="797" w:type="dxa"/>
          </w:tcPr>
          <w:p w14:paraId="52FAFA27" w14:textId="361056D8" w:rsidR="00EA5C68" w:rsidRDefault="003376C5" w:rsidP="00B723E1">
            <w:r>
              <w:t>4.21.</w:t>
            </w:r>
          </w:p>
        </w:tc>
        <w:tc>
          <w:tcPr>
            <w:tcW w:w="5152" w:type="dxa"/>
          </w:tcPr>
          <w:p w14:paraId="015B8B0E" w14:textId="071F1547" w:rsidR="00DA49D2" w:rsidRDefault="00EA5C68" w:rsidP="00501497">
            <w:r>
              <w:t>Върху работниците, които извършват дейности като ремонт на съоръжения и сгради или дейности по управление на радиоактивни отпадъци, или предприемат възстановителни действия за дезактивация на площадката и околните райони, се разпространяват съответните изисквания за професионално облъчване в ситуации на планирано облъчване, изложени в Раздел 3.</w:t>
            </w:r>
          </w:p>
        </w:tc>
        <w:tc>
          <w:tcPr>
            <w:tcW w:w="1559" w:type="dxa"/>
          </w:tcPr>
          <w:p w14:paraId="2FF2463E" w14:textId="4508AA33" w:rsidR="00EA5C68" w:rsidRDefault="00DE5355" w:rsidP="00AD27DA">
            <w:pPr>
              <w:jc w:val="center"/>
            </w:pPr>
            <w:r>
              <w:t>OR, EP</w:t>
            </w:r>
          </w:p>
        </w:tc>
        <w:tc>
          <w:tcPr>
            <w:tcW w:w="5987" w:type="dxa"/>
          </w:tcPr>
          <w:p w14:paraId="7C7D8E2A" w14:textId="0E970145" w:rsidR="00EA5C68" w:rsidRDefault="00DE5355" w:rsidP="00B723E1">
            <w:r>
              <w:t>Това е отговорност на Собственика/Лицензианта и/или външни страни.</w:t>
            </w:r>
          </w:p>
        </w:tc>
      </w:tr>
    </w:tbl>
    <w:p w14:paraId="7D7B6185" w14:textId="2494B1DD" w:rsidR="00AF4047" w:rsidRPr="00AF4047" w:rsidRDefault="005309EB" w:rsidP="00894DF1">
      <w:pPr>
        <w:pStyle w:val="Heading2"/>
        <w:spacing w:before="240" w:after="0"/>
      </w:pPr>
      <w:bookmarkStart w:id="82" w:name="_Toc155347825"/>
      <w:r>
        <w:t>Ситуации на съществуващо облъчване</w:t>
      </w:r>
      <w:bookmarkEnd w:id="82"/>
    </w:p>
    <w:p w14:paraId="73B5E0C6" w14:textId="219F20F3" w:rsidR="00EA5C68" w:rsidRPr="00AF4047" w:rsidRDefault="00AF4047" w:rsidP="00C469CC">
      <w:pPr>
        <w:rPr>
          <w:b/>
          <w:bCs/>
        </w:rPr>
      </w:pPr>
      <w:r>
        <w:rPr>
          <w:b/>
          <w:sz w:val="24"/>
        </w:rPr>
        <w:t>Обхват</w:t>
      </w:r>
    </w:p>
    <w:tbl>
      <w:tblPr>
        <w:tblStyle w:val="TableGrid"/>
        <w:tblW w:w="13495" w:type="dxa"/>
        <w:tblLayout w:type="fixed"/>
        <w:tblLook w:val="04A0" w:firstRow="1" w:lastRow="0" w:firstColumn="1" w:lastColumn="0" w:noHBand="0" w:noVBand="1"/>
      </w:tblPr>
      <w:tblGrid>
        <w:gridCol w:w="797"/>
        <w:gridCol w:w="5152"/>
        <w:gridCol w:w="1559"/>
        <w:gridCol w:w="5987"/>
      </w:tblGrid>
      <w:tr w:rsidR="00EA5C68" w14:paraId="002700E0" w14:textId="77777777" w:rsidTr="007A556F">
        <w:trPr>
          <w:tblHeader/>
        </w:trPr>
        <w:tc>
          <w:tcPr>
            <w:tcW w:w="797" w:type="dxa"/>
          </w:tcPr>
          <w:p w14:paraId="237D0B9C" w14:textId="77777777" w:rsidR="00EA5C68" w:rsidRDefault="00EA5C68" w:rsidP="00B723E1"/>
        </w:tc>
        <w:tc>
          <w:tcPr>
            <w:tcW w:w="5152" w:type="dxa"/>
          </w:tcPr>
          <w:p w14:paraId="0F3326EF" w14:textId="77777777" w:rsidR="00EA5C68" w:rsidRDefault="00EA5C68" w:rsidP="00B723E1">
            <w:r>
              <w:rPr>
                <w:b/>
              </w:rPr>
              <w:t>Описание</w:t>
            </w:r>
          </w:p>
        </w:tc>
        <w:tc>
          <w:tcPr>
            <w:tcW w:w="1559" w:type="dxa"/>
          </w:tcPr>
          <w:p w14:paraId="38694856" w14:textId="77777777" w:rsidR="00EA5C68" w:rsidRDefault="00EA5C68" w:rsidP="00B723E1">
            <w:r>
              <w:rPr>
                <w:b/>
              </w:rPr>
              <w:t>Съответствие</w:t>
            </w:r>
          </w:p>
        </w:tc>
        <w:tc>
          <w:tcPr>
            <w:tcW w:w="5987" w:type="dxa"/>
          </w:tcPr>
          <w:p w14:paraId="3A08D6D8" w14:textId="77777777" w:rsidR="00EA5C68" w:rsidRDefault="00EA5C68" w:rsidP="00B723E1">
            <w:r>
              <w:rPr>
                <w:b/>
              </w:rPr>
              <w:t>Обосновка</w:t>
            </w:r>
          </w:p>
        </w:tc>
      </w:tr>
      <w:tr w:rsidR="00EA5C68" w14:paraId="2C2444F5" w14:textId="77777777" w:rsidTr="007A556F">
        <w:tc>
          <w:tcPr>
            <w:tcW w:w="797" w:type="dxa"/>
          </w:tcPr>
          <w:p w14:paraId="73595422" w14:textId="25F23BFE" w:rsidR="00EA5C68" w:rsidRDefault="00EA5C68" w:rsidP="00B723E1">
            <w:r>
              <w:t>5.1.</w:t>
            </w:r>
          </w:p>
        </w:tc>
        <w:tc>
          <w:tcPr>
            <w:tcW w:w="5152" w:type="dxa"/>
          </w:tcPr>
          <w:p w14:paraId="67213DE8" w14:textId="7766315C" w:rsidR="002506E0" w:rsidRDefault="00EA5C68" w:rsidP="002506E0">
            <w:pPr>
              <w:spacing w:after="0"/>
            </w:pPr>
            <w:r>
              <w:t xml:space="preserve">Изискванията за ситуации на съществуващо облъчване, изложени в Раздел 5, се прилагат за: </w:t>
            </w:r>
            <w:r>
              <w:br/>
              <w:t>(а) облъчване, дължащо се на радиоактивно замърсяване на зони с остатъчен радиоактивен материал, образуван в резултат от:</w:t>
            </w:r>
          </w:p>
          <w:p w14:paraId="64A3A307" w14:textId="44B12A73" w:rsidR="002506E0" w:rsidRDefault="00EA5C68" w:rsidP="002506E0">
            <w:pPr>
              <w:spacing w:after="0"/>
              <w:ind w:left="616"/>
            </w:pPr>
            <w:r>
              <w:t xml:space="preserve">(i) минали дейности, които никога не са били обект на регулаторен контрол или които са били обект на регулаторен контрол, но не в съответствие с изискванията на настоящите стандарти; </w:t>
            </w:r>
            <w:r>
              <w:br/>
              <w:t xml:space="preserve">(ii) ядрена или радиологична аварийна ситуация след обявено приключване на </w:t>
            </w:r>
            <w:r>
              <w:lastRenderedPageBreak/>
              <w:t>ситуация на аварийно облъчване (съгласно изискванията на т. 4.20);</w:t>
            </w:r>
          </w:p>
          <w:p w14:paraId="573DE170" w14:textId="33436F27" w:rsidR="004A322B" w:rsidRDefault="00EA5C68" w:rsidP="002506E0">
            <w:pPr>
              <w:spacing w:after="0"/>
            </w:pPr>
            <w:r>
              <w:t>(б) облъчване, дължащо се на потребителски стоки, включително хранителни продукти, фуражи, питейна вода и строителни материали, които съдържат радионуклиди от остатъчни радиоактивни материали, както е посочено в т. 5.1 (a);</w:t>
            </w:r>
          </w:p>
          <w:p w14:paraId="675B5665" w14:textId="77777777" w:rsidR="004A322B" w:rsidRDefault="00EA5C68" w:rsidP="004A322B">
            <w:pPr>
              <w:spacing w:after="0"/>
            </w:pPr>
            <w:r>
              <w:t>(в) облъчване, дължащо се на природни източници, включително:</w:t>
            </w:r>
          </w:p>
          <w:p w14:paraId="44FD967C" w14:textId="0A29A0E5" w:rsidR="00894DF1" w:rsidRPr="00815E9C" w:rsidRDefault="00EA5C68">
            <w:pPr>
              <w:ind w:left="616"/>
            </w:pPr>
            <w:r>
              <w:t xml:space="preserve">(i) </w:t>
            </w:r>
            <w:r>
              <w:rPr>
                <w:vertAlign w:val="superscript"/>
              </w:rPr>
              <w:t>222</w:t>
            </w:r>
            <w:r>
              <w:t xml:space="preserve">Rn и негови дъщерни продукти и </w:t>
            </w:r>
            <w:r>
              <w:rPr>
                <w:vertAlign w:val="superscript"/>
              </w:rPr>
              <w:t>220</w:t>
            </w:r>
            <w:r>
              <w:t xml:space="preserve">Rn и негови дъщерни продукти, на работни места, различни от тези, на които облъчването, дължащо се на други радионуклиди от веригата на разпадане на урана или тория, се контролира като ситуация на планирано облъчване, в жилища и други сгради с високи коефициенти на обитаемост от лица от населението; </w:t>
            </w:r>
            <w:r>
              <w:br/>
              <w:t xml:space="preserve">(ii) радионуклиди от естествен произход, независимо от концентрацията на активност, в потребителски стоки, включително хранителни продукти, фуражи, питейна вода, селскостопански торове и почвени добавки и строителни материали, както и остатъчни радиоактивни материали в околната среда; </w:t>
            </w:r>
            <w:r>
              <w:br/>
              <w:t>(iii) материали, различни от посочените в буква в), подточка ii) по-горе, в които концентрацията на активност на нито един радионуклид от веригата на разпадане на урана или тория не превишава 1 Bq/g</w:t>
            </w:r>
            <w:r w:rsidR="00526670">
              <w:t xml:space="preserve"> </w:t>
            </w:r>
            <w:r w:rsidR="00526670">
              <w:lastRenderedPageBreak/>
              <w:t>и</w:t>
            </w:r>
            <w:r>
              <w:t xml:space="preserve">концентрацията на активност на </w:t>
            </w:r>
            <w:r>
              <w:rPr>
                <w:vertAlign w:val="superscript"/>
              </w:rPr>
              <w:t>40</w:t>
            </w:r>
            <w:r>
              <w:t xml:space="preserve">K не превишава 10 Bq/g; </w:t>
            </w:r>
            <w:r>
              <w:br/>
              <w:t xml:space="preserve">(iv) облъчване на екипажи на въздухоплавателни средства и космически </w:t>
            </w:r>
            <w:r w:rsidR="00526670">
              <w:t xml:space="preserve">апарати, </w:t>
            </w:r>
            <w:r>
              <w:t>вследствие на въздействие космическо излъчване.</w:t>
            </w:r>
          </w:p>
        </w:tc>
        <w:tc>
          <w:tcPr>
            <w:tcW w:w="1559" w:type="dxa"/>
          </w:tcPr>
          <w:p w14:paraId="4F82FE1E" w14:textId="0A7C0DA9" w:rsidR="00EA5C68" w:rsidRDefault="000B49B9" w:rsidP="00AD27DA">
            <w:pPr>
              <w:jc w:val="center"/>
            </w:pPr>
            <w:r>
              <w:lastRenderedPageBreak/>
              <w:t>NR</w:t>
            </w:r>
          </w:p>
        </w:tc>
        <w:tc>
          <w:tcPr>
            <w:tcW w:w="5987" w:type="dxa"/>
          </w:tcPr>
          <w:p w14:paraId="01DF214F" w14:textId="4BE17BDC" w:rsidR="00EA5C68" w:rsidRDefault="00872BB8" w:rsidP="00B723E1">
            <w:r>
              <w:t>Това е пояснение, а не изискване.</w:t>
            </w:r>
          </w:p>
          <w:p w14:paraId="6F5BB464" w14:textId="2A4996E8" w:rsidR="00FC2639" w:rsidRDefault="00FC2639" w:rsidP="0010450C">
            <w:r>
              <w:t xml:space="preserve">То показва привеждането в съответствие с 2013/59/Евратом [10] и с Препоръките на Публикация 103 на МКРЗ от 2007 г. [9], които еволюират от предишния подход за защита, основан на процеса, използващ практики и намеси, като преминават към подход, основан на ситуацията на облъчване. Те разпознават ситуации на планирано, аварийно и съществуващо облъчване и прилагат фундаменталните принципи на обосноваване и оптимизиране на </w:t>
            </w:r>
            <w:r w:rsidR="0025392F">
              <w:t xml:space="preserve">радиационната </w:t>
            </w:r>
            <w:r>
              <w:t xml:space="preserve">защита във всички тези ситуации. Те поддържат действащите индивидуални </w:t>
            </w:r>
            <w:r w:rsidR="00971561">
              <w:t>дозови ограничения</w:t>
            </w:r>
            <w:r>
              <w:t xml:space="preserve"> </w:t>
            </w:r>
            <w:r>
              <w:lastRenderedPageBreak/>
              <w:t>на Комисията</w:t>
            </w:r>
            <w:r w:rsidR="00DF5C12">
              <w:t>,</w:t>
            </w:r>
            <w:r>
              <w:t xml:space="preserve"> за ефективната доза и еквивалентната доза от всички регулирани източници в ситуации на планирано облъчване. Те укрепват принципа на оптимизиране на защитата, който следва да се прилага по сходен начин за всички ситуации на облъчване, </w:t>
            </w:r>
            <w:r w:rsidR="0010450C">
              <w:t xml:space="preserve"> подлежащи на следните ограничения </w:t>
            </w:r>
            <w:r>
              <w:t xml:space="preserve"> за</w:t>
            </w:r>
            <w:r w:rsidR="0010450C">
              <w:t xml:space="preserve"> </w:t>
            </w:r>
            <w:r>
              <w:t xml:space="preserve">индивидуалните дози и рисковете; ограничения </w:t>
            </w:r>
            <w:r w:rsidR="0010450C">
              <w:t>на</w:t>
            </w:r>
            <w:r>
              <w:t xml:space="preserve"> дозите и рисковете за ситуации на планирано облъчване и референтните нива за ситуации на аварийно и съществуващо облъчване.</w:t>
            </w:r>
          </w:p>
        </w:tc>
      </w:tr>
    </w:tbl>
    <w:p w14:paraId="7FB343CF" w14:textId="77777777" w:rsidR="00A55601" w:rsidRDefault="00AF4047" w:rsidP="00894DF1">
      <w:pPr>
        <w:spacing w:before="240" w:after="0"/>
      </w:pPr>
      <w:r>
        <w:lastRenderedPageBreak/>
        <w:tab/>
      </w:r>
    </w:p>
    <w:p w14:paraId="1B84B360" w14:textId="77777777" w:rsidR="00A55601" w:rsidRDefault="00A55601" w:rsidP="00894DF1">
      <w:pPr>
        <w:spacing w:before="240" w:after="0"/>
      </w:pPr>
    </w:p>
    <w:p w14:paraId="0BBB784D" w14:textId="4CE229DD" w:rsidR="00AF4047" w:rsidRPr="00AF4047" w:rsidRDefault="00A55601" w:rsidP="00C8793C">
      <w:pPr>
        <w:keepNext/>
        <w:keepLines/>
        <w:spacing w:before="240" w:after="0"/>
        <w:rPr>
          <w:b/>
          <w:bCs/>
        </w:rPr>
      </w:pPr>
      <w:r>
        <w:tab/>
      </w:r>
      <w:r>
        <w:rPr>
          <w:b/>
          <w:sz w:val="24"/>
        </w:rPr>
        <w:t>ОБЩИ ИЗИСКВАНИЯ</w:t>
      </w:r>
    </w:p>
    <w:p w14:paraId="46D57618" w14:textId="79780096" w:rsidR="00EA5C68" w:rsidRPr="00EA5C68" w:rsidRDefault="00EA5C68" w:rsidP="00C8793C">
      <w:pPr>
        <w:pStyle w:val="Heading3"/>
        <w:keepLines/>
      </w:pPr>
      <w:bookmarkStart w:id="83" w:name="_Toc155347826"/>
      <w:r>
        <w:t>Изискване 47: Отговорности на правителството по отношение на ситуации на съществуващо облъчване</w:t>
      </w:r>
      <w:bookmarkEnd w:id="83"/>
    </w:p>
    <w:tbl>
      <w:tblPr>
        <w:tblStyle w:val="TableGrid"/>
        <w:tblW w:w="13495" w:type="dxa"/>
        <w:tblLayout w:type="fixed"/>
        <w:tblLook w:val="04A0" w:firstRow="1" w:lastRow="0" w:firstColumn="1" w:lastColumn="0" w:noHBand="0" w:noVBand="1"/>
      </w:tblPr>
      <w:tblGrid>
        <w:gridCol w:w="797"/>
        <w:gridCol w:w="5152"/>
        <w:gridCol w:w="1559"/>
        <w:gridCol w:w="5987"/>
      </w:tblGrid>
      <w:tr w:rsidR="00EA5C68" w14:paraId="5D31275B" w14:textId="77777777" w:rsidTr="007A556F">
        <w:trPr>
          <w:tblHeader/>
        </w:trPr>
        <w:tc>
          <w:tcPr>
            <w:tcW w:w="797" w:type="dxa"/>
          </w:tcPr>
          <w:p w14:paraId="06205D86" w14:textId="77777777" w:rsidR="00EA5C68" w:rsidRDefault="00EA5C68" w:rsidP="00B723E1"/>
        </w:tc>
        <w:tc>
          <w:tcPr>
            <w:tcW w:w="5152" w:type="dxa"/>
          </w:tcPr>
          <w:p w14:paraId="22B09940" w14:textId="77777777" w:rsidR="00EA5C68" w:rsidRDefault="00EA5C68" w:rsidP="00B723E1">
            <w:r>
              <w:rPr>
                <w:b/>
              </w:rPr>
              <w:t>Описание</w:t>
            </w:r>
          </w:p>
        </w:tc>
        <w:tc>
          <w:tcPr>
            <w:tcW w:w="1559" w:type="dxa"/>
          </w:tcPr>
          <w:p w14:paraId="6BF3EF3C" w14:textId="77777777" w:rsidR="00EA5C68" w:rsidRDefault="00EA5C68" w:rsidP="00B723E1">
            <w:r>
              <w:rPr>
                <w:b/>
              </w:rPr>
              <w:t>Съответствие</w:t>
            </w:r>
          </w:p>
        </w:tc>
        <w:tc>
          <w:tcPr>
            <w:tcW w:w="5987" w:type="dxa"/>
          </w:tcPr>
          <w:p w14:paraId="082DB97A" w14:textId="77777777" w:rsidR="00EA5C68" w:rsidRDefault="00EA5C68" w:rsidP="00B723E1">
            <w:r>
              <w:rPr>
                <w:b/>
              </w:rPr>
              <w:t>Обосновка</w:t>
            </w:r>
          </w:p>
        </w:tc>
      </w:tr>
      <w:tr w:rsidR="00EA5C68" w14:paraId="1814C366" w14:textId="77777777" w:rsidTr="007A556F">
        <w:tc>
          <w:tcPr>
            <w:tcW w:w="797" w:type="dxa"/>
          </w:tcPr>
          <w:p w14:paraId="41BFA414" w14:textId="77777777" w:rsidR="00EA5C68" w:rsidRDefault="00EA5C68" w:rsidP="00B723E1"/>
        </w:tc>
        <w:tc>
          <w:tcPr>
            <w:tcW w:w="5152" w:type="dxa"/>
          </w:tcPr>
          <w:p w14:paraId="70065AD2" w14:textId="4D96E4CC" w:rsidR="00EA5C68" w:rsidRPr="00501497" w:rsidRDefault="00EA5C68" w:rsidP="00501497">
            <w:pPr>
              <w:rPr>
                <w:b/>
                <w:bCs/>
              </w:rPr>
            </w:pPr>
            <w:r>
              <w:rPr>
                <w:b/>
              </w:rPr>
              <w:t>Правителството гарантира, че съществуващите ситуации на облъчване, които са били идентифицирани, се оценяват, за да се определи кои професионални облъчвания и облъчвания на населението са от значение от гледна точка на радиационната защита.</w:t>
            </w:r>
          </w:p>
        </w:tc>
        <w:tc>
          <w:tcPr>
            <w:tcW w:w="1559" w:type="dxa"/>
          </w:tcPr>
          <w:p w14:paraId="3ED71609" w14:textId="76A32B0F" w:rsidR="00EA5C68" w:rsidRDefault="005E5E38" w:rsidP="00AD27DA">
            <w:pPr>
              <w:jc w:val="center"/>
            </w:pPr>
            <w:r>
              <w:t>EP</w:t>
            </w:r>
          </w:p>
        </w:tc>
        <w:tc>
          <w:tcPr>
            <w:tcW w:w="5987" w:type="dxa"/>
          </w:tcPr>
          <w:p w14:paraId="5C7538E6" w14:textId="55C57A25" w:rsidR="00EA5C68" w:rsidRDefault="00E70076" w:rsidP="00B723E1">
            <w:r>
              <w:t>Това е отговорност на Правителството.</w:t>
            </w:r>
          </w:p>
        </w:tc>
      </w:tr>
      <w:tr w:rsidR="00EA5C68" w14:paraId="3F25A40B" w14:textId="77777777" w:rsidTr="007A556F">
        <w:tc>
          <w:tcPr>
            <w:tcW w:w="797" w:type="dxa"/>
          </w:tcPr>
          <w:p w14:paraId="6F98CC7C" w14:textId="7A0A7F0C" w:rsidR="00EA5C68" w:rsidRDefault="003376C5" w:rsidP="00B723E1">
            <w:r>
              <w:t>5.2.</w:t>
            </w:r>
          </w:p>
        </w:tc>
        <w:tc>
          <w:tcPr>
            <w:tcW w:w="5152" w:type="dxa"/>
          </w:tcPr>
          <w:p w14:paraId="53E9A63C" w14:textId="150B3091" w:rsidR="00EA5C68" w:rsidRDefault="00EA5C68" w:rsidP="00501497">
            <w:r>
              <w:t>Правителството гарантира, че при установяване на съществуваща ситуация на облъчване се възлагат отговорности за защита и безопасност и се определят подходящи референтни нива.</w:t>
            </w:r>
          </w:p>
        </w:tc>
        <w:tc>
          <w:tcPr>
            <w:tcW w:w="1559" w:type="dxa"/>
          </w:tcPr>
          <w:p w14:paraId="459B28EF" w14:textId="7F399710" w:rsidR="00EA5C68" w:rsidRDefault="005E5E38" w:rsidP="00AD27DA">
            <w:pPr>
              <w:jc w:val="center"/>
            </w:pPr>
            <w:r>
              <w:t>EP</w:t>
            </w:r>
          </w:p>
        </w:tc>
        <w:tc>
          <w:tcPr>
            <w:tcW w:w="5987" w:type="dxa"/>
          </w:tcPr>
          <w:p w14:paraId="6C7E2A32" w14:textId="5610E93F" w:rsidR="00EA5C68" w:rsidRDefault="00E70076" w:rsidP="00B723E1">
            <w:r>
              <w:t>Това е отговорност на Правителството.</w:t>
            </w:r>
          </w:p>
        </w:tc>
      </w:tr>
      <w:tr w:rsidR="00EA5C68" w14:paraId="4A1A20C3" w14:textId="77777777" w:rsidTr="007A556F">
        <w:tc>
          <w:tcPr>
            <w:tcW w:w="797" w:type="dxa"/>
          </w:tcPr>
          <w:p w14:paraId="221318C8" w14:textId="43BF5069" w:rsidR="00EA5C68" w:rsidRDefault="003376C5" w:rsidP="00B723E1">
            <w:r>
              <w:t>5.3.</w:t>
            </w:r>
          </w:p>
        </w:tc>
        <w:tc>
          <w:tcPr>
            <w:tcW w:w="5152" w:type="dxa"/>
          </w:tcPr>
          <w:p w14:paraId="51AA81E1" w14:textId="6955FFAA" w:rsidR="00EA5C68" w:rsidRDefault="00EA5C68">
            <w:r>
              <w:t xml:space="preserve">Правителството включва в правната и регулаторната рамка за защита и безопасност (вж. </w:t>
            </w:r>
            <w:r>
              <w:lastRenderedPageBreak/>
              <w:t>Раздел 2) разпоредби за управление на ситуации на съществуващо облъчване. Правителството, в правната и регулаторната рамка, ако е необходимо:</w:t>
            </w:r>
            <w:r>
              <w:br/>
              <w:t>(а) посочва ситуациите на облъчване, които са включени в обхвата на ситуациите на съществуващо облъчване</w:t>
            </w:r>
            <w:r>
              <w:rPr>
                <w:vertAlign w:val="superscript"/>
              </w:rPr>
              <w:t>49</w:t>
            </w:r>
            <w:r>
              <w:rPr>
                <w:sz w:val="14"/>
              </w:rPr>
              <w:t xml:space="preserve">; </w:t>
            </w:r>
            <w:r>
              <w:rPr>
                <w:sz w:val="14"/>
              </w:rPr>
              <w:br/>
            </w:r>
            <w:r>
              <w:t xml:space="preserve">(б) посочва общите принципи, </w:t>
            </w:r>
            <w:r w:rsidR="00D16B49">
              <w:t xml:space="preserve">залегнали в </w:t>
            </w:r>
            <w:r>
              <w:t>стратегиите за защита, разработени за намаляване на облъчването, когато е установено, че действията за възстановяване и действията за защита са обосновани</w:t>
            </w:r>
            <w:r>
              <w:rPr>
                <w:vertAlign w:val="superscript"/>
              </w:rPr>
              <w:t>50</w:t>
            </w:r>
            <w:r>
              <w:rPr>
                <w:sz w:val="14"/>
              </w:rPr>
              <w:t xml:space="preserve">; </w:t>
            </w:r>
            <w:r>
              <w:rPr>
                <w:sz w:val="14"/>
              </w:rPr>
              <w:br/>
            </w:r>
            <w:r>
              <w:t xml:space="preserve">в) разпределя отговорностите за създаването и прилагането на стратегиите за защита </w:t>
            </w:r>
            <w:r w:rsidR="000862F8">
              <w:t xml:space="preserve">от </w:t>
            </w:r>
            <w:r>
              <w:t>регулаторния орган и други съответни органи</w:t>
            </w:r>
            <w:r>
              <w:rPr>
                <w:vertAlign w:val="superscript"/>
              </w:rPr>
              <w:t>51</w:t>
            </w:r>
            <w:r>
              <w:t xml:space="preserve"> и, ако е целесъобразно, на регистрираните лица, лицензиантите и другите страни, участващи в осъществяването на възстановителни и защитни действия; </w:t>
            </w:r>
            <w:r>
              <w:br/>
              <w:t>г) осигурява участието на заинтересованите страни във вземането на решения относно разработването и прилагането на стратегиите за защита, ако е целесъобразно.</w:t>
            </w:r>
          </w:p>
        </w:tc>
        <w:tc>
          <w:tcPr>
            <w:tcW w:w="1559" w:type="dxa"/>
          </w:tcPr>
          <w:p w14:paraId="15456AAF" w14:textId="3B076480" w:rsidR="00EA5C68" w:rsidRDefault="005E5E38" w:rsidP="00AD27DA">
            <w:pPr>
              <w:jc w:val="center"/>
            </w:pPr>
            <w:r>
              <w:lastRenderedPageBreak/>
              <w:t>EP</w:t>
            </w:r>
          </w:p>
        </w:tc>
        <w:tc>
          <w:tcPr>
            <w:tcW w:w="5987" w:type="dxa"/>
          </w:tcPr>
          <w:p w14:paraId="231A7C2A" w14:textId="2B9CF54C" w:rsidR="00EA5C68" w:rsidRDefault="00E70076" w:rsidP="00B723E1">
            <w:r>
              <w:t>Това е отговорност на Правителството.</w:t>
            </w:r>
          </w:p>
        </w:tc>
      </w:tr>
      <w:tr w:rsidR="00EA5C68" w14:paraId="4492CB8C" w14:textId="77777777" w:rsidTr="007A556F">
        <w:tc>
          <w:tcPr>
            <w:tcW w:w="797" w:type="dxa"/>
          </w:tcPr>
          <w:p w14:paraId="6767B9F2" w14:textId="6D49A9B9" w:rsidR="00EA5C68" w:rsidRDefault="003376C5" w:rsidP="00B723E1">
            <w:r>
              <w:t>5.4.</w:t>
            </w:r>
          </w:p>
        </w:tc>
        <w:tc>
          <w:tcPr>
            <w:tcW w:w="5152" w:type="dxa"/>
          </w:tcPr>
          <w:p w14:paraId="11556257" w14:textId="40C6373B" w:rsidR="00EA5C68" w:rsidRDefault="006D5D0F" w:rsidP="00501497">
            <w:r>
              <w:t xml:space="preserve">Регулаторният орган или друг съответен орган, на който е възложено да изготви стратегия за защита при ситуация на съществуващо облъчване, гарантира, че в нея са посочени: </w:t>
            </w:r>
            <w:r>
              <w:br/>
              <w:t xml:space="preserve">(а) целите, които трябва да бъдат постигнати чрез стратегията за защита; </w:t>
            </w:r>
            <w:r>
              <w:br/>
              <w:t>б) съответни референтни нива.</w:t>
            </w:r>
          </w:p>
        </w:tc>
        <w:tc>
          <w:tcPr>
            <w:tcW w:w="1559" w:type="dxa"/>
          </w:tcPr>
          <w:p w14:paraId="13AA6CE3" w14:textId="1DD04F5C" w:rsidR="00EA5C68" w:rsidRDefault="005E5E38" w:rsidP="00AD27DA">
            <w:pPr>
              <w:jc w:val="center"/>
            </w:pPr>
            <w:r>
              <w:t>EP</w:t>
            </w:r>
          </w:p>
        </w:tc>
        <w:tc>
          <w:tcPr>
            <w:tcW w:w="5987" w:type="dxa"/>
          </w:tcPr>
          <w:p w14:paraId="0C200CAC" w14:textId="4A6135C2" w:rsidR="00EA5C68" w:rsidRDefault="000169FE" w:rsidP="00B723E1">
            <w:r>
              <w:t>Това е отговорност на Регулаторния орган или външна страна.</w:t>
            </w:r>
          </w:p>
        </w:tc>
      </w:tr>
      <w:tr w:rsidR="00EA5C68" w14:paraId="421A5DC0" w14:textId="77777777" w:rsidTr="007A556F">
        <w:tc>
          <w:tcPr>
            <w:tcW w:w="797" w:type="dxa"/>
          </w:tcPr>
          <w:p w14:paraId="4E978204" w14:textId="61723C00" w:rsidR="00EA5C68" w:rsidRDefault="003376C5" w:rsidP="00B723E1">
            <w:r>
              <w:lastRenderedPageBreak/>
              <w:t>5.5.</w:t>
            </w:r>
          </w:p>
        </w:tc>
        <w:tc>
          <w:tcPr>
            <w:tcW w:w="5152" w:type="dxa"/>
          </w:tcPr>
          <w:p w14:paraId="2563AA39" w14:textId="75DA91A3" w:rsidR="00894DF1" w:rsidRPr="00894DF1" w:rsidRDefault="006D5D0F">
            <w:r>
              <w:t xml:space="preserve">Регулаторният орган или друг съответен </w:t>
            </w:r>
            <w:r w:rsidR="00B06A5C">
              <w:t xml:space="preserve">компотентен </w:t>
            </w:r>
            <w:r>
              <w:t xml:space="preserve">орган </w:t>
            </w:r>
            <w:r w:rsidR="00B06A5C">
              <w:t xml:space="preserve">прилага </w:t>
            </w:r>
            <w:r>
              <w:t xml:space="preserve">стратегията за защита, включително: </w:t>
            </w:r>
            <w:r>
              <w:br/>
              <w:t xml:space="preserve">(а) </w:t>
            </w:r>
            <w:r w:rsidR="00CD17FD">
              <w:t>извършва оценка на</w:t>
            </w:r>
            <w:r>
              <w:t xml:space="preserve"> </w:t>
            </w:r>
            <w:r w:rsidR="00CD17FD">
              <w:t>наличните</w:t>
            </w:r>
            <w:r>
              <w:t xml:space="preserve"> възстановителни мероприятия и защитни действия за постигане на целите, както </w:t>
            </w:r>
            <w:r w:rsidR="00D14C91">
              <w:t xml:space="preserve">и </w:t>
            </w:r>
            <w:r>
              <w:t xml:space="preserve">оценка на ефективността на планираните и </w:t>
            </w:r>
            <w:r w:rsidR="00CD17FD">
              <w:t xml:space="preserve">извършени </w:t>
            </w:r>
            <w:r>
              <w:t xml:space="preserve">действия; </w:t>
            </w:r>
            <w:r>
              <w:br/>
              <w:t>б) осигуряване на достъп до информация за лицата, подложени на облъчване, относно потенциалните рискове за здравето и наличните средства за намаляване на облъчването и свързаните с него рискове.</w:t>
            </w:r>
          </w:p>
        </w:tc>
        <w:tc>
          <w:tcPr>
            <w:tcW w:w="1559" w:type="dxa"/>
          </w:tcPr>
          <w:p w14:paraId="7B860D38" w14:textId="1AB22503" w:rsidR="00EA5C68" w:rsidRDefault="005E5E38" w:rsidP="00AD27DA">
            <w:pPr>
              <w:jc w:val="center"/>
            </w:pPr>
            <w:r>
              <w:t>EP</w:t>
            </w:r>
          </w:p>
        </w:tc>
        <w:tc>
          <w:tcPr>
            <w:tcW w:w="5987" w:type="dxa"/>
          </w:tcPr>
          <w:p w14:paraId="60B6063E" w14:textId="2DE35449" w:rsidR="00EA5C68" w:rsidRDefault="000169FE" w:rsidP="00B723E1">
            <w:r>
              <w:t>Това е отговорност на Регулаторния орган или външна страна.</w:t>
            </w:r>
          </w:p>
        </w:tc>
      </w:tr>
    </w:tbl>
    <w:p w14:paraId="7734C53D" w14:textId="77777777" w:rsidR="00AF4047" w:rsidRPr="00AF4047" w:rsidRDefault="00AF4047" w:rsidP="00894DF1">
      <w:pPr>
        <w:spacing w:before="240" w:after="0"/>
        <w:rPr>
          <w:b/>
          <w:bCs/>
        </w:rPr>
      </w:pPr>
      <w:r>
        <w:tab/>
      </w:r>
      <w:r>
        <w:rPr>
          <w:b/>
          <w:sz w:val="24"/>
        </w:rPr>
        <w:t xml:space="preserve">ОБЛЪЧВАНЕ НА НАСЕЛЕНИЕТО </w:t>
      </w:r>
    </w:p>
    <w:p w14:paraId="7DF3BACD" w14:textId="3E7FA032" w:rsidR="00EA5C68" w:rsidRPr="00AF4047" w:rsidRDefault="00AF4047" w:rsidP="00AF4047">
      <w:pPr>
        <w:rPr>
          <w:b/>
          <w:bCs/>
          <w:sz w:val="24"/>
          <w:szCs w:val="24"/>
        </w:rPr>
      </w:pPr>
      <w:r>
        <w:rPr>
          <w:b/>
          <w:sz w:val="24"/>
        </w:rPr>
        <w:tab/>
        <w:t>Обхват</w:t>
      </w:r>
    </w:p>
    <w:tbl>
      <w:tblPr>
        <w:tblStyle w:val="TableGrid"/>
        <w:tblW w:w="13495" w:type="dxa"/>
        <w:tblLayout w:type="fixed"/>
        <w:tblLook w:val="04A0" w:firstRow="1" w:lastRow="0" w:firstColumn="1" w:lastColumn="0" w:noHBand="0" w:noVBand="1"/>
      </w:tblPr>
      <w:tblGrid>
        <w:gridCol w:w="797"/>
        <w:gridCol w:w="5152"/>
        <w:gridCol w:w="1559"/>
        <w:gridCol w:w="5987"/>
      </w:tblGrid>
      <w:tr w:rsidR="00EA5C68" w14:paraId="5C654196" w14:textId="77777777" w:rsidTr="007A556F">
        <w:trPr>
          <w:tblHeader/>
        </w:trPr>
        <w:tc>
          <w:tcPr>
            <w:tcW w:w="797" w:type="dxa"/>
          </w:tcPr>
          <w:p w14:paraId="0A524E6D" w14:textId="77777777" w:rsidR="00EA5C68" w:rsidRDefault="00EA5C68" w:rsidP="00B723E1"/>
        </w:tc>
        <w:tc>
          <w:tcPr>
            <w:tcW w:w="5152" w:type="dxa"/>
          </w:tcPr>
          <w:p w14:paraId="12975A22" w14:textId="77777777" w:rsidR="00EA5C68" w:rsidRDefault="00EA5C68" w:rsidP="00B723E1">
            <w:r>
              <w:rPr>
                <w:b/>
              </w:rPr>
              <w:t>Описание</w:t>
            </w:r>
          </w:p>
        </w:tc>
        <w:tc>
          <w:tcPr>
            <w:tcW w:w="1559" w:type="dxa"/>
          </w:tcPr>
          <w:p w14:paraId="5369761C" w14:textId="77777777" w:rsidR="00EA5C68" w:rsidRDefault="00EA5C68" w:rsidP="00B723E1">
            <w:r>
              <w:rPr>
                <w:b/>
              </w:rPr>
              <w:t>Съответствие</w:t>
            </w:r>
          </w:p>
        </w:tc>
        <w:tc>
          <w:tcPr>
            <w:tcW w:w="5987" w:type="dxa"/>
          </w:tcPr>
          <w:p w14:paraId="0FE4ED03" w14:textId="77777777" w:rsidR="00EA5C68" w:rsidRDefault="00EA5C68" w:rsidP="00B723E1">
            <w:r>
              <w:rPr>
                <w:b/>
              </w:rPr>
              <w:t>Обосновка</w:t>
            </w:r>
          </w:p>
        </w:tc>
      </w:tr>
      <w:tr w:rsidR="00EA5C68" w14:paraId="6A1D58B7" w14:textId="77777777" w:rsidTr="007A556F">
        <w:tc>
          <w:tcPr>
            <w:tcW w:w="797" w:type="dxa"/>
          </w:tcPr>
          <w:p w14:paraId="33920BDB" w14:textId="3C8D94E5" w:rsidR="00EA5C68" w:rsidRDefault="003376C5" w:rsidP="00B723E1">
            <w:r>
              <w:t>5.6.</w:t>
            </w:r>
          </w:p>
        </w:tc>
        <w:tc>
          <w:tcPr>
            <w:tcW w:w="5152" w:type="dxa"/>
          </w:tcPr>
          <w:p w14:paraId="04DDADC6" w14:textId="7849A98C" w:rsidR="00EA5C68" w:rsidRPr="00815E9C" w:rsidRDefault="006D5D0F" w:rsidP="009D5A44">
            <w:r>
              <w:t>Изискванията по отношение на облъчването на населението в ситуации на съществуващо облъчване (т. 5.7-5.23) се прилагат за всяко облъчване на населението, произтичащо от ситуациите, посочени в т. 5.1.</w:t>
            </w:r>
          </w:p>
        </w:tc>
        <w:tc>
          <w:tcPr>
            <w:tcW w:w="1559" w:type="dxa"/>
          </w:tcPr>
          <w:p w14:paraId="476036E8" w14:textId="38332192" w:rsidR="00EA5C68" w:rsidRDefault="000B49B9" w:rsidP="00AD27DA">
            <w:pPr>
              <w:jc w:val="center"/>
            </w:pPr>
            <w:r>
              <w:t>NR</w:t>
            </w:r>
          </w:p>
        </w:tc>
        <w:tc>
          <w:tcPr>
            <w:tcW w:w="5987" w:type="dxa"/>
          </w:tcPr>
          <w:p w14:paraId="5127420A" w14:textId="5749A073" w:rsidR="00EA5C68" w:rsidRDefault="00872BB8" w:rsidP="00B723E1">
            <w:r>
              <w:t>Това е пояснение, а не изискване.</w:t>
            </w:r>
          </w:p>
        </w:tc>
      </w:tr>
    </w:tbl>
    <w:p w14:paraId="71753BB7" w14:textId="6BE25BF4" w:rsidR="00EA5C68" w:rsidRPr="006D5D0F" w:rsidRDefault="006D5D0F" w:rsidP="00AF4047">
      <w:pPr>
        <w:pStyle w:val="Heading3"/>
        <w:spacing w:before="240"/>
        <w:rPr>
          <w:caps/>
        </w:rPr>
      </w:pPr>
      <w:bookmarkStart w:id="84" w:name="_Toc155347827"/>
      <w:r>
        <w:lastRenderedPageBreak/>
        <w:t>Изискване 48: Обосновка на защитните действия и оптимизация на защитата и безопасността</w:t>
      </w:r>
      <w:bookmarkEnd w:id="84"/>
    </w:p>
    <w:tbl>
      <w:tblPr>
        <w:tblStyle w:val="TableGrid"/>
        <w:tblW w:w="13495" w:type="dxa"/>
        <w:tblLayout w:type="fixed"/>
        <w:tblLook w:val="04A0" w:firstRow="1" w:lastRow="0" w:firstColumn="1" w:lastColumn="0" w:noHBand="0" w:noVBand="1"/>
      </w:tblPr>
      <w:tblGrid>
        <w:gridCol w:w="797"/>
        <w:gridCol w:w="5152"/>
        <w:gridCol w:w="1559"/>
        <w:gridCol w:w="5987"/>
      </w:tblGrid>
      <w:tr w:rsidR="00EA5C68" w14:paraId="1D4360CA" w14:textId="77777777" w:rsidTr="007A556F">
        <w:trPr>
          <w:tblHeader/>
        </w:trPr>
        <w:tc>
          <w:tcPr>
            <w:tcW w:w="797" w:type="dxa"/>
          </w:tcPr>
          <w:p w14:paraId="3980C8CD" w14:textId="77777777" w:rsidR="00EA5C68" w:rsidRDefault="00EA5C68" w:rsidP="00B723E1"/>
        </w:tc>
        <w:tc>
          <w:tcPr>
            <w:tcW w:w="5152" w:type="dxa"/>
          </w:tcPr>
          <w:p w14:paraId="1CA43AEA" w14:textId="77777777" w:rsidR="00EA5C68" w:rsidRDefault="00EA5C68" w:rsidP="00B723E1">
            <w:r>
              <w:rPr>
                <w:b/>
              </w:rPr>
              <w:t>Описание</w:t>
            </w:r>
          </w:p>
        </w:tc>
        <w:tc>
          <w:tcPr>
            <w:tcW w:w="1559" w:type="dxa"/>
          </w:tcPr>
          <w:p w14:paraId="6374DFB3" w14:textId="77777777" w:rsidR="00EA5C68" w:rsidRDefault="00EA5C68" w:rsidP="00B723E1">
            <w:r>
              <w:rPr>
                <w:b/>
              </w:rPr>
              <w:t>Съответствие</w:t>
            </w:r>
          </w:p>
        </w:tc>
        <w:tc>
          <w:tcPr>
            <w:tcW w:w="5987" w:type="dxa"/>
          </w:tcPr>
          <w:p w14:paraId="15B6B4D1" w14:textId="77777777" w:rsidR="00EA5C68" w:rsidRDefault="00EA5C68" w:rsidP="00B723E1">
            <w:r>
              <w:rPr>
                <w:b/>
              </w:rPr>
              <w:t>Обосновка</w:t>
            </w:r>
          </w:p>
        </w:tc>
      </w:tr>
      <w:tr w:rsidR="00872BB8" w14:paraId="3B3E1F1F" w14:textId="77777777" w:rsidTr="007A556F">
        <w:tc>
          <w:tcPr>
            <w:tcW w:w="797" w:type="dxa"/>
          </w:tcPr>
          <w:p w14:paraId="3CE4D4F6" w14:textId="77777777" w:rsidR="00872BB8" w:rsidRDefault="00872BB8" w:rsidP="00872BB8"/>
        </w:tc>
        <w:tc>
          <w:tcPr>
            <w:tcW w:w="5152" w:type="dxa"/>
          </w:tcPr>
          <w:p w14:paraId="31CAC852" w14:textId="3A037DB3" w:rsidR="00872BB8" w:rsidRPr="00815E9C" w:rsidRDefault="00872BB8" w:rsidP="00872BB8">
            <w:r>
              <w:rPr>
                <w:b/>
              </w:rPr>
              <w:t xml:space="preserve">Правителството и регулаторният орган или друг съответен </w:t>
            </w:r>
            <w:r w:rsidR="00D14C91">
              <w:rPr>
                <w:b/>
              </w:rPr>
              <w:t xml:space="preserve">компетентен </w:t>
            </w:r>
            <w:r>
              <w:rPr>
                <w:b/>
              </w:rPr>
              <w:t>орган гарантират, че възстановителните и защитните действия са обосновани и че защитата и безопасността са оптимизирани.</w:t>
            </w:r>
          </w:p>
        </w:tc>
        <w:tc>
          <w:tcPr>
            <w:tcW w:w="1559" w:type="dxa"/>
          </w:tcPr>
          <w:p w14:paraId="4B73BB4B" w14:textId="42FE4D57" w:rsidR="00872BB8" w:rsidRDefault="005E5E38" w:rsidP="00872BB8">
            <w:pPr>
              <w:jc w:val="center"/>
            </w:pPr>
            <w:r>
              <w:t>EP</w:t>
            </w:r>
          </w:p>
        </w:tc>
        <w:tc>
          <w:tcPr>
            <w:tcW w:w="5987" w:type="dxa"/>
          </w:tcPr>
          <w:p w14:paraId="31E50D5B" w14:textId="4B05DD29" w:rsidR="00B34186" w:rsidRPr="00E452EB" w:rsidRDefault="000169FE" w:rsidP="00CA456F">
            <w:pPr>
              <w:rPr>
                <w:rFonts w:eastAsiaTheme="minorHAnsi" w:cstheme="minorBidi"/>
              </w:rPr>
            </w:pPr>
            <w:r>
              <w:t>Това е отговорност на Правителството и Регулаторния орган или друга външна страна.</w:t>
            </w:r>
          </w:p>
        </w:tc>
      </w:tr>
      <w:tr w:rsidR="00872BB8" w14:paraId="746D4F60" w14:textId="77777777" w:rsidTr="007A556F">
        <w:tc>
          <w:tcPr>
            <w:tcW w:w="797" w:type="dxa"/>
          </w:tcPr>
          <w:p w14:paraId="593CB18A" w14:textId="6D6C6245" w:rsidR="00872BB8" w:rsidRDefault="00872BB8" w:rsidP="00872BB8">
            <w:r>
              <w:t>5.7.</w:t>
            </w:r>
          </w:p>
        </w:tc>
        <w:tc>
          <w:tcPr>
            <w:tcW w:w="5152" w:type="dxa"/>
          </w:tcPr>
          <w:p w14:paraId="0873EDB4" w14:textId="17E8CAF0" w:rsidR="00872BB8" w:rsidRDefault="00872BB8">
            <w:r>
              <w:t xml:space="preserve">Правителството и регулаторният орган или друг съответен </w:t>
            </w:r>
            <w:r w:rsidR="00411CA1">
              <w:t xml:space="preserve">компетентен </w:t>
            </w:r>
            <w:r>
              <w:t xml:space="preserve">орган гарантират, че стратегията за защита с цел управление на съществуващи ситуации на облъчване, </w:t>
            </w:r>
            <w:r w:rsidR="00411CA1">
              <w:t xml:space="preserve">разработена </w:t>
            </w:r>
            <w:r>
              <w:t xml:space="preserve">в съответствие с т. 5.2 и т. 5.4, е съизмерима с радиационните рискове, свързани със ситуацията на съществуващо облъчване; и че се очаква възстановителните действия или защитните действия да доведат до достатъчни положителни резултати, превишаващи вредите, свързани с </w:t>
            </w:r>
            <w:r w:rsidR="00411CA1">
              <w:t xml:space="preserve">прилагането </w:t>
            </w:r>
            <w:r>
              <w:t>им, включително вредите под формата на радиационни рискове</w:t>
            </w:r>
            <w:r>
              <w:rPr>
                <w:vertAlign w:val="superscript"/>
              </w:rPr>
              <w:t>52</w:t>
            </w:r>
            <w:r>
              <w:t>.</w:t>
            </w:r>
          </w:p>
        </w:tc>
        <w:tc>
          <w:tcPr>
            <w:tcW w:w="1559" w:type="dxa"/>
          </w:tcPr>
          <w:p w14:paraId="6272BB73" w14:textId="34186859" w:rsidR="00872BB8" w:rsidRDefault="005E5E38" w:rsidP="00872BB8">
            <w:pPr>
              <w:jc w:val="center"/>
            </w:pPr>
            <w:r>
              <w:t>EP</w:t>
            </w:r>
          </w:p>
        </w:tc>
        <w:tc>
          <w:tcPr>
            <w:tcW w:w="5987" w:type="dxa"/>
          </w:tcPr>
          <w:p w14:paraId="668E194B" w14:textId="229B5761" w:rsidR="00872BB8" w:rsidRPr="00E975CF" w:rsidRDefault="000169FE" w:rsidP="00872BB8">
            <w:pPr>
              <w:rPr>
                <w:rFonts w:eastAsiaTheme="minorHAnsi" w:cstheme="minorBidi"/>
              </w:rPr>
            </w:pPr>
            <w:r>
              <w:t>Това е отговорност на Правителството/Регулаторния орган или друга външна страна.</w:t>
            </w:r>
          </w:p>
        </w:tc>
      </w:tr>
      <w:tr w:rsidR="00872BB8" w14:paraId="17335683" w14:textId="77777777" w:rsidTr="007A556F">
        <w:tc>
          <w:tcPr>
            <w:tcW w:w="797" w:type="dxa"/>
          </w:tcPr>
          <w:p w14:paraId="208AFCC1" w14:textId="2CCEF1F8" w:rsidR="00872BB8" w:rsidRDefault="00872BB8" w:rsidP="00872BB8">
            <w:r>
              <w:t>5.8.</w:t>
            </w:r>
          </w:p>
        </w:tc>
        <w:tc>
          <w:tcPr>
            <w:tcW w:w="5152" w:type="dxa"/>
          </w:tcPr>
          <w:p w14:paraId="0F0F3ABA" w14:textId="5CCD895B" w:rsidR="00872BB8" w:rsidRDefault="00872BB8" w:rsidP="00872BB8">
            <w:r>
              <w:t>Регулаторният орган или друг съответен</w:t>
            </w:r>
            <w:r w:rsidR="00511731">
              <w:t xml:space="preserve"> компетентен</w:t>
            </w:r>
            <w:r>
              <w:t xml:space="preserve"> орган, както и другите страни, отговорни за възстановителни или защитни действия, гарантират, че формата, мащабът и продължителността на тези действия са оптимизирани. Въпреки че този процес на оптимизация има за цел да осигури оптимална защита за всички лица, подложени на облъчване, приоритет се дава на групите, за които дозата превишава референтното ниво. Предприемат се </w:t>
            </w:r>
            <w:r>
              <w:lastRenderedPageBreak/>
              <w:t>всички разумни мерки, за да се предотврати задържането на дозите над референтните нива. Референтните нива обикновено се изразяват като годишна ефективна доза за представителното лице в диапазона 1-20 mSv или друга съответстваща величина, като действителната стойност зависи от възможността за контрол на ситуацията и от опита при управлението на подобни ситуации в миналото.</w:t>
            </w:r>
          </w:p>
        </w:tc>
        <w:tc>
          <w:tcPr>
            <w:tcW w:w="1559" w:type="dxa"/>
          </w:tcPr>
          <w:p w14:paraId="564CB767" w14:textId="0BC42582" w:rsidR="00872BB8" w:rsidRDefault="005E5E38" w:rsidP="00872BB8">
            <w:pPr>
              <w:jc w:val="center"/>
            </w:pPr>
            <w:r>
              <w:lastRenderedPageBreak/>
              <w:t>EP</w:t>
            </w:r>
          </w:p>
        </w:tc>
        <w:tc>
          <w:tcPr>
            <w:tcW w:w="5987" w:type="dxa"/>
          </w:tcPr>
          <w:p w14:paraId="5824CF58" w14:textId="6272C189" w:rsidR="00872BB8" w:rsidRPr="00E975CF" w:rsidRDefault="009D4C18" w:rsidP="00872BB8">
            <w:pPr>
              <w:rPr>
                <w:rFonts w:eastAsiaTheme="minorHAnsi" w:cstheme="minorBidi"/>
              </w:rPr>
            </w:pPr>
            <w:r>
              <w:t>Това е отговорност на Регулаторния орган или друга външна страна.</w:t>
            </w:r>
          </w:p>
        </w:tc>
      </w:tr>
      <w:tr w:rsidR="000169FE" w14:paraId="5D28E98D" w14:textId="77777777" w:rsidTr="007A556F">
        <w:tc>
          <w:tcPr>
            <w:tcW w:w="797" w:type="dxa"/>
          </w:tcPr>
          <w:p w14:paraId="278A9684" w14:textId="2C542D86" w:rsidR="000169FE" w:rsidRDefault="000169FE" w:rsidP="000169FE">
            <w:r>
              <w:t>5.9.</w:t>
            </w:r>
          </w:p>
        </w:tc>
        <w:tc>
          <w:tcPr>
            <w:tcW w:w="5152" w:type="dxa"/>
          </w:tcPr>
          <w:p w14:paraId="0ABCFEE7" w14:textId="7F422F72" w:rsidR="00FB24CD" w:rsidRDefault="000169FE" w:rsidP="000169FE">
            <w:r>
              <w:t xml:space="preserve">Регулаторният орган или друг съответен </w:t>
            </w:r>
            <w:r w:rsidR="00511731">
              <w:t xml:space="preserve">компетентен </w:t>
            </w:r>
            <w:r>
              <w:t>орган периодично преглежда референтните нива с цел осигуряване на тяхното съответствие с преобладаващите обстоятелства.</w:t>
            </w:r>
          </w:p>
        </w:tc>
        <w:tc>
          <w:tcPr>
            <w:tcW w:w="1559" w:type="dxa"/>
          </w:tcPr>
          <w:p w14:paraId="0F8B9932" w14:textId="520FCE84" w:rsidR="000169FE" w:rsidRDefault="000169FE" w:rsidP="000169FE">
            <w:pPr>
              <w:jc w:val="center"/>
            </w:pPr>
            <w:r>
              <w:t>EP</w:t>
            </w:r>
          </w:p>
        </w:tc>
        <w:tc>
          <w:tcPr>
            <w:tcW w:w="5987" w:type="dxa"/>
          </w:tcPr>
          <w:p w14:paraId="7980CC42" w14:textId="21E4BF58" w:rsidR="000169FE" w:rsidRPr="00E975CF" w:rsidRDefault="009D4C18" w:rsidP="000169FE">
            <w:pPr>
              <w:rPr>
                <w:rFonts w:eastAsiaTheme="minorHAnsi" w:cstheme="minorBidi"/>
              </w:rPr>
            </w:pPr>
            <w:r>
              <w:t>Това е отговорност на Регулаторния орган или друга външна страна.</w:t>
            </w:r>
          </w:p>
        </w:tc>
      </w:tr>
    </w:tbl>
    <w:p w14:paraId="02829F66" w14:textId="46D3CBFE" w:rsidR="00EA5C68" w:rsidRPr="006D5D0F" w:rsidRDefault="006D5D0F" w:rsidP="00AF4047">
      <w:pPr>
        <w:pStyle w:val="Heading3"/>
        <w:spacing w:before="240"/>
        <w:rPr>
          <w:caps/>
        </w:rPr>
      </w:pPr>
      <w:bookmarkStart w:id="85" w:name="_Toc155347828"/>
      <w:r>
        <w:t>Изискване 49: Отговорности за възстановяване на зони с остатъчен радиоактивен материал</w:t>
      </w:r>
      <w:bookmarkEnd w:id="85"/>
    </w:p>
    <w:tbl>
      <w:tblPr>
        <w:tblStyle w:val="TableGrid"/>
        <w:tblW w:w="13495" w:type="dxa"/>
        <w:tblLayout w:type="fixed"/>
        <w:tblLook w:val="04A0" w:firstRow="1" w:lastRow="0" w:firstColumn="1" w:lastColumn="0" w:noHBand="0" w:noVBand="1"/>
      </w:tblPr>
      <w:tblGrid>
        <w:gridCol w:w="797"/>
        <w:gridCol w:w="5152"/>
        <w:gridCol w:w="1559"/>
        <w:gridCol w:w="5987"/>
      </w:tblGrid>
      <w:tr w:rsidR="00EA5C68" w14:paraId="61BEC1E3" w14:textId="77777777" w:rsidTr="007A556F">
        <w:trPr>
          <w:tblHeader/>
        </w:trPr>
        <w:tc>
          <w:tcPr>
            <w:tcW w:w="797" w:type="dxa"/>
          </w:tcPr>
          <w:p w14:paraId="6829B03E" w14:textId="77777777" w:rsidR="00EA5C68" w:rsidRDefault="00EA5C68" w:rsidP="00B723E1"/>
        </w:tc>
        <w:tc>
          <w:tcPr>
            <w:tcW w:w="5152" w:type="dxa"/>
          </w:tcPr>
          <w:p w14:paraId="225B3077" w14:textId="77777777" w:rsidR="00EA5C68" w:rsidRDefault="00EA5C68" w:rsidP="00B723E1">
            <w:r>
              <w:rPr>
                <w:b/>
              </w:rPr>
              <w:t>Описание</w:t>
            </w:r>
          </w:p>
        </w:tc>
        <w:tc>
          <w:tcPr>
            <w:tcW w:w="1559" w:type="dxa"/>
          </w:tcPr>
          <w:p w14:paraId="1F5F0BF7" w14:textId="77777777" w:rsidR="00EA5C68" w:rsidRDefault="00EA5C68" w:rsidP="00B723E1">
            <w:r>
              <w:rPr>
                <w:b/>
              </w:rPr>
              <w:t>Съответствие</w:t>
            </w:r>
          </w:p>
        </w:tc>
        <w:tc>
          <w:tcPr>
            <w:tcW w:w="5987" w:type="dxa"/>
          </w:tcPr>
          <w:p w14:paraId="1C5AC831" w14:textId="77777777" w:rsidR="00EA5C68" w:rsidRDefault="00EA5C68" w:rsidP="00B723E1">
            <w:r>
              <w:rPr>
                <w:b/>
              </w:rPr>
              <w:t>Обосновка</w:t>
            </w:r>
          </w:p>
        </w:tc>
      </w:tr>
      <w:tr w:rsidR="00DE3D81" w14:paraId="6DB7087D" w14:textId="77777777" w:rsidTr="007A556F">
        <w:tc>
          <w:tcPr>
            <w:tcW w:w="797" w:type="dxa"/>
          </w:tcPr>
          <w:p w14:paraId="6E21033E" w14:textId="77777777" w:rsidR="00DE3D81" w:rsidRDefault="00DE3D81" w:rsidP="00DE3D81"/>
        </w:tc>
        <w:tc>
          <w:tcPr>
            <w:tcW w:w="5152" w:type="dxa"/>
          </w:tcPr>
          <w:p w14:paraId="0386634E" w14:textId="7E68AD43" w:rsidR="00DE3D81" w:rsidRPr="009D5A44" w:rsidRDefault="00DE3D81">
            <w:pPr>
              <w:rPr>
                <w:b/>
                <w:bCs/>
              </w:rPr>
            </w:pPr>
            <w:r>
              <w:rPr>
                <w:b/>
              </w:rPr>
              <w:t>Правителството осигурява вземането на мерки за идентифициране на лицата или организациите, отговорни за зоните с остатъчни радиоактивни материали; за създаване и прилагане на програми за възстановяване и мерки за контрол след възстановяването, ако е необходимо; и за въвеждане на подходяща стратегия за управление на радиоактивните отпадъци.</w:t>
            </w:r>
          </w:p>
        </w:tc>
        <w:tc>
          <w:tcPr>
            <w:tcW w:w="1559" w:type="dxa"/>
          </w:tcPr>
          <w:p w14:paraId="559C4B86" w14:textId="4208432E" w:rsidR="00DE3D81" w:rsidRDefault="005E5E38" w:rsidP="00DE3D81">
            <w:pPr>
              <w:jc w:val="center"/>
            </w:pPr>
            <w:r>
              <w:t>EP</w:t>
            </w:r>
          </w:p>
        </w:tc>
        <w:tc>
          <w:tcPr>
            <w:tcW w:w="5987" w:type="dxa"/>
          </w:tcPr>
          <w:p w14:paraId="680A499D" w14:textId="760EF3D6" w:rsidR="00DE3D81" w:rsidRPr="007B1303" w:rsidRDefault="00E70076" w:rsidP="00DE3D81">
            <w:pPr>
              <w:rPr>
                <w:rFonts w:eastAsiaTheme="minorHAnsi" w:cstheme="minorBidi"/>
              </w:rPr>
            </w:pPr>
            <w:r>
              <w:t>Това е отговорност на Правителството.</w:t>
            </w:r>
          </w:p>
        </w:tc>
      </w:tr>
      <w:tr w:rsidR="00DE3D81" w14:paraId="074C0429" w14:textId="77777777" w:rsidTr="007A556F">
        <w:tc>
          <w:tcPr>
            <w:tcW w:w="797" w:type="dxa"/>
          </w:tcPr>
          <w:p w14:paraId="21CD984D" w14:textId="5ACFFF72" w:rsidR="00DE3D81" w:rsidRDefault="00DE3D81" w:rsidP="00DE3D81">
            <w:r>
              <w:t>5.10.</w:t>
            </w:r>
          </w:p>
        </w:tc>
        <w:tc>
          <w:tcPr>
            <w:tcW w:w="5152" w:type="dxa"/>
          </w:tcPr>
          <w:p w14:paraId="6758833C" w14:textId="25F866C8" w:rsidR="00DE3D81" w:rsidRDefault="00DE3D81" w:rsidP="00DE3D81">
            <w:r>
              <w:t xml:space="preserve">За възстановяване на зони с остатъчен радиоактивен материал, получен от минали дейности или от ядрена или радиационна авария (т. </w:t>
            </w:r>
            <w:r>
              <w:lastRenderedPageBreak/>
              <w:t xml:space="preserve">5.1 (а)), правителството осигурява в рамките на системата от мерки за защита и безопасност вземането на мерки, предвиждащи: </w:t>
            </w:r>
            <w:r>
              <w:br/>
              <w:t xml:space="preserve">(а) идентифициране на лицата или организациите, отговорни за радиоактивното замърсяване на зоните, и на лицата, отговорни за финансирането на програмата за възстановяване, както и определяне на подходящи мерки за използване на алтернативни източници на финансиране, ако тези лица или организации вече не съществуват или не са в състояние да изпълнят задълженията си; </w:t>
            </w:r>
            <w:r>
              <w:br/>
              <w:t xml:space="preserve">(б) определяне на лицата или организациите, отговорни за планирането, изпълнението и проверката на резултатите от възстановителните действия; </w:t>
            </w:r>
            <w:r>
              <w:br/>
              <w:t xml:space="preserve">(в) установяване на всякакви ограничения за използването или достъпа до съответните зони преди, по време на и, ако е необходимо, след възстановяването; </w:t>
            </w:r>
            <w:r>
              <w:br/>
              <w:t>г) съответна система за поддържане, търсене и изменение на записите, отразяващи естеството и степента на радиоактивното замърсяване; взетите решения преди, по време на и след възстановяването; и информация от проверка на резултатите от възстановителните действия, включително резултатите от всички програми за мониторинг след приключване на възстановителните действия.</w:t>
            </w:r>
          </w:p>
        </w:tc>
        <w:tc>
          <w:tcPr>
            <w:tcW w:w="1559" w:type="dxa"/>
          </w:tcPr>
          <w:p w14:paraId="49AF76A7" w14:textId="4D1019CA" w:rsidR="00DE3D81" w:rsidRDefault="005E5E38" w:rsidP="00DE3D81">
            <w:pPr>
              <w:jc w:val="center"/>
            </w:pPr>
            <w:r>
              <w:lastRenderedPageBreak/>
              <w:t>EP</w:t>
            </w:r>
          </w:p>
        </w:tc>
        <w:tc>
          <w:tcPr>
            <w:tcW w:w="5987" w:type="dxa"/>
          </w:tcPr>
          <w:p w14:paraId="6B67C70C" w14:textId="2F435B64" w:rsidR="00DE3D81" w:rsidRPr="007B1303" w:rsidRDefault="00E70076" w:rsidP="00DE3D81">
            <w:pPr>
              <w:rPr>
                <w:rFonts w:eastAsiaTheme="minorHAnsi" w:cstheme="minorBidi"/>
              </w:rPr>
            </w:pPr>
            <w:r>
              <w:t>Това е отговорност на Правителството.</w:t>
            </w:r>
          </w:p>
        </w:tc>
      </w:tr>
      <w:tr w:rsidR="00DE3D81" w14:paraId="5485D48C" w14:textId="77777777" w:rsidTr="007A556F">
        <w:tc>
          <w:tcPr>
            <w:tcW w:w="797" w:type="dxa"/>
          </w:tcPr>
          <w:p w14:paraId="0A48427C" w14:textId="1642A9D2" w:rsidR="00DE3D81" w:rsidRDefault="00DE3D81" w:rsidP="00DE3D81">
            <w:r>
              <w:t>5.11.</w:t>
            </w:r>
          </w:p>
        </w:tc>
        <w:tc>
          <w:tcPr>
            <w:tcW w:w="5152" w:type="dxa"/>
          </w:tcPr>
          <w:p w14:paraId="112B3B42" w14:textId="0F4EB80B" w:rsidR="00DE3D81" w:rsidRDefault="00DE3D81">
            <w:r>
              <w:t xml:space="preserve">Правителството осигурява разработване на стратегия за управление на радиоактивните </w:t>
            </w:r>
            <w:r>
              <w:lastRenderedPageBreak/>
              <w:t xml:space="preserve">отпадъци, за да се справи с всички отпадъци, възникнали в резултат на възстановителните дейности и </w:t>
            </w:r>
            <w:r w:rsidR="00394FA3">
              <w:t xml:space="preserve">че разпоредбата за такава стратегия е направена в рамките на системата за </w:t>
            </w:r>
            <w:r>
              <w:t>осигуряването на защита и безопасност.</w:t>
            </w:r>
          </w:p>
        </w:tc>
        <w:tc>
          <w:tcPr>
            <w:tcW w:w="1559" w:type="dxa"/>
          </w:tcPr>
          <w:p w14:paraId="428D0CE5" w14:textId="4E47BC3D" w:rsidR="00DE3D81" w:rsidRDefault="005E5E38" w:rsidP="00DE3D81">
            <w:pPr>
              <w:jc w:val="center"/>
            </w:pPr>
            <w:r>
              <w:lastRenderedPageBreak/>
              <w:t>EP</w:t>
            </w:r>
          </w:p>
        </w:tc>
        <w:tc>
          <w:tcPr>
            <w:tcW w:w="5987" w:type="dxa"/>
          </w:tcPr>
          <w:p w14:paraId="383496B1" w14:textId="4CD54488" w:rsidR="007B1303" w:rsidRPr="007B1303" w:rsidRDefault="00E70076" w:rsidP="00DE3D81">
            <w:pPr>
              <w:rPr>
                <w:rFonts w:eastAsiaTheme="minorHAnsi" w:cstheme="minorBidi"/>
              </w:rPr>
            </w:pPr>
            <w:r>
              <w:t>Това е отговорност на Правителството.</w:t>
            </w:r>
          </w:p>
        </w:tc>
      </w:tr>
      <w:tr w:rsidR="00F0610C" w14:paraId="59C3984F" w14:textId="77777777" w:rsidTr="007A556F">
        <w:tc>
          <w:tcPr>
            <w:tcW w:w="797" w:type="dxa"/>
          </w:tcPr>
          <w:p w14:paraId="2D37ED4E" w14:textId="32917B5E" w:rsidR="00F0610C" w:rsidRDefault="00F0610C" w:rsidP="00F0610C">
            <w:r>
              <w:t>5.12.</w:t>
            </w:r>
          </w:p>
        </w:tc>
        <w:tc>
          <w:tcPr>
            <w:tcW w:w="5152" w:type="dxa"/>
          </w:tcPr>
          <w:p w14:paraId="4DA50C41" w14:textId="7C5F930C" w:rsidR="004A322B" w:rsidRPr="00B34186" w:rsidRDefault="00F0610C" w:rsidP="004A322B">
            <w:pPr>
              <w:spacing w:after="0"/>
            </w:pPr>
            <w:r>
              <w:t>Лицата или организациите, отговорни за планирането, изпълнението и верификацията на възстановителни действия, осигуряват, когато е необходимо:</w:t>
            </w:r>
            <w:r>
              <w:br/>
              <w:t xml:space="preserve">(а) изготвяне и представяне на регулаторния орган или на друг съответен </w:t>
            </w:r>
            <w:r w:rsidR="00394FA3">
              <w:t xml:space="preserve">компетентен </w:t>
            </w:r>
            <w:r>
              <w:t xml:space="preserve">орган за одобрение на план за възстановителни действия, подкрепен от оценка на безопасността; </w:t>
            </w:r>
            <w:r>
              <w:br/>
              <w:t xml:space="preserve">(б) фокусиране на плана за възстановителни действия върху своевременното и постепенно намаляване на радиационните рискове и евентуално, ако е възможно, върху премахването на ограниченията за използване на зоната или за достъп до нея; </w:t>
            </w:r>
            <w:r>
              <w:br/>
              <w:t xml:space="preserve">(в) </w:t>
            </w:r>
            <w:r w:rsidR="008223B1">
              <w:t xml:space="preserve">обосноваване на </w:t>
            </w:r>
            <w:r w:rsidR="00394FA3">
              <w:t xml:space="preserve">всички допълнителни дози получени от лица от населението в следствие на осъществяването на </w:t>
            </w:r>
            <w:r w:rsidR="00EA78EC">
              <w:t>коригиращите</w:t>
            </w:r>
            <w:r w:rsidR="00394FA3">
              <w:t xml:space="preserve"> мерки са въз основа на получената нетна полза </w:t>
            </w:r>
            <w:r w:rsidR="00394FA3" w:rsidRPr="00394FA3">
              <w:t>включително отчитане на последващото намаляване на годишната доза.</w:t>
            </w:r>
            <w:r>
              <w:t xml:space="preserve">; </w:t>
            </w:r>
            <w:r>
              <w:br/>
              <w:t>(г) при избора на оптимизиран вариант за възстановяване:</w:t>
            </w:r>
          </w:p>
          <w:p w14:paraId="0590274A" w14:textId="79992865" w:rsidR="004A322B" w:rsidRPr="00B34186" w:rsidRDefault="00F0610C" w:rsidP="004A322B">
            <w:pPr>
              <w:spacing w:after="0"/>
              <w:ind w:left="616"/>
            </w:pPr>
            <w:r>
              <w:t xml:space="preserve">(i) радиологичните въздействия върху хората и околната среда се разглеждат заедно с нерадиационните въздействия върху хората </w:t>
            </w:r>
            <w:r>
              <w:lastRenderedPageBreak/>
              <w:t xml:space="preserve">и околната среда, както и с техническите, социалните и икономическите фактори; </w:t>
            </w:r>
            <w:r>
              <w:br/>
              <w:t xml:space="preserve">(ii) вземат се предвид разходите за транспортиране и управление на радиоактивните отпадъци, радиационното облъчване и рисковете за здравето на работниците, които </w:t>
            </w:r>
            <w:r w:rsidR="008223B1">
              <w:t xml:space="preserve">участват в управлението на </w:t>
            </w:r>
            <w:r>
              <w:t>радиоактивните отпадъци, както и всяко последващо облъчване на населението, свързано с тяхното погребване;</w:t>
            </w:r>
          </w:p>
          <w:p w14:paraId="55979922" w14:textId="03AFA068" w:rsidR="00F0610C" w:rsidRPr="00B34186" w:rsidRDefault="00F0610C">
            <w:r>
              <w:t xml:space="preserve">(д) има механизъм за информиране на населението и заинтересованите страни участват в планирането, изпълнението и верификацията на възстановителните действия, включително в мониторинга след възстановяването; </w:t>
            </w:r>
            <w:r>
              <w:br/>
              <w:t xml:space="preserve">(е) създава се и се прилага програма за мониторинг; </w:t>
            </w:r>
            <w:r>
              <w:br/>
              <w:t xml:space="preserve">(ж) въведена е система за поддържане на адекватни записи, свързани със ситуацията на съществуващо облъчване и предприетите действия за защита и безопасност; </w:t>
            </w:r>
            <w:r>
              <w:br/>
              <w:t>(з) въведени са процедури за представяне на регулаторния орган или на друг съответен</w:t>
            </w:r>
            <w:r w:rsidR="008223B1">
              <w:t xml:space="preserve"> компетентен</w:t>
            </w:r>
            <w:r>
              <w:t xml:space="preserve"> орган на отчети за всякакви </w:t>
            </w:r>
            <w:r w:rsidR="008223B1">
              <w:t xml:space="preserve">необичайни </w:t>
            </w:r>
            <w:r>
              <w:t>условия, имащи отношение към защитата и безопасността.</w:t>
            </w:r>
          </w:p>
        </w:tc>
        <w:tc>
          <w:tcPr>
            <w:tcW w:w="1559" w:type="dxa"/>
          </w:tcPr>
          <w:p w14:paraId="33DA985A" w14:textId="5131BDED" w:rsidR="00F0610C" w:rsidRDefault="000169FE" w:rsidP="00F0610C">
            <w:pPr>
              <w:jc w:val="center"/>
            </w:pPr>
            <w:r>
              <w:lastRenderedPageBreak/>
              <w:t>OR, EP</w:t>
            </w:r>
          </w:p>
        </w:tc>
        <w:tc>
          <w:tcPr>
            <w:tcW w:w="5987" w:type="dxa"/>
          </w:tcPr>
          <w:p w14:paraId="641376DB" w14:textId="4782D5A5" w:rsidR="005F7DC1" w:rsidRPr="00B34186" w:rsidRDefault="000169FE" w:rsidP="00F0610C">
            <w:pPr>
              <w:rPr>
                <w:rFonts w:eastAsiaTheme="minorHAnsi" w:cstheme="minorBidi"/>
              </w:rPr>
            </w:pPr>
            <w:r>
              <w:t>Това е отговорност на Собственика/Лицензианта или външната страна.</w:t>
            </w:r>
          </w:p>
        </w:tc>
      </w:tr>
      <w:tr w:rsidR="00F0610C" w14:paraId="211B12F8" w14:textId="77777777" w:rsidTr="007A556F">
        <w:tc>
          <w:tcPr>
            <w:tcW w:w="797" w:type="dxa"/>
          </w:tcPr>
          <w:p w14:paraId="3FB6E5FE" w14:textId="69BFA96C" w:rsidR="00F0610C" w:rsidRDefault="00F0610C" w:rsidP="00F0610C">
            <w:r>
              <w:t>5.13.</w:t>
            </w:r>
          </w:p>
        </w:tc>
        <w:tc>
          <w:tcPr>
            <w:tcW w:w="5152" w:type="dxa"/>
          </w:tcPr>
          <w:p w14:paraId="66A20C33" w14:textId="1748C2DB" w:rsidR="00F0610C" w:rsidRPr="00815E9C" w:rsidRDefault="00F0610C">
            <w:pPr>
              <w:rPr>
                <w:b/>
                <w:bCs/>
              </w:rPr>
            </w:pPr>
            <w:r>
              <w:t xml:space="preserve">Регулаторният орган, в съответствие с т. 2.29, или друг съответен </w:t>
            </w:r>
            <w:r w:rsidR="00E24742">
              <w:t xml:space="preserve">компетентен </w:t>
            </w:r>
            <w:r>
              <w:t xml:space="preserve">орган поема отговорност, по-специално за: </w:t>
            </w:r>
            <w:r>
              <w:br/>
              <w:t xml:space="preserve">(а) преглед на оценката на безопасността, представена от отговорното лице или организация, </w:t>
            </w:r>
            <w:r>
              <w:lastRenderedPageBreak/>
              <w:t xml:space="preserve">одобрение на плана за възстановителни действия и всички последващи промени в плана за възстановителни действия, както и издаване на необходимите разрешения; </w:t>
            </w:r>
            <w:r>
              <w:br/>
              <w:t xml:space="preserve">(б) </w:t>
            </w:r>
            <w:r w:rsidR="00E24742">
              <w:t xml:space="preserve">разработване </w:t>
            </w:r>
            <w:r>
              <w:t xml:space="preserve">на критерии и методи за оценка на безопасността; </w:t>
            </w:r>
            <w:r>
              <w:br/>
              <w:t xml:space="preserve">(в) преглед на работните процедури, програмите за мониторинг и </w:t>
            </w:r>
            <w:r w:rsidR="00E24742">
              <w:t>водената документация</w:t>
            </w:r>
            <w:r>
              <w:t xml:space="preserve">; </w:t>
            </w:r>
            <w:r>
              <w:br/>
              <w:t xml:space="preserve">(г) преглед и одобрение на значителни промени в процедурите или оборудването, които могат да имат радиологично въздействие върху околната среда или които могат да променят условията на облъчване на работниците, извършващи възстановителни действия, или на лицата от населението; </w:t>
            </w:r>
            <w:r>
              <w:br/>
              <w:t>(д) когато е необходимо, установяване на регулаторни изисквания за мерките за контрол след извършване на възстановителни действия.</w:t>
            </w:r>
          </w:p>
        </w:tc>
        <w:tc>
          <w:tcPr>
            <w:tcW w:w="1559" w:type="dxa"/>
          </w:tcPr>
          <w:p w14:paraId="71BAF2F1" w14:textId="7FC9C86F" w:rsidR="00F0610C" w:rsidRDefault="005E5E38" w:rsidP="00F0610C">
            <w:pPr>
              <w:jc w:val="center"/>
            </w:pPr>
            <w:r>
              <w:lastRenderedPageBreak/>
              <w:t>EP</w:t>
            </w:r>
          </w:p>
        </w:tc>
        <w:tc>
          <w:tcPr>
            <w:tcW w:w="5987" w:type="dxa"/>
          </w:tcPr>
          <w:p w14:paraId="2C06EF67" w14:textId="2D2E3B79" w:rsidR="00F0610C" w:rsidRPr="007B1303" w:rsidRDefault="009D4C18" w:rsidP="00F0610C">
            <w:pPr>
              <w:rPr>
                <w:rFonts w:eastAsiaTheme="minorHAnsi" w:cstheme="minorBidi"/>
              </w:rPr>
            </w:pPr>
            <w:r>
              <w:t>Това е отговорност на Регулаторния орган или друга външна страна.</w:t>
            </w:r>
          </w:p>
        </w:tc>
      </w:tr>
      <w:tr w:rsidR="00F0610C" w14:paraId="51892DC8" w14:textId="77777777" w:rsidTr="007A556F">
        <w:tc>
          <w:tcPr>
            <w:tcW w:w="797" w:type="dxa"/>
          </w:tcPr>
          <w:p w14:paraId="26B371B0" w14:textId="64B15DAE" w:rsidR="00F0610C" w:rsidRDefault="00F0610C" w:rsidP="00F0610C">
            <w:r>
              <w:t>5.14.</w:t>
            </w:r>
          </w:p>
        </w:tc>
        <w:tc>
          <w:tcPr>
            <w:tcW w:w="5152" w:type="dxa"/>
          </w:tcPr>
          <w:p w14:paraId="4D1D2C40" w14:textId="7650344F" w:rsidR="00F0610C" w:rsidRPr="00755B3D" w:rsidRDefault="00F0610C">
            <w:r>
              <w:t xml:space="preserve">Лицето или организацията, отговорна за извършването на възстановителните действия: </w:t>
            </w:r>
            <w:r>
              <w:br/>
              <w:t xml:space="preserve">(а) осигурява извършването на работите, включително управлението на възникналите радиоактивни отпадъци, в съответствие с плана за възстановителни действия; </w:t>
            </w:r>
            <w:r>
              <w:br/>
              <w:t xml:space="preserve">б) поема отговорност за всички аспекти на защитата и безопасността, включително извършването на оценка на безопасността; </w:t>
            </w:r>
            <w:r>
              <w:br/>
              <w:t xml:space="preserve">в) извършва редовен мониторинг на територията по време на възстановителните мероприятия, за да провери нивата на радиоактивно замърсяване, да </w:t>
            </w:r>
            <w:r>
              <w:lastRenderedPageBreak/>
              <w:t xml:space="preserve">провери съответствието с изискванията за управление на радиоактивните отпадъци и да даде възможност за откриване на всякакви непредвидени нива на радиация и внасяне на съответни изменения в плана за възстановителни действия, при условие че бъдат одобрени от регулаторния орган или друг съответен орган; </w:t>
            </w:r>
            <w:r>
              <w:br/>
              <w:t xml:space="preserve">(г) извършва радиологично изследване след приключване на възстановителните действия, за да демонстрира, че условията за постигане на крайните цели, определени в плана за възстановителни действия, са изпълнени; </w:t>
            </w:r>
            <w:r>
              <w:br/>
              <w:t>д) изготвя и съхранява окончателен доклад за възстановителните мероприятия и представя копие от него на регулаторния орган или на друг съответен</w:t>
            </w:r>
            <w:r w:rsidR="00997DC5">
              <w:t xml:space="preserve"> компетентен</w:t>
            </w:r>
            <w:r>
              <w:t xml:space="preserve"> орган.</w:t>
            </w:r>
          </w:p>
        </w:tc>
        <w:tc>
          <w:tcPr>
            <w:tcW w:w="1559" w:type="dxa"/>
          </w:tcPr>
          <w:p w14:paraId="73377FBE" w14:textId="6A99A46F" w:rsidR="00F0610C" w:rsidRDefault="009D4C18" w:rsidP="00F0610C">
            <w:pPr>
              <w:jc w:val="center"/>
            </w:pPr>
            <w:r>
              <w:lastRenderedPageBreak/>
              <w:t>OR, EP</w:t>
            </w:r>
          </w:p>
        </w:tc>
        <w:tc>
          <w:tcPr>
            <w:tcW w:w="5987" w:type="dxa"/>
          </w:tcPr>
          <w:p w14:paraId="332C9CD4" w14:textId="3AFF8E88" w:rsidR="00F0610C" w:rsidRDefault="000169FE" w:rsidP="00F0610C">
            <w:r>
              <w:t>Това е отговорност на Собственика/Лицензианта или външната страна.</w:t>
            </w:r>
          </w:p>
        </w:tc>
      </w:tr>
      <w:tr w:rsidR="00F0610C" w14:paraId="72BE7E2F" w14:textId="77777777" w:rsidTr="007A556F">
        <w:tc>
          <w:tcPr>
            <w:tcW w:w="797" w:type="dxa"/>
          </w:tcPr>
          <w:p w14:paraId="658247E9" w14:textId="5EB8844A" w:rsidR="00F0610C" w:rsidRDefault="00F0610C" w:rsidP="00F0610C">
            <w:r>
              <w:t>5.15.</w:t>
            </w:r>
          </w:p>
        </w:tc>
        <w:tc>
          <w:tcPr>
            <w:tcW w:w="5152" w:type="dxa"/>
          </w:tcPr>
          <w:p w14:paraId="14B541B2" w14:textId="5D680793" w:rsidR="004A322B" w:rsidRPr="00755B3D" w:rsidRDefault="00F0610C" w:rsidP="004A322B">
            <w:pPr>
              <w:spacing w:after="0"/>
            </w:pPr>
            <w:r>
              <w:t>След приключване на възстановителните действия регулаторният орган или друг съответен</w:t>
            </w:r>
            <w:r w:rsidR="00997DC5">
              <w:t xml:space="preserve"> компетентен </w:t>
            </w:r>
            <w:r>
              <w:t xml:space="preserve">орган: </w:t>
            </w:r>
            <w:r>
              <w:br/>
              <w:t xml:space="preserve">(а) преглежда, изменя при необходимост и оформя вида, обхвата и продължителността на всякакви мерки за контрол след завършване на възстановителните мероприятия, които вече са определени в плана за възстановителни действия, като надлежно отчита остатъчните радиационни рискове; </w:t>
            </w:r>
            <w:r>
              <w:br/>
              <w:t xml:space="preserve">(б) идентифицира лицето или организацията, отговорна за всички мерки за контрол след завършване на възстановителните мероприятия; </w:t>
            </w:r>
            <w:r>
              <w:br/>
              <w:t xml:space="preserve">(в) при необходимост въвежда специфични </w:t>
            </w:r>
            <w:r>
              <w:lastRenderedPageBreak/>
              <w:t>ограничения във възстановената територия с цел контрол:</w:t>
            </w:r>
          </w:p>
          <w:p w14:paraId="52376199" w14:textId="77777777" w:rsidR="004A322B" w:rsidRPr="00755B3D" w:rsidRDefault="00F0610C" w:rsidP="004A322B">
            <w:pPr>
              <w:spacing w:after="0"/>
              <w:ind w:left="616"/>
            </w:pPr>
            <w:r>
              <w:t xml:space="preserve">(i) достъп на неупълномощени лица; </w:t>
            </w:r>
            <w:r>
              <w:br/>
              <w:t xml:space="preserve">(ii) отстраняване на радиоактивен материал или използване на такъв материал, включително използването му в потребителски стоки; </w:t>
            </w:r>
            <w:r>
              <w:br/>
              <w:t>(iii) бъдещо използване на територията, включително използване на водните ресурси, и използване на територията за производство на хранителни продукти или фуражи, както и консумация на хранителни продукти, произведени в тази територия;</w:t>
            </w:r>
          </w:p>
          <w:p w14:paraId="520D9746" w14:textId="5923EC91" w:rsidR="00F0610C" w:rsidRPr="00755B3D" w:rsidRDefault="00F0610C" w:rsidP="00F0610C">
            <w:r>
              <w:t>(г) периодично прави преглед на условията във възстановената територия и, ако е необходимо, изменя или премахва всички ограничения.</w:t>
            </w:r>
          </w:p>
        </w:tc>
        <w:tc>
          <w:tcPr>
            <w:tcW w:w="1559" w:type="dxa"/>
          </w:tcPr>
          <w:p w14:paraId="6E714C44" w14:textId="68132F1B" w:rsidR="00F0610C" w:rsidRDefault="00DC4594" w:rsidP="00F0610C">
            <w:pPr>
              <w:jc w:val="center"/>
            </w:pPr>
            <w:r>
              <w:lastRenderedPageBreak/>
              <w:t>EP</w:t>
            </w:r>
          </w:p>
        </w:tc>
        <w:tc>
          <w:tcPr>
            <w:tcW w:w="5987" w:type="dxa"/>
          </w:tcPr>
          <w:p w14:paraId="0B87C5DE" w14:textId="21E2020E" w:rsidR="00F0610C" w:rsidRPr="007B1303" w:rsidRDefault="000169FE" w:rsidP="00F0610C">
            <w:pPr>
              <w:rPr>
                <w:rFonts w:eastAsiaTheme="minorHAnsi" w:cstheme="minorBidi"/>
              </w:rPr>
            </w:pPr>
            <w:r>
              <w:t>Това е отговорност на Регулаторния орган или друга външна страна.</w:t>
            </w:r>
          </w:p>
        </w:tc>
      </w:tr>
      <w:tr w:rsidR="00F0610C" w14:paraId="29FF6A05" w14:textId="77777777" w:rsidTr="007A556F">
        <w:tc>
          <w:tcPr>
            <w:tcW w:w="797" w:type="dxa"/>
          </w:tcPr>
          <w:p w14:paraId="1DE179E1" w14:textId="406326CD" w:rsidR="00F0610C" w:rsidRDefault="00F0610C" w:rsidP="00F0610C">
            <w:r>
              <w:t>5.16.</w:t>
            </w:r>
          </w:p>
        </w:tc>
        <w:tc>
          <w:tcPr>
            <w:tcW w:w="5152" w:type="dxa"/>
          </w:tcPr>
          <w:p w14:paraId="6E0D623C" w14:textId="72656332" w:rsidR="00F0610C" w:rsidRDefault="00F0610C">
            <w:r>
              <w:t>Лицето или организацията, отговорна за мерките за контрол след възстановяването, създава и поддържа толкова дълго, колкото се изисква от регулаторния орган или друг съответен</w:t>
            </w:r>
            <w:r w:rsidR="004E7B32">
              <w:t xml:space="preserve"> компетентен</w:t>
            </w:r>
            <w:r>
              <w:t xml:space="preserve"> орган, подходяща програма, предвиждаща всички необходими мерки за мониторинг, за да се провери дългосрочната ефективност на завършените възстановителни действия в териториите, в които се изисква извършване на контрол след възстановителните мероприятия.</w:t>
            </w:r>
          </w:p>
        </w:tc>
        <w:tc>
          <w:tcPr>
            <w:tcW w:w="1559" w:type="dxa"/>
          </w:tcPr>
          <w:p w14:paraId="127E8C2A" w14:textId="45C2950D" w:rsidR="00F0610C" w:rsidRDefault="009D4C18" w:rsidP="00F0610C">
            <w:pPr>
              <w:jc w:val="center"/>
            </w:pPr>
            <w:r>
              <w:t>OR, EP</w:t>
            </w:r>
          </w:p>
        </w:tc>
        <w:tc>
          <w:tcPr>
            <w:tcW w:w="5987" w:type="dxa"/>
          </w:tcPr>
          <w:p w14:paraId="1BD3DE2F" w14:textId="39D1E750" w:rsidR="00F0610C" w:rsidRDefault="009D4C18" w:rsidP="00F0610C">
            <w:r>
              <w:t>Това е отговорност на Собственика/Лицензианта или външната страна.</w:t>
            </w:r>
          </w:p>
        </w:tc>
      </w:tr>
      <w:tr w:rsidR="00F0610C" w14:paraId="55672076" w14:textId="77777777" w:rsidTr="007A556F">
        <w:tc>
          <w:tcPr>
            <w:tcW w:w="797" w:type="dxa"/>
          </w:tcPr>
          <w:p w14:paraId="322964F4" w14:textId="0083E671" w:rsidR="00F0610C" w:rsidRDefault="00F0610C" w:rsidP="00F0610C">
            <w:r>
              <w:t>5.17.</w:t>
            </w:r>
          </w:p>
        </w:tc>
        <w:tc>
          <w:tcPr>
            <w:tcW w:w="5152" w:type="dxa"/>
          </w:tcPr>
          <w:p w14:paraId="7912A886" w14:textId="03D7977B" w:rsidR="00F0610C" w:rsidRDefault="00F0610C">
            <w:r>
              <w:t xml:space="preserve">Териториите с дълготрайни остатъци от радиоактивни материали, в които правителството е </w:t>
            </w:r>
            <w:r>
              <w:lastRenderedPageBreak/>
              <w:t xml:space="preserve">решило да разреши обитаване и възобновяване на социалните и икономическите дейности, правителството, след консултации със заинтересованите страни, гарантира, че са налице необходимите мерки за непрекъснат контрол на облъчването с цел създаване на условия за устойчив живот, включително: </w:t>
            </w:r>
            <w:r>
              <w:br/>
              <w:t xml:space="preserve">(а) установяване на референтни нива на защита и безопасност, съответстващи на ежедневния живот; </w:t>
            </w:r>
            <w:r>
              <w:br/>
              <w:t xml:space="preserve">б) </w:t>
            </w:r>
            <w:r w:rsidR="004E7B32">
              <w:t>изграждане на инфраструктура в подкрепа на продължаващите защитни мерки, предприемани в засегнатите области от самите лица, като например предоставяне на информация, консултации и мониторинг</w:t>
            </w:r>
            <w:r>
              <w:t>.</w:t>
            </w:r>
          </w:p>
        </w:tc>
        <w:tc>
          <w:tcPr>
            <w:tcW w:w="1559" w:type="dxa"/>
          </w:tcPr>
          <w:p w14:paraId="5BD80C3F" w14:textId="3758EDBE" w:rsidR="00F0610C" w:rsidRDefault="00DC4594" w:rsidP="00F0610C">
            <w:pPr>
              <w:jc w:val="center"/>
            </w:pPr>
            <w:r>
              <w:lastRenderedPageBreak/>
              <w:t>EP</w:t>
            </w:r>
          </w:p>
        </w:tc>
        <w:tc>
          <w:tcPr>
            <w:tcW w:w="5987" w:type="dxa"/>
          </w:tcPr>
          <w:p w14:paraId="0A5AB890" w14:textId="67E471CE" w:rsidR="00F0610C" w:rsidRPr="00DC4594" w:rsidRDefault="00E70076" w:rsidP="00F0610C">
            <w:pPr>
              <w:rPr>
                <w:rFonts w:eastAsiaTheme="minorHAnsi" w:cstheme="minorBidi"/>
              </w:rPr>
            </w:pPr>
            <w:r>
              <w:t>Това е отговорност на Правителството.</w:t>
            </w:r>
          </w:p>
        </w:tc>
      </w:tr>
      <w:tr w:rsidR="00F0610C" w14:paraId="2FC424E4" w14:textId="77777777" w:rsidTr="007A556F">
        <w:tc>
          <w:tcPr>
            <w:tcW w:w="797" w:type="dxa"/>
          </w:tcPr>
          <w:p w14:paraId="20856364" w14:textId="21455DD1" w:rsidR="00F0610C" w:rsidRDefault="00F0610C" w:rsidP="00F0610C">
            <w:r>
              <w:t>5.18.</w:t>
            </w:r>
          </w:p>
        </w:tc>
        <w:tc>
          <w:tcPr>
            <w:tcW w:w="5152" w:type="dxa"/>
          </w:tcPr>
          <w:p w14:paraId="3842C706" w14:textId="67AEC476" w:rsidR="00F954EF" w:rsidRDefault="00F0610C" w:rsidP="00F436DF">
            <w:r>
              <w:t>Условията, преобладаващи след приключване на възстановителните действия, ако регулаторният орган или друг съответен орган не е наложил ограничения или мерки за контрол, се смятат за фонови условия за всякакви нови съоръжения и дейности или за обитаване на територията.</w:t>
            </w:r>
          </w:p>
        </w:tc>
        <w:tc>
          <w:tcPr>
            <w:tcW w:w="1559" w:type="dxa"/>
          </w:tcPr>
          <w:p w14:paraId="74DA06E5" w14:textId="403A43A7" w:rsidR="00F0610C" w:rsidRDefault="00DC4594" w:rsidP="00F0610C">
            <w:pPr>
              <w:jc w:val="center"/>
            </w:pPr>
            <w:r>
              <w:t>NR</w:t>
            </w:r>
          </w:p>
        </w:tc>
        <w:tc>
          <w:tcPr>
            <w:tcW w:w="5987" w:type="dxa"/>
          </w:tcPr>
          <w:p w14:paraId="6B477799" w14:textId="23D34799" w:rsidR="00F0610C" w:rsidRDefault="00DC4594" w:rsidP="00F0610C">
            <w:r>
              <w:t>Това е пояснение, а не изискване.</w:t>
            </w:r>
          </w:p>
        </w:tc>
      </w:tr>
    </w:tbl>
    <w:p w14:paraId="5006BA5B" w14:textId="6AB37A41" w:rsidR="006D5D0F" w:rsidRPr="00F46F4E" w:rsidRDefault="00F46F4E" w:rsidP="00AF4047">
      <w:pPr>
        <w:pStyle w:val="Heading3"/>
        <w:spacing w:before="240"/>
        <w:rPr>
          <w:caps/>
        </w:rPr>
      </w:pPr>
      <w:bookmarkStart w:id="86" w:name="_Toc155347829"/>
      <w:r>
        <w:t>Изискване 50: Облъчване на населението, обусловено от присъствието на радон в закрити помещения</w:t>
      </w:r>
      <w:bookmarkEnd w:id="86"/>
    </w:p>
    <w:tbl>
      <w:tblPr>
        <w:tblStyle w:val="TableGrid"/>
        <w:tblW w:w="13495" w:type="dxa"/>
        <w:tblLayout w:type="fixed"/>
        <w:tblLook w:val="04A0" w:firstRow="1" w:lastRow="0" w:firstColumn="1" w:lastColumn="0" w:noHBand="0" w:noVBand="1"/>
      </w:tblPr>
      <w:tblGrid>
        <w:gridCol w:w="797"/>
        <w:gridCol w:w="5152"/>
        <w:gridCol w:w="1559"/>
        <w:gridCol w:w="5987"/>
      </w:tblGrid>
      <w:tr w:rsidR="006D5D0F" w14:paraId="71ED79AB" w14:textId="77777777" w:rsidTr="007A556F">
        <w:trPr>
          <w:tblHeader/>
        </w:trPr>
        <w:tc>
          <w:tcPr>
            <w:tcW w:w="797" w:type="dxa"/>
          </w:tcPr>
          <w:p w14:paraId="2D281A5D" w14:textId="77777777" w:rsidR="006D5D0F" w:rsidRDefault="006D5D0F" w:rsidP="00B723E1"/>
        </w:tc>
        <w:tc>
          <w:tcPr>
            <w:tcW w:w="5152" w:type="dxa"/>
          </w:tcPr>
          <w:p w14:paraId="76882B70" w14:textId="77777777" w:rsidR="006D5D0F" w:rsidRDefault="006D5D0F" w:rsidP="00B723E1">
            <w:r>
              <w:rPr>
                <w:b/>
              </w:rPr>
              <w:t>Описание</w:t>
            </w:r>
          </w:p>
        </w:tc>
        <w:tc>
          <w:tcPr>
            <w:tcW w:w="1559" w:type="dxa"/>
          </w:tcPr>
          <w:p w14:paraId="60F756BB" w14:textId="77777777" w:rsidR="006D5D0F" w:rsidRDefault="006D5D0F" w:rsidP="00B723E1">
            <w:r>
              <w:rPr>
                <w:b/>
              </w:rPr>
              <w:t>Съответствие</w:t>
            </w:r>
          </w:p>
        </w:tc>
        <w:tc>
          <w:tcPr>
            <w:tcW w:w="5987" w:type="dxa"/>
          </w:tcPr>
          <w:p w14:paraId="0BC72545" w14:textId="77777777" w:rsidR="006D5D0F" w:rsidRDefault="006D5D0F" w:rsidP="00B723E1">
            <w:r>
              <w:rPr>
                <w:b/>
              </w:rPr>
              <w:t>Обосновка</w:t>
            </w:r>
          </w:p>
        </w:tc>
      </w:tr>
      <w:tr w:rsidR="00030115" w14:paraId="71BB303A" w14:textId="77777777" w:rsidTr="007A556F">
        <w:tc>
          <w:tcPr>
            <w:tcW w:w="797" w:type="dxa"/>
          </w:tcPr>
          <w:p w14:paraId="3E617867" w14:textId="77777777" w:rsidR="00030115" w:rsidRDefault="00030115" w:rsidP="00030115"/>
        </w:tc>
        <w:tc>
          <w:tcPr>
            <w:tcW w:w="5152" w:type="dxa"/>
          </w:tcPr>
          <w:p w14:paraId="3C54D4D2" w14:textId="17F6ECD6" w:rsidR="00030115" w:rsidRPr="009D5A44" w:rsidRDefault="00030115" w:rsidP="00030115">
            <w:pPr>
              <w:rPr>
                <w:b/>
                <w:bCs/>
              </w:rPr>
            </w:pPr>
            <w:r>
              <w:rPr>
                <w:b/>
              </w:rPr>
              <w:t xml:space="preserve">Правителството предоставя информация за нивата на радон в закрити помещения и свързаните с тях рискове за здравето и, ако е необходимо, изготвя и прилага план за действие за контрол на </w:t>
            </w:r>
            <w:r>
              <w:rPr>
                <w:b/>
              </w:rPr>
              <w:lastRenderedPageBreak/>
              <w:t>облъчването на населението от радон в закрити помещения.</w:t>
            </w:r>
          </w:p>
        </w:tc>
        <w:tc>
          <w:tcPr>
            <w:tcW w:w="1559" w:type="dxa"/>
          </w:tcPr>
          <w:p w14:paraId="1D75481E" w14:textId="40D22FA4" w:rsidR="00030115" w:rsidRDefault="003215EE" w:rsidP="00030115">
            <w:pPr>
              <w:jc w:val="center"/>
            </w:pPr>
            <w:r>
              <w:lastRenderedPageBreak/>
              <w:t>NAP</w:t>
            </w:r>
          </w:p>
        </w:tc>
        <w:tc>
          <w:tcPr>
            <w:tcW w:w="5987" w:type="dxa"/>
          </w:tcPr>
          <w:p w14:paraId="375C79D8" w14:textId="14A812CB" w:rsidR="00030115" w:rsidRDefault="00140877" w:rsidP="00030115">
            <w:r>
              <w:t>Изискването не е приложимо към технологията.</w:t>
            </w:r>
          </w:p>
        </w:tc>
      </w:tr>
      <w:tr w:rsidR="00030115" w14:paraId="027D6CB3" w14:textId="77777777" w:rsidTr="007A556F">
        <w:tc>
          <w:tcPr>
            <w:tcW w:w="797" w:type="dxa"/>
          </w:tcPr>
          <w:p w14:paraId="35361C54" w14:textId="5110323B" w:rsidR="00030115" w:rsidRDefault="00030115" w:rsidP="00030115">
            <w:r>
              <w:t>5.19.</w:t>
            </w:r>
          </w:p>
        </w:tc>
        <w:tc>
          <w:tcPr>
            <w:tcW w:w="5152" w:type="dxa"/>
          </w:tcPr>
          <w:p w14:paraId="77E994B5" w14:textId="7EB46084" w:rsidR="00030115" w:rsidRDefault="00030115" w:rsidP="00030115">
            <w:r>
              <w:t xml:space="preserve">В рамките на своите отговорности, както се изисква в т. 5.3, правителството осигурява: </w:t>
            </w:r>
            <w:r>
              <w:br/>
              <w:t>(а) събиране на информация за концентрациите на активност на радон в жилища и други сгради с висок коефициент на обитаемост от лица от населението</w:t>
            </w:r>
            <w:r>
              <w:rPr>
                <w:vertAlign w:val="superscript"/>
              </w:rPr>
              <w:t>53</w:t>
            </w:r>
            <w:r>
              <w:rPr>
                <w:sz w:val="14"/>
              </w:rPr>
              <w:t xml:space="preserve"> </w:t>
            </w:r>
            <w:r>
              <w:t xml:space="preserve">чрез подходящи средства, като например представителни радонови проучвания; </w:t>
            </w:r>
            <w:r>
              <w:br/>
              <w:t>(б) предоставяне на населението и на други заинтересовани страни на съответната информация за облъчването, обусловено от присъствието на радон, и свързаните с него рискове за здравето, включително повишените рискове, свързани с тютюнопушенето.</w:t>
            </w:r>
          </w:p>
        </w:tc>
        <w:tc>
          <w:tcPr>
            <w:tcW w:w="1559" w:type="dxa"/>
          </w:tcPr>
          <w:p w14:paraId="56FAEDEC" w14:textId="238D8DF8" w:rsidR="00030115" w:rsidRDefault="003215EE" w:rsidP="00030115">
            <w:pPr>
              <w:jc w:val="center"/>
            </w:pPr>
            <w:r>
              <w:t>NAP</w:t>
            </w:r>
          </w:p>
        </w:tc>
        <w:tc>
          <w:tcPr>
            <w:tcW w:w="5987" w:type="dxa"/>
          </w:tcPr>
          <w:p w14:paraId="73864E79" w14:textId="21B0F8B7" w:rsidR="00030115" w:rsidRDefault="00140877" w:rsidP="00030115">
            <w:r>
              <w:t>Изискването не е приложимо към технологията.</w:t>
            </w:r>
          </w:p>
        </w:tc>
      </w:tr>
      <w:tr w:rsidR="00030115" w14:paraId="6B34FD72" w14:textId="77777777" w:rsidTr="007A556F">
        <w:tc>
          <w:tcPr>
            <w:tcW w:w="797" w:type="dxa"/>
          </w:tcPr>
          <w:p w14:paraId="20BFC281" w14:textId="3E44E00E" w:rsidR="00030115" w:rsidRDefault="00030115" w:rsidP="00030115">
            <w:r>
              <w:t>5.20.</w:t>
            </w:r>
          </w:p>
        </w:tc>
        <w:tc>
          <w:tcPr>
            <w:tcW w:w="5152" w:type="dxa"/>
          </w:tcPr>
          <w:p w14:paraId="7795A089" w14:textId="6B1AEBFB" w:rsidR="00030115" w:rsidRDefault="00030115">
            <w:r>
              <w:t>Когато концентрации на активност на радон, които са опасни за здравето на населението, са идентифицирани въз основа на информацията, събрана в съответствие с изискванията на т. 5.19 (а), правителството осигурява изготвянето на план за действие, включващ координирани действия за намаляване на концентрациите на активност на радон в съществуващи и бъдещи сгради, който включва</w:t>
            </w:r>
            <w:r>
              <w:rPr>
                <w:vertAlign w:val="superscript"/>
              </w:rPr>
              <w:t>54</w:t>
            </w:r>
            <w:r>
              <w:t xml:space="preserve">: </w:t>
            </w:r>
            <w:r>
              <w:br/>
              <w:t xml:space="preserve">(а) установяване на подходящо референтно ниво за </w:t>
            </w:r>
            <w:r>
              <w:rPr>
                <w:vertAlign w:val="superscript"/>
              </w:rPr>
              <w:t>222</w:t>
            </w:r>
            <w:r>
              <w:t xml:space="preserve">Rn за жилища и други сгради с висок коефициент на обитаемост от лица от населението, като се вземат предвид преобладаващите социални и икономически обстоятелства, което като цяло няма </w:t>
            </w:r>
            <w:r>
              <w:lastRenderedPageBreak/>
              <w:t xml:space="preserve">да надхвърля свързаната с </w:t>
            </w:r>
            <w:r>
              <w:rPr>
                <w:vertAlign w:val="superscript"/>
              </w:rPr>
              <w:t>222</w:t>
            </w:r>
            <w:r>
              <w:t xml:space="preserve">Rn </w:t>
            </w:r>
            <w:r w:rsidR="00231ACB">
              <w:t xml:space="preserve">средна годишна </w:t>
            </w:r>
            <w:r>
              <w:t xml:space="preserve"> активност, равна на 300 Bq/m</w:t>
            </w:r>
            <w:r>
              <w:rPr>
                <w:vertAlign w:val="superscript"/>
              </w:rPr>
              <w:t>3</w:t>
            </w:r>
            <w:r>
              <w:rPr>
                <w:sz w:val="14"/>
              </w:rPr>
              <w:t xml:space="preserve"> </w:t>
            </w:r>
            <w:r>
              <w:rPr>
                <w:vertAlign w:val="superscript"/>
              </w:rPr>
              <w:t>55</w:t>
            </w:r>
            <w:r>
              <w:t xml:space="preserve">; </w:t>
            </w:r>
            <w:r>
              <w:br/>
              <w:t xml:space="preserve">б) намаляване на концентрациите на активност на </w:t>
            </w:r>
            <w:r>
              <w:rPr>
                <w:vertAlign w:val="superscript"/>
              </w:rPr>
              <w:t>222</w:t>
            </w:r>
            <w:r>
              <w:t xml:space="preserve">Rn и последващите облъчвания до нива, при които е осигурена оптимизация на защитата; </w:t>
            </w:r>
            <w:r>
              <w:br/>
              <w:t xml:space="preserve">(в) даване на приоритет на действия за намаляване на концентрациите на активност на </w:t>
            </w:r>
            <w:r>
              <w:rPr>
                <w:vertAlign w:val="superscript"/>
              </w:rPr>
              <w:t>222</w:t>
            </w:r>
            <w:r>
              <w:t>Rn в ситуации, когато такива действия могат да бъдат максимално ефективни</w:t>
            </w:r>
            <w:r>
              <w:rPr>
                <w:vertAlign w:val="superscript"/>
              </w:rPr>
              <w:t>56</w:t>
            </w:r>
            <w:r>
              <w:t xml:space="preserve">; </w:t>
            </w:r>
            <w:r>
              <w:br/>
              <w:t xml:space="preserve">г) включване в строителните норми на подходящи превантивни мерки и коригиращи действия за предотвратяване проникването на </w:t>
            </w:r>
            <w:r>
              <w:rPr>
                <w:vertAlign w:val="superscript"/>
              </w:rPr>
              <w:t>222</w:t>
            </w:r>
            <w:r>
              <w:t>Rn и за улесняване на по-нататъшните действия, когато това е необходимо.</w:t>
            </w:r>
          </w:p>
        </w:tc>
        <w:tc>
          <w:tcPr>
            <w:tcW w:w="1559" w:type="dxa"/>
          </w:tcPr>
          <w:p w14:paraId="423C982A" w14:textId="0175F582" w:rsidR="00030115" w:rsidRDefault="003215EE" w:rsidP="00030115">
            <w:pPr>
              <w:jc w:val="center"/>
            </w:pPr>
            <w:r>
              <w:lastRenderedPageBreak/>
              <w:t>NAP</w:t>
            </w:r>
          </w:p>
        </w:tc>
        <w:tc>
          <w:tcPr>
            <w:tcW w:w="5987" w:type="dxa"/>
          </w:tcPr>
          <w:p w14:paraId="29A6486B" w14:textId="2399C752" w:rsidR="00030115" w:rsidRDefault="00140877" w:rsidP="00030115">
            <w:r>
              <w:t>Изискването не е приложимо към технологията.</w:t>
            </w:r>
          </w:p>
        </w:tc>
      </w:tr>
      <w:tr w:rsidR="00030115" w14:paraId="71E9DF18" w14:textId="77777777" w:rsidTr="007A556F">
        <w:tc>
          <w:tcPr>
            <w:tcW w:w="797" w:type="dxa"/>
          </w:tcPr>
          <w:p w14:paraId="6AEBF0AD" w14:textId="01BF7DD8" w:rsidR="00030115" w:rsidRDefault="00030115" w:rsidP="00030115">
            <w:r>
              <w:t>5.21.</w:t>
            </w:r>
          </w:p>
        </w:tc>
        <w:tc>
          <w:tcPr>
            <w:tcW w:w="5152" w:type="dxa"/>
          </w:tcPr>
          <w:p w14:paraId="787D1D32" w14:textId="4AE5B470" w:rsidR="00030115" w:rsidRDefault="00030115" w:rsidP="00480972">
            <w:r>
              <w:t xml:space="preserve">Правителството възлага отговорност за: </w:t>
            </w:r>
            <w:r>
              <w:br/>
              <w:t xml:space="preserve">(а) изготвяне и прилагане на план за действие за контрол на облъчването на населението, дължащо се на </w:t>
            </w:r>
            <w:r>
              <w:rPr>
                <w:vertAlign w:val="superscript"/>
              </w:rPr>
              <w:t>222</w:t>
            </w:r>
            <w:r>
              <w:t xml:space="preserve">Rn в закрити помещения; </w:t>
            </w:r>
            <w:r>
              <w:br/>
              <w:t>б) определяне на обстоятелствата, при които действията ще бъдат задължителни или доброволни, като се вземат предвид правните изисквания и преобладаващите социални и икономически обстоятелства.</w:t>
            </w:r>
          </w:p>
        </w:tc>
        <w:tc>
          <w:tcPr>
            <w:tcW w:w="1559" w:type="dxa"/>
          </w:tcPr>
          <w:p w14:paraId="72D60D35" w14:textId="3071F696" w:rsidR="00030115" w:rsidRDefault="003215EE" w:rsidP="00030115">
            <w:pPr>
              <w:jc w:val="center"/>
            </w:pPr>
            <w:r>
              <w:t>NAP</w:t>
            </w:r>
          </w:p>
        </w:tc>
        <w:tc>
          <w:tcPr>
            <w:tcW w:w="5987" w:type="dxa"/>
          </w:tcPr>
          <w:p w14:paraId="18C5A8CF" w14:textId="342DA35A" w:rsidR="00030115" w:rsidRDefault="00140877" w:rsidP="00030115">
            <w:r>
              <w:t>Изискването не е приложимо към технологията.</w:t>
            </w:r>
          </w:p>
        </w:tc>
      </w:tr>
    </w:tbl>
    <w:p w14:paraId="4F7A940E" w14:textId="5F22988A" w:rsidR="006D5D0F" w:rsidRPr="00F46F4E" w:rsidRDefault="00F46F4E" w:rsidP="00AF4047">
      <w:pPr>
        <w:pStyle w:val="Heading3"/>
        <w:spacing w:before="240"/>
        <w:rPr>
          <w:caps/>
        </w:rPr>
      </w:pPr>
      <w:bookmarkStart w:id="87" w:name="_Toc155347830"/>
      <w:r>
        <w:lastRenderedPageBreak/>
        <w:t>Изискване 51: Облъчване, обусловено от присъствието на радионуклиди в потребителски стоки</w:t>
      </w:r>
      <w:bookmarkEnd w:id="87"/>
    </w:p>
    <w:tbl>
      <w:tblPr>
        <w:tblStyle w:val="TableGrid"/>
        <w:tblW w:w="13495" w:type="dxa"/>
        <w:tblLayout w:type="fixed"/>
        <w:tblLook w:val="04A0" w:firstRow="1" w:lastRow="0" w:firstColumn="1" w:lastColumn="0" w:noHBand="0" w:noVBand="1"/>
      </w:tblPr>
      <w:tblGrid>
        <w:gridCol w:w="797"/>
        <w:gridCol w:w="5152"/>
        <w:gridCol w:w="1559"/>
        <w:gridCol w:w="5987"/>
      </w:tblGrid>
      <w:tr w:rsidR="006D5D0F" w14:paraId="1F986B9E" w14:textId="77777777" w:rsidTr="007A556F">
        <w:trPr>
          <w:tblHeader/>
        </w:trPr>
        <w:tc>
          <w:tcPr>
            <w:tcW w:w="797" w:type="dxa"/>
          </w:tcPr>
          <w:p w14:paraId="2C8EC5D6" w14:textId="77777777" w:rsidR="006D5D0F" w:rsidRDefault="006D5D0F" w:rsidP="00B723E1"/>
        </w:tc>
        <w:tc>
          <w:tcPr>
            <w:tcW w:w="5152" w:type="dxa"/>
          </w:tcPr>
          <w:p w14:paraId="7C487A08" w14:textId="77777777" w:rsidR="006D5D0F" w:rsidRDefault="006D5D0F" w:rsidP="00B723E1">
            <w:r>
              <w:rPr>
                <w:b/>
              </w:rPr>
              <w:t>Описание</w:t>
            </w:r>
          </w:p>
        </w:tc>
        <w:tc>
          <w:tcPr>
            <w:tcW w:w="1559" w:type="dxa"/>
          </w:tcPr>
          <w:p w14:paraId="037E7634" w14:textId="77777777" w:rsidR="006D5D0F" w:rsidRDefault="006D5D0F" w:rsidP="00B723E1">
            <w:r>
              <w:rPr>
                <w:b/>
              </w:rPr>
              <w:t>Съответствие</w:t>
            </w:r>
          </w:p>
        </w:tc>
        <w:tc>
          <w:tcPr>
            <w:tcW w:w="5987" w:type="dxa"/>
          </w:tcPr>
          <w:p w14:paraId="25894E95" w14:textId="77777777" w:rsidR="006D5D0F" w:rsidRDefault="006D5D0F" w:rsidP="00B723E1">
            <w:r>
              <w:rPr>
                <w:b/>
              </w:rPr>
              <w:t>Обосновка</w:t>
            </w:r>
          </w:p>
        </w:tc>
      </w:tr>
      <w:tr w:rsidR="006D5D0F" w14:paraId="5F355101" w14:textId="77777777" w:rsidTr="007A556F">
        <w:tc>
          <w:tcPr>
            <w:tcW w:w="797" w:type="dxa"/>
          </w:tcPr>
          <w:p w14:paraId="35655CCC" w14:textId="77777777" w:rsidR="006D5D0F" w:rsidRDefault="006D5D0F" w:rsidP="00B723E1"/>
        </w:tc>
        <w:tc>
          <w:tcPr>
            <w:tcW w:w="5152" w:type="dxa"/>
          </w:tcPr>
          <w:p w14:paraId="0CA5D421" w14:textId="09F308F2" w:rsidR="006D5D0F" w:rsidRPr="009D5A44" w:rsidRDefault="00F46F4E" w:rsidP="009D5A44">
            <w:pPr>
              <w:rPr>
                <w:b/>
                <w:bCs/>
              </w:rPr>
            </w:pPr>
            <w:r>
              <w:rPr>
                <w:b/>
              </w:rPr>
              <w:t>Регулаторният орган или друг съответен орган определя референтни нива за облъчване, дължащо се на радионуклиди в потребителски стоки.</w:t>
            </w:r>
          </w:p>
        </w:tc>
        <w:tc>
          <w:tcPr>
            <w:tcW w:w="1559" w:type="dxa"/>
          </w:tcPr>
          <w:p w14:paraId="50C7BD8B" w14:textId="23C160C2" w:rsidR="006D5D0F" w:rsidRDefault="003215EE" w:rsidP="00AD27DA">
            <w:pPr>
              <w:jc w:val="center"/>
            </w:pPr>
            <w:r>
              <w:t>NAP</w:t>
            </w:r>
          </w:p>
        </w:tc>
        <w:tc>
          <w:tcPr>
            <w:tcW w:w="5987" w:type="dxa"/>
          </w:tcPr>
          <w:p w14:paraId="19BF693F" w14:textId="4CF043F9" w:rsidR="006D5D0F" w:rsidRDefault="00140877" w:rsidP="00B723E1">
            <w:r>
              <w:t>Изискването не е приложимо към технологията.</w:t>
            </w:r>
          </w:p>
        </w:tc>
      </w:tr>
      <w:tr w:rsidR="006D5D0F" w14:paraId="768B945F" w14:textId="77777777" w:rsidTr="007A556F">
        <w:tc>
          <w:tcPr>
            <w:tcW w:w="797" w:type="dxa"/>
          </w:tcPr>
          <w:p w14:paraId="1B717945" w14:textId="41373456" w:rsidR="006D5D0F" w:rsidRDefault="003376C5" w:rsidP="00B723E1">
            <w:r>
              <w:t>5.22.</w:t>
            </w:r>
          </w:p>
        </w:tc>
        <w:tc>
          <w:tcPr>
            <w:tcW w:w="5152" w:type="dxa"/>
          </w:tcPr>
          <w:p w14:paraId="6B4600BD" w14:textId="37B1F7DF" w:rsidR="006D5D0F" w:rsidRPr="00F46F4E" w:rsidRDefault="00F46F4E" w:rsidP="009D5A44">
            <w:pPr>
              <w:rPr>
                <w:b/>
                <w:bCs/>
              </w:rPr>
            </w:pPr>
            <w:r>
              <w:t>Регулаторният орган или друг съответен орган установява специфични референтни нива за облъчване, дължащо се на радионуклиди в потребителски стоки като строителни материали, хранителни продукти и фуражи, както и в питейна вода, всяко от които обикновено се изразява като годишна ефективна доза за представителното лице или се основава на такава доза, която обикновено не превишава стойност от около 1 mSv.</w:t>
            </w:r>
          </w:p>
        </w:tc>
        <w:tc>
          <w:tcPr>
            <w:tcW w:w="1559" w:type="dxa"/>
          </w:tcPr>
          <w:p w14:paraId="77974718" w14:textId="04B4126B" w:rsidR="006D5D0F" w:rsidRDefault="003215EE" w:rsidP="00AD27DA">
            <w:pPr>
              <w:jc w:val="center"/>
            </w:pPr>
            <w:r>
              <w:t>NAP</w:t>
            </w:r>
          </w:p>
        </w:tc>
        <w:tc>
          <w:tcPr>
            <w:tcW w:w="5987" w:type="dxa"/>
          </w:tcPr>
          <w:p w14:paraId="018F6E6A" w14:textId="60993183" w:rsidR="006D5D0F" w:rsidRDefault="00140877" w:rsidP="00B723E1">
            <w:r>
              <w:t>Изискването не е приложимо към технологията.</w:t>
            </w:r>
          </w:p>
        </w:tc>
      </w:tr>
      <w:tr w:rsidR="006D5D0F" w14:paraId="6147220C" w14:textId="77777777" w:rsidTr="007A556F">
        <w:tc>
          <w:tcPr>
            <w:tcW w:w="797" w:type="dxa"/>
          </w:tcPr>
          <w:p w14:paraId="63C805BC" w14:textId="18146AE1" w:rsidR="006D5D0F" w:rsidRDefault="003376C5" w:rsidP="00B723E1">
            <w:r>
              <w:t>5.23.</w:t>
            </w:r>
          </w:p>
        </w:tc>
        <w:tc>
          <w:tcPr>
            <w:tcW w:w="5152" w:type="dxa"/>
          </w:tcPr>
          <w:p w14:paraId="0B90E108" w14:textId="02DBE191" w:rsidR="00A56163" w:rsidRPr="00FB24CD" w:rsidRDefault="00F46F4E">
            <w:r>
              <w:t xml:space="preserve">Регулаторният орган или друг съответен орган взема предвид ориентировъчните допустими нива на съдържание на радионуклиди в хранителни продукти, които се търгуват в международен план и които биха могли да съдържат радиоактивни вещества в резултат на ядрена или </w:t>
            </w:r>
            <w:r w:rsidR="0099234D">
              <w:t xml:space="preserve">радиационна </w:t>
            </w:r>
            <w:r>
              <w:t xml:space="preserve">авария, в съответствие със стандарта, публикуван от съвместната Комисия на Организацията по прехрана и земеделие на ООН/Световната здравна организация по Codex Alimentarius [26]. Регулаторният орган или друг съответен </w:t>
            </w:r>
            <w:r w:rsidR="0099234D">
              <w:t xml:space="preserve">компетентен </w:t>
            </w:r>
            <w:r>
              <w:t xml:space="preserve">орган взема предвид ориентировъчните допустими нива на съдържание на радионуклиди в питейната вода, които са </w:t>
            </w:r>
            <w:r>
              <w:lastRenderedPageBreak/>
              <w:t>публикувани от Световната здравна организация [27].</w:t>
            </w:r>
          </w:p>
        </w:tc>
        <w:tc>
          <w:tcPr>
            <w:tcW w:w="1559" w:type="dxa"/>
          </w:tcPr>
          <w:p w14:paraId="50159A51" w14:textId="256FD1A7" w:rsidR="006D5D0F" w:rsidRDefault="00030115" w:rsidP="00AD27DA">
            <w:pPr>
              <w:jc w:val="center"/>
            </w:pPr>
            <w:r>
              <w:lastRenderedPageBreak/>
              <w:t>NAP</w:t>
            </w:r>
          </w:p>
        </w:tc>
        <w:tc>
          <w:tcPr>
            <w:tcW w:w="5987" w:type="dxa"/>
          </w:tcPr>
          <w:p w14:paraId="67CDE7EB" w14:textId="0EBA3290" w:rsidR="006D5D0F" w:rsidRDefault="00030115" w:rsidP="00B723E1">
            <w:r>
              <w:t>Изискването не е приложимо към технологията.</w:t>
            </w:r>
          </w:p>
        </w:tc>
      </w:tr>
    </w:tbl>
    <w:p w14:paraId="71EE8B0C" w14:textId="4E1B12EE" w:rsidR="00AF4047" w:rsidRPr="001A6A3A" w:rsidRDefault="00AF4047" w:rsidP="00894DF1">
      <w:pPr>
        <w:spacing w:before="240" w:after="0"/>
      </w:pPr>
      <w:r>
        <w:tab/>
      </w:r>
      <w:r>
        <w:rPr>
          <w:b/>
          <w:sz w:val="24"/>
        </w:rPr>
        <w:t>ПРОФЕСИОНАЛНО ОБЛЪЧВАНЕ</w:t>
      </w:r>
    </w:p>
    <w:p w14:paraId="2F1899B9" w14:textId="675937B4" w:rsidR="006D5D0F" w:rsidRPr="00AF4047" w:rsidRDefault="00AF4047" w:rsidP="00894DF1">
      <w:pPr>
        <w:rPr>
          <w:b/>
          <w:bCs/>
        </w:rPr>
      </w:pPr>
      <w:r>
        <w:tab/>
      </w:r>
      <w:r>
        <w:rPr>
          <w:b/>
          <w:sz w:val="24"/>
        </w:rPr>
        <w:t>Обхват</w:t>
      </w:r>
    </w:p>
    <w:tbl>
      <w:tblPr>
        <w:tblStyle w:val="TableGrid"/>
        <w:tblW w:w="13495" w:type="dxa"/>
        <w:tblLayout w:type="fixed"/>
        <w:tblLook w:val="04A0" w:firstRow="1" w:lastRow="0" w:firstColumn="1" w:lastColumn="0" w:noHBand="0" w:noVBand="1"/>
      </w:tblPr>
      <w:tblGrid>
        <w:gridCol w:w="797"/>
        <w:gridCol w:w="5152"/>
        <w:gridCol w:w="1559"/>
        <w:gridCol w:w="5987"/>
      </w:tblGrid>
      <w:tr w:rsidR="006D5D0F" w14:paraId="58617B41" w14:textId="77777777" w:rsidTr="007A556F">
        <w:trPr>
          <w:tblHeader/>
        </w:trPr>
        <w:tc>
          <w:tcPr>
            <w:tcW w:w="797" w:type="dxa"/>
          </w:tcPr>
          <w:p w14:paraId="5DCE2B0B" w14:textId="77777777" w:rsidR="006D5D0F" w:rsidRDefault="006D5D0F" w:rsidP="00B723E1"/>
        </w:tc>
        <w:tc>
          <w:tcPr>
            <w:tcW w:w="5152" w:type="dxa"/>
          </w:tcPr>
          <w:p w14:paraId="495620DC" w14:textId="77777777" w:rsidR="006D5D0F" w:rsidRDefault="006D5D0F" w:rsidP="00B723E1">
            <w:r>
              <w:rPr>
                <w:b/>
              </w:rPr>
              <w:t>Описание</w:t>
            </w:r>
          </w:p>
        </w:tc>
        <w:tc>
          <w:tcPr>
            <w:tcW w:w="1559" w:type="dxa"/>
          </w:tcPr>
          <w:p w14:paraId="083765ED" w14:textId="77777777" w:rsidR="006D5D0F" w:rsidRDefault="006D5D0F" w:rsidP="00B723E1">
            <w:r>
              <w:rPr>
                <w:b/>
              </w:rPr>
              <w:t>Съответствие</w:t>
            </w:r>
          </w:p>
        </w:tc>
        <w:tc>
          <w:tcPr>
            <w:tcW w:w="5987" w:type="dxa"/>
          </w:tcPr>
          <w:p w14:paraId="504DEBF2" w14:textId="77777777" w:rsidR="006D5D0F" w:rsidRDefault="006D5D0F" w:rsidP="00B723E1">
            <w:r>
              <w:rPr>
                <w:b/>
              </w:rPr>
              <w:t>Обосновка</w:t>
            </w:r>
          </w:p>
        </w:tc>
      </w:tr>
      <w:tr w:rsidR="006D5D0F" w14:paraId="6B6AF58D" w14:textId="77777777" w:rsidTr="007A556F">
        <w:tc>
          <w:tcPr>
            <w:tcW w:w="797" w:type="dxa"/>
          </w:tcPr>
          <w:p w14:paraId="2EC24C5F" w14:textId="5AA69849" w:rsidR="006D5D0F" w:rsidRDefault="00E36229" w:rsidP="00B723E1">
            <w:r>
              <w:t>5.24.</w:t>
            </w:r>
          </w:p>
        </w:tc>
        <w:tc>
          <w:tcPr>
            <w:tcW w:w="5152" w:type="dxa"/>
          </w:tcPr>
          <w:p w14:paraId="6EF8B798" w14:textId="4FD3A620" w:rsidR="00DF4BF3" w:rsidRPr="00815E9C" w:rsidRDefault="00E36229" w:rsidP="009D5A44">
            <w:r>
              <w:t>Изискванията по отношение на професионалното облъчване при ситуации на съществуващо облъчване (т. 5.25-5.33) се прилагат за всякакво професионално облъчване, произтичащо от ситуациите, посочени в т. 5.1.</w:t>
            </w:r>
          </w:p>
        </w:tc>
        <w:tc>
          <w:tcPr>
            <w:tcW w:w="1559" w:type="dxa"/>
          </w:tcPr>
          <w:p w14:paraId="56A82F50" w14:textId="7C631E1C" w:rsidR="006D5D0F" w:rsidRDefault="000B49B9" w:rsidP="00AD27DA">
            <w:pPr>
              <w:jc w:val="center"/>
            </w:pPr>
            <w:r>
              <w:t>NR</w:t>
            </w:r>
          </w:p>
        </w:tc>
        <w:tc>
          <w:tcPr>
            <w:tcW w:w="5987" w:type="dxa"/>
          </w:tcPr>
          <w:p w14:paraId="0D2BFBE3" w14:textId="11036EAE" w:rsidR="006D5D0F" w:rsidRDefault="00E452EB" w:rsidP="00B723E1">
            <w:r>
              <w:t>Това е пояснение, а не изискване.</w:t>
            </w:r>
          </w:p>
        </w:tc>
      </w:tr>
    </w:tbl>
    <w:p w14:paraId="5373761E" w14:textId="0DECE321" w:rsidR="006D5D0F" w:rsidRPr="00E36229" w:rsidRDefault="00E36229" w:rsidP="00AF4047">
      <w:pPr>
        <w:pStyle w:val="Heading3"/>
        <w:spacing w:before="240"/>
        <w:rPr>
          <w:caps/>
        </w:rPr>
      </w:pPr>
      <w:bookmarkStart w:id="88" w:name="_Toc155347831"/>
      <w:r>
        <w:t>Изискване 52: Облъчване на работните места</w:t>
      </w:r>
      <w:bookmarkEnd w:id="88"/>
    </w:p>
    <w:tbl>
      <w:tblPr>
        <w:tblStyle w:val="TableGrid"/>
        <w:tblW w:w="13495" w:type="dxa"/>
        <w:tblLayout w:type="fixed"/>
        <w:tblLook w:val="04A0" w:firstRow="1" w:lastRow="0" w:firstColumn="1" w:lastColumn="0" w:noHBand="0" w:noVBand="1"/>
      </w:tblPr>
      <w:tblGrid>
        <w:gridCol w:w="797"/>
        <w:gridCol w:w="5152"/>
        <w:gridCol w:w="1559"/>
        <w:gridCol w:w="5987"/>
      </w:tblGrid>
      <w:tr w:rsidR="006D5D0F" w14:paraId="5E38C5F0" w14:textId="77777777" w:rsidTr="007A556F">
        <w:trPr>
          <w:tblHeader/>
        </w:trPr>
        <w:tc>
          <w:tcPr>
            <w:tcW w:w="797" w:type="dxa"/>
          </w:tcPr>
          <w:p w14:paraId="0F874A39" w14:textId="77777777" w:rsidR="006D5D0F" w:rsidRDefault="006D5D0F" w:rsidP="00B723E1"/>
        </w:tc>
        <w:tc>
          <w:tcPr>
            <w:tcW w:w="5152" w:type="dxa"/>
          </w:tcPr>
          <w:p w14:paraId="543720B5" w14:textId="77777777" w:rsidR="006D5D0F" w:rsidRDefault="006D5D0F" w:rsidP="00B723E1">
            <w:r>
              <w:rPr>
                <w:b/>
              </w:rPr>
              <w:t>Описание</w:t>
            </w:r>
          </w:p>
        </w:tc>
        <w:tc>
          <w:tcPr>
            <w:tcW w:w="1559" w:type="dxa"/>
          </w:tcPr>
          <w:p w14:paraId="61EE9BD7" w14:textId="77777777" w:rsidR="006D5D0F" w:rsidRDefault="006D5D0F" w:rsidP="00B723E1">
            <w:r>
              <w:rPr>
                <w:b/>
              </w:rPr>
              <w:t>Съответствие</w:t>
            </w:r>
          </w:p>
        </w:tc>
        <w:tc>
          <w:tcPr>
            <w:tcW w:w="5987" w:type="dxa"/>
          </w:tcPr>
          <w:p w14:paraId="19DD6A03" w14:textId="77777777" w:rsidR="006D5D0F" w:rsidRDefault="006D5D0F" w:rsidP="00B723E1">
            <w:r>
              <w:rPr>
                <w:b/>
              </w:rPr>
              <w:t>Обосновка</w:t>
            </w:r>
          </w:p>
        </w:tc>
      </w:tr>
      <w:tr w:rsidR="00E8263F" w14:paraId="73BEF291" w14:textId="77777777" w:rsidTr="007A556F">
        <w:tc>
          <w:tcPr>
            <w:tcW w:w="797" w:type="dxa"/>
          </w:tcPr>
          <w:p w14:paraId="430E61A7" w14:textId="77777777" w:rsidR="00E8263F" w:rsidRDefault="00E8263F" w:rsidP="00E8263F"/>
        </w:tc>
        <w:tc>
          <w:tcPr>
            <w:tcW w:w="5152" w:type="dxa"/>
          </w:tcPr>
          <w:p w14:paraId="19C518DD" w14:textId="0D3C73F8" w:rsidR="00E8263F" w:rsidRPr="009D5A44" w:rsidRDefault="00E8263F" w:rsidP="00E8263F">
            <w:pPr>
              <w:rPr>
                <w:b/>
                <w:bCs/>
              </w:rPr>
            </w:pPr>
            <w:r>
              <w:rPr>
                <w:b/>
              </w:rPr>
              <w:t>Регулаторният орган установява изисквания за защита на работниците в ситуации на съществуващо облъчване и осигурява спазването на тези изисквания.</w:t>
            </w:r>
          </w:p>
        </w:tc>
        <w:tc>
          <w:tcPr>
            <w:tcW w:w="1559" w:type="dxa"/>
          </w:tcPr>
          <w:p w14:paraId="39579DEB" w14:textId="04E239FA" w:rsidR="00E8263F" w:rsidRDefault="005F5208" w:rsidP="00E8263F">
            <w:pPr>
              <w:jc w:val="center"/>
            </w:pPr>
            <w:r>
              <w:t>EP</w:t>
            </w:r>
          </w:p>
        </w:tc>
        <w:tc>
          <w:tcPr>
            <w:tcW w:w="5987" w:type="dxa"/>
          </w:tcPr>
          <w:p w14:paraId="71520CB8" w14:textId="438F1C99" w:rsidR="00E8263F" w:rsidRDefault="00DE5355" w:rsidP="00E8263F">
            <w:r>
              <w:t>Това е отговорност на Регулаторния орган.</w:t>
            </w:r>
          </w:p>
        </w:tc>
      </w:tr>
      <w:tr w:rsidR="00E8263F" w14:paraId="0C6EDB8E" w14:textId="77777777" w:rsidTr="007A556F">
        <w:tc>
          <w:tcPr>
            <w:tcW w:w="797" w:type="dxa"/>
          </w:tcPr>
          <w:p w14:paraId="7F6C8B19" w14:textId="2149D299" w:rsidR="00E8263F" w:rsidRDefault="00E8263F" w:rsidP="00E8263F">
            <w:r>
              <w:t>5.25.</w:t>
            </w:r>
          </w:p>
        </w:tc>
        <w:tc>
          <w:tcPr>
            <w:tcW w:w="5152" w:type="dxa"/>
          </w:tcPr>
          <w:p w14:paraId="10EC3FE0" w14:textId="77777777" w:rsidR="00126FC4" w:rsidRDefault="00E8263F" w:rsidP="00E8263F">
            <w:r>
              <w:t>Изискванията по отношение на облъчването на населението, посочени в т. 5.7-5.9, се прилагат за защита и безопасност на работниците в ситуации на съществуващо облъчване, различни от специфичните ситуации, посочени в т. 5.26-5.33.</w:t>
            </w:r>
          </w:p>
          <w:p w14:paraId="022149FA" w14:textId="4C687A48" w:rsidR="0093398C" w:rsidRDefault="0093398C" w:rsidP="00E8263F"/>
        </w:tc>
        <w:tc>
          <w:tcPr>
            <w:tcW w:w="1559" w:type="dxa"/>
          </w:tcPr>
          <w:p w14:paraId="521FB417" w14:textId="53FA4417" w:rsidR="00E8263F" w:rsidRDefault="00DE5355" w:rsidP="00E8263F">
            <w:pPr>
              <w:jc w:val="center"/>
            </w:pPr>
            <w:r>
              <w:lastRenderedPageBreak/>
              <w:t>OR</w:t>
            </w:r>
          </w:p>
        </w:tc>
        <w:tc>
          <w:tcPr>
            <w:tcW w:w="5987" w:type="dxa"/>
          </w:tcPr>
          <w:p w14:paraId="254CC002" w14:textId="65E74AF6" w:rsidR="00E8263F" w:rsidRDefault="00DE5355" w:rsidP="00E8263F">
            <w:r>
              <w:t>Това е отговорност на Собственика/Лицензианта.</w:t>
            </w:r>
          </w:p>
        </w:tc>
      </w:tr>
      <w:tr w:rsidR="00E8263F" w14:paraId="462F9100" w14:textId="77777777" w:rsidTr="00154F2C">
        <w:tc>
          <w:tcPr>
            <w:tcW w:w="13495" w:type="dxa"/>
            <w:gridSpan w:val="4"/>
          </w:tcPr>
          <w:p w14:paraId="49E736D6" w14:textId="6E575059" w:rsidR="00E8263F" w:rsidRPr="004D3B2F" w:rsidRDefault="00E8263F" w:rsidP="00E8263F">
            <w:pPr>
              <w:rPr>
                <w:b/>
                <w:bCs/>
              </w:rPr>
            </w:pPr>
            <w:r>
              <w:rPr>
                <w:b/>
              </w:rPr>
              <w:t>Възстановителни мероприятия в територии с остатъчен радиоактивен материал</w:t>
            </w:r>
          </w:p>
        </w:tc>
      </w:tr>
      <w:tr w:rsidR="00E8263F" w14:paraId="18399FB0" w14:textId="77777777" w:rsidTr="007A556F">
        <w:tc>
          <w:tcPr>
            <w:tcW w:w="797" w:type="dxa"/>
          </w:tcPr>
          <w:p w14:paraId="29DA7E00" w14:textId="239A3273" w:rsidR="00E8263F" w:rsidRDefault="00E8263F" w:rsidP="00E8263F">
            <w:r>
              <w:t>5.26.</w:t>
            </w:r>
          </w:p>
        </w:tc>
        <w:tc>
          <w:tcPr>
            <w:tcW w:w="5152" w:type="dxa"/>
          </w:tcPr>
          <w:p w14:paraId="3E20870A" w14:textId="629DAA27" w:rsidR="00E8263F" w:rsidRDefault="00E8263F" w:rsidP="00E8263F">
            <w:r>
              <w:t>Работодателите гарантират, че облъчването на работниците, извършващи възстановителни дейности, се контролира в съгласно съответните изисквания за професионално облъчване в ситуации на планирано облъчване, изложени в Раздел 3.</w:t>
            </w:r>
          </w:p>
        </w:tc>
        <w:tc>
          <w:tcPr>
            <w:tcW w:w="1559" w:type="dxa"/>
          </w:tcPr>
          <w:p w14:paraId="00E95797" w14:textId="56398A05" w:rsidR="00E8263F" w:rsidRPr="00E8263F" w:rsidRDefault="00DE5355" w:rsidP="00E8263F">
            <w:pPr>
              <w:tabs>
                <w:tab w:val="clear" w:pos="1296"/>
                <w:tab w:val="clear" w:pos="1872"/>
                <w:tab w:val="clear" w:pos="2448"/>
              </w:tabs>
              <w:jc w:val="center"/>
            </w:pPr>
            <w:r>
              <w:t>OR</w:t>
            </w:r>
          </w:p>
        </w:tc>
        <w:tc>
          <w:tcPr>
            <w:tcW w:w="5987" w:type="dxa"/>
          </w:tcPr>
          <w:p w14:paraId="12D1DDE0" w14:textId="56371B7D" w:rsidR="00E8263F" w:rsidRDefault="00DE5355" w:rsidP="00E8263F">
            <w:r>
              <w:t>Това е отговорност на Собственика/Лицензианта.</w:t>
            </w:r>
          </w:p>
        </w:tc>
      </w:tr>
      <w:tr w:rsidR="00E8263F" w14:paraId="40EC3568" w14:textId="77777777" w:rsidTr="00154F2C">
        <w:tc>
          <w:tcPr>
            <w:tcW w:w="13495" w:type="dxa"/>
            <w:gridSpan w:val="4"/>
          </w:tcPr>
          <w:p w14:paraId="0B727481" w14:textId="0407E179" w:rsidR="00E8263F" w:rsidRPr="004D3B2F" w:rsidRDefault="00E8263F" w:rsidP="00E8263F">
            <w:pPr>
              <w:rPr>
                <w:b/>
                <w:bCs/>
              </w:rPr>
            </w:pPr>
            <w:r>
              <w:rPr>
                <w:b/>
              </w:rPr>
              <w:t>Облъчване, обусловено от присъствието на радон на работните места</w:t>
            </w:r>
          </w:p>
        </w:tc>
      </w:tr>
      <w:tr w:rsidR="00E8263F" w14:paraId="5B08853A" w14:textId="77777777" w:rsidTr="007A556F">
        <w:tc>
          <w:tcPr>
            <w:tcW w:w="797" w:type="dxa"/>
          </w:tcPr>
          <w:p w14:paraId="40C9A7A1" w14:textId="030EFA63" w:rsidR="00E8263F" w:rsidRDefault="00E8263F" w:rsidP="00E8263F">
            <w:r>
              <w:t>5.27.</w:t>
            </w:r>
          </w:p>
        </w:tc>
        <w:tc>
          <w:tcPr>
            <w:tcW w:w="5152" w:type="dxa"/>
          </w:tcPr>
          <w:p w14:paraId="1330A4F5" w14:textId="00D5BBC1" w:rsidR="00E8263F" w:rsidRDefault="00E8263F" w:rsidP="00E8263F">
            <w:r>
              <w:t xml:space="preserve">Регулаторният орган или друг съответен орган установява стратегия за защита от облъчване, обусловено от присъствието на </w:t>
            </w:r>
            <w:r>
              <w:rPr>
                <w:vertAlign w:val="superscript"/>
              </w:rPr>
              <w:t>222</w:t>
            </w:r>
            <w:r>
              <w:t xml:space="preserve">Rn на работните места, включително установяване на подходящо референтно ниво за </w:t>
            </w:r>
            <w:r>
              <w:rPr>
                <w:vertAlign w:val="superscript"/>
              </w:rPr>
              <w:t>222</w:t>
            </w:r>
            <w:r>
              <w:t xml:space="preserve">Rn. Референтното ниво за </w:t>
            </w:r>
            <w:r>
              <w:rPr>
                <w:vertAlign w:val="superscript"/>
              </w:rPr>
              <w:t>222</w:t>
            </w:r>
            <w:r>
              <w:t xml:space="preserve">Rn се определя на стойност, която не превишава средногодишна концентрация на </w:t>
            </w:r>
            <w:r>
              <w:rPr>
                <w:vertAlign w:val="superscript"/>
              </w:rPr>
              <w:t>222</w:t>
            </w:r>
            <w:r>
              <w:t>Rn от 1000 Bq/m</w:t>
            </w:r>
            <w:r>
              <w:rPr>
                <w:vertAlign w:val="superscript"/>
              </w:rPr>
              <w:t>3</w:t>
            </w:r>
            <w:r>
              <w:t>, като се вземат предвид преобладаващите социални и икономически обстоятелства</w:t>
            </w:r>
            <w:r>
              <w:rPr>
                <w:vertAlign w:val="superscript"/>
              </w:rPr>
              <w:t>57</w:t>
            </w:r>
            <w:r>
              <w:t>.</w:t>
            </w:r>
          </w:p>
        </w:tc>
        <w:tc>
          <w:tcPr>
            <w:tcW w:w="1559" w:type="dxa"/>
          </w:tcPr>
          <w:p w14:paraId="4C34F9D5" w14:textId="5ABD7603" w:rsidR="00E8263F" w:rsidRDefault="003215EE" w:rsidP="00E8263F">
            <w:pPr>
              <w:jc w:val="center"/>
            </w:pPr>
            <w:r>
              <w:t>NAP</w:t>
            </w:r>
          </w:p>
        </w:tc>
        <w:tc>
          <w:tcPr>
            <w:tcW w:w="5987" w:type="dxa"/>
          </w:tcPr>
          <w:p w14:paraId="27614E60" w14:textId="091448EE" w:rsidR="00E8263F" w:rsidRDefault="00140877" w:rsidP="00E8263F">
            <w:r>
              <w:t>Изискването не е приложимо към технологията.</w:t>
            </w:r>
          </w:p>
        </w:tc>
      </w:tr>
      <w:tr w:rsidR="00B10155" w14:paraId="5B84EFD9" w14:textId="77777777" w:rsidTr="007A556F">
        <w:tc>
          <w:tcPr>
            <w:tcW w:w="797" w:type="dxa"/>
          </w:tcPr>
          <w:p w14:paraId="582E4E7A" w14:textId="09764ADD" w:rsidR="00B10155" w:rsidRDefault="00B10155" w:rsidP="00B10155">
            <w:r>
              <w:t>5.28.</w:t>
            </w:r>
          </w:p>
        </w:tc>
        <w:tc>
          <w:tcPr>
            <w:tcW w:w="5152" w:type="dxa"/>
          </w:tcPr>
          <w:p w14:paraId="03857970" w14:textId="40D5B334" w:rsidR="00B10155" w:rsidRDefault="00B10155" w:rsidP="00B10155">
            <w:r>
              <w:t xml:space="preserve">Работодателите осигуряват задържане на концентрациите на активност на </w:t>
            </w:r>
            <w:r>
              <w:rPr>
                <w:vertAlign w:val="superscript"/>
              </w:rPr>
              <w:t>222</w:t>
            </w:r>
            <w:r>
              <w:t>Rn на работните места “толкова ниски, колкото е разумно постижимо” под референтното ниво, установено в съответствие с т. 5.27, и осигуряват оптимизация на защитата.</w:t>
            </w:r>
          </w:p>
        </w:tc>
        <w:tc>
          <w:tcPr>
            <w:tcW w:w="1559" w:type="dxa"/>
          </w:tcPr>
          <w:p w14:paraId="32906C5E" w14:textId="6A1FBAF2" w:rsidR="00B10155" w:rsidRDefault="003215EE" w:rsidP="00B10155">
            <w:pPr>
              <w:jc w:val="center"/>
            </w:pPr>
            <w:r>
              <w:t>NAP</w:t>
            </w:r>
          </w:p>
        </w:tc>
        <w:tc>
          <w:tcPr>
            <w:tcW w:w="5987" w:type="dxa"/>
          </w:tcPr>
          <w:p w14:paraId="699A3234" w14:textId="3B03698B" w:rsidR="00B10155" w:rsidRPr="00140877" w:rsidRDefault="00140877" w:rsidP="00B10155">
            <w:pPr>
              <w:rPr>
                <w:rFonts w:eastAsiaTheme="minorHAnsi" w:cstheme="minorBidi"/>
              </w:rPr>
            </w:pPr>
            <w:r>
              <w:t>Изискването не е приложимо към технологията.</w:t>
            </w:r>
          </w:p>
        </w:tc>
      </w:tr>
      <w:tr w:rsidR="00B10155" w14:paraId="338417DC" w14:textId="77777777" w:rsidTr="007A556F">
        <w:tc>
          <w:tcPr>
            <w:tcW w:w="797" w:type="dxa"/>
          </w:tcPr>
          <w:p w14:paraId="1DCA30C6" w14:textId="2C2D8926" w:rsidR="00B10155" w:rsidRDefault="00B10155" w:rsidP="00B10155">
            <w:r>
              <w:lastRenderedPageBreak/>
              <w:t>5.29.</w:t>
            </w:r>
          </w:p>
        </w:tc>
        <w:tc>
          <w:tcPr>
            <w:tcW w:w="5152" w:type="dxa"/>
          </w:tcPr>
          <w:p w14:paraId="70BDECC6" w14:textId="688E9BD2" w:rsidR="00B10155" w:rsidRDefault="00B10155" w:rsidP="00B10155">
            <w:r>
              <w:t xml:space="preserve">Ако въпреки всички разумни усилия на работодателя за намаляване на концентрацията на активност на радон, концентрацията на активност на </w:t>
            </w:r>
            <w:r>
              <w:rPr>
                <w:vertAlign w:val="superscript"/>
              </w:rPr>
              <w:t>222</w:t>
            </w:r>
            <w:r>
              <w:t>Rn на работните места остане над референтното ниво, установено в съответствие с т. 5.27, то се прилагат съответните изисквания за професионално облъчване в ситуации на планирано облъчване, изложени в Раздел 3.</w:t>
            </w:r>
          </w:p>
        </w:tc>
        <w:tc>
          <w:tcPr>
            <w:tcW w:w="1559" w:type="dxa"/>
          </w:tcPr>
          <w:p w14:paraId="413167C2" w14:textId="2647D3B3" w:rsidR="00B10155" w:rsidRDefault="003215EE" w:rsidP="00B10155">
            <w:pPr>
              <w:jc w:val="center"/>
            </w:pPr>
            <w:r>
              <w:t>NAP</w:t>
            </w:r>
          </w:p>
        </w:tc>
        <w:tc>
          <w:tcPr>
            <w:tcW w:w="5987" w:type="dxa"/>
          </w:tcPr>
          <w:p w14:paraId="1F6652D2" w14:textId="25E0ECFD" w:rsidR="00B10155" w:rsidRDefault="00140877" w:rsidP="00B10155">
            <w:r>
              <w:t>Изискването не е приложимо към технологията.</w:t>
            </w:r>
          </w:p>
        </w:tc>
      </w:tr>
      <w:tr w:rsidR="00B10155" w14:paraId="718E21D6" w14:textId="77777777" w:rsidTr="00154F2C">
        <w:tc>
          <w:tcPr>
            <w:tcW w:w="13495" w:type="dxa"/>
            <w:gridSpan w:val="4"/>
          </w:tcPr>
          <w:p w14:paraId="25A622B4" w14:textId="48692D8D" w:rsidR="00B10155" w:rsidRPr="004D3B2F" w:rsidRDefault="00B10155">
            <w:pPr>
              <w:rPr>
                <w:b/>
                <w:bCs/>
              </w:rPr>
            </w:pPr>
            <w:r>
              <w:rPr>
                <w:b/>
              </w:rPr>
              <w:t xml:space="preserve">Облъчване на екипажи на въздухоплавателни средства и космически </w:t>
            </w:r>
            <w:r w:rsidR="00CD1D5C">
              <w:rPr>
                <w:b/>
              </w:rPr>
              <w:t xml:space="preserve">апарати </w:t>
            </w:r>
            <w:r>
              <w:rPr>
                <w:b/>
              </w:rPr>
              <w:t>вследствие на въздействието на космическа радиация</w:t>
            </w:r>
          </w:p>
        </w:tc>
      </w:tr>
      <w:tr w:rsidR="00E452EB" w14:paraId="52E12439" w14:textId="77777777" w:rsidTr="007A556F">
        <w:tc>
          <w:tcPr>
            <w:tcW w:w="797" w:type="dxa"/>
          </w:tcPr>
          <w:p w14:paraId="18747925" w14:textId="5FD6C001" w:rsidR="00E452EB" w:rsidRDefault="00E452EB" w:rsidP="00E452EB">
            <w:r>
              <w:t>5.30.</w:t>
            </w:r>
          </w:p>
        </w:tc>
        <w:tc>
          <w:tcPr>
            <w:tcW w:w="5152" w:type="dxa"/>
          </w:tcPr>
          <w:p w14:paraId="47584A78" w14:textId="0B014024" w:rsidR="00E452EB" w:rsidRDefault="00E452EB" w:rsidP="00E452EB">
            <w:r>
              <w:t xml:space="preserve">Регулаторният орган или друг съответен </w:t>
            </w:r>
            <w:r w:rsidR="00765837">
              <w:t xml:space="preserve">компетентен </w:t>
            </w:r>
            <w:r>
              <w:t>орган определя целесъобразността за извършване на оценка на облъчването на екипажи на въздухоплавателни средства вследствие на въздействието на космическа радиация.</w:t>
            </w:r>
          </w:p>
        </w:tc>
        <w:tc>
          <w:tcPr>
            <w:tcW w:w="1559" w:type="dxa"/>
          </w:tcPr>
          <w:p w14:paraId="212DC91E" w14:textId="6DADD739" w:rsidR="00E452EB" w:rsidRDefault="00E452EB" w:rsidP="00E452EB">
            <w:pPr>
              <w:jc w:val="center"/>
            </w:pPr>
            <w:r>
              <w:t>NAP</w:t>
            </w:r>
          </w:p>
        </w:tc>
        <w:tc>
          <w:tcPr>
            <w:tcW w:w="5987" w:type="dxa"/>
          </w:tcPr>
          <w:p w14:paraId="74895079" w14:textId="4126987B" w:rsidR="00E452EB" w:rsidRDefault="00E452EB" w:rsidP="00E452EB">
            <w:r>
              <w:t>Изискването не е приложимо към технологията.</w:t>
            </w:r>
          </w:p>
        </w:tc>
      </w:tr>
      <w:tr w:rsidR="00E452EB" w14:paraId="78DBE2BC" w14:textId="77777777" w:rsidTr="007A556F">
        <w:tc>
          <w:tcPr>
            <w:tcW w:w="797" w:type="dxa"/>
          </w:tcPr>
          <w:p w14:paraId="50F1ECB4" w14:textId="096D9393" w:rsidR="00E452EB" w:rsidRDefault="00E452EB" w:rsidP="00E452EB">
            <w:r>
              <w:t>5.31.</w:t>
            </w:r>
          </w:p>
        </w:tc>
        <w:tc>
          <w:tcPr>
            <w:tcW w:w="5152" w:type="dxa"/>
          </w:tcPr>
          <w:p w14:paraId="6C12906D" w14:textId="4A064F1D" w:rsidR="00E452EB" w:rsidRDefault="00E452EB" w:rsidP="00F436DF">
            <w:r>
              <w:t xml:space="preserve">Когато се смята, че такава оценка е целесъобразна, регулаторният орган или друг съответен </w:t>
            </w:r>
            <w:r w:rsidR="00765837">
              <w:t xml:space="preserve">компетентен </w:t>
            </w:r>
            <w:r>
              <w:t>орган установява рамка, която включва референтно ниво на дозата и методология за оценка и регистриране на дозите, получени от екипажа на въздухоплавателното средство в резултат на професионално облъчване с космическа радиация.</w:t>
            </w:r>
          </w:p>
        </w:tc>
        <w:tc>
          <w:tcPr>
            <w:tcW w:w="1559" w:type="dxa"/>
          </w:tcPr>
          <w:p w14:paraId="1F3B9A0A" w14:textId="4A30E355" w:rsidR="00E452EB" w:rsidRDefault="00E452EB" w:rsidP="00E452EB">
            <w:pPr>
              <w:jc w:val="center"/>
            </w:pPr>
            <w:r>
              <w:t>NAP</w:t>
            </w:r>
          </w:p>
        </w:tc>
        <w:tc>
          <w:tcPr>
            <w:tcW w:w="5987" w:type="dxa"/>
          </w:tcPr>
          <w:p w14:paraId="4C912F99" w14:textId="508E180F" w:rsidR="00E452EB" w:rsidRDefault="00E452EB" w:rsidP="00E452EB">
            <w:r>
              <w:t>Изискването не е приложимо към технологията.</w:t>
            </w:r>
          </w:p>
        </w:tc>
      </w:tr>
      <w:tr w:rsidR="00E452EB" w14:paraId="0E8E8639" w14:textId="77777777" w:rsidTr="007A556F">
        <w:tc>
          <w:tcPr>
            <w:tcW w:w="797" w:type="dxa"/>
          </w:tcPr>
          <w:p w14:paraId="070D4642" w14:textId="36B2D3A5" w:rsidR="00E452EB" w:rsidRDefault="00E452EB" w:rsidP="00E452EB">
            <w:r>
              <w:t>5.32.</w:t>
            </w:r>
          </w:p>
        </w:tc>
        <w:tc>
          <w:tcPr>
            <w:tcW w:w="5152" w:type="dxa"/>
          </w:tcPr>
          <w:p w14:paraId="50C29283" w14:textId="77777777" w:rsidR="004A322B" w:rsidRDefault="00E452EB" w:rsidP="004A322B">
            <w:pPr>
              <w:spacing w:after="0"/>
            </w:pPr>
            <w:r>
              <w:t xml:space="preserve">В съответствие с т. 5.31: </w:t>
            </w:r>
            <w:r>
              <w:br/>
              <w:t>(а) когато има вероятност дозите на облъчване на екипажа на въздухоплавателното средство да превишат референтното ниво, работодателите на екипажа на въздухоплавателното средство:</w:t>
            </w:r>
          </w:p>
          <w:p w14:paraId="459F4933" w14:textId="77777777" w:rsidR="004A322B" w:rsidRDefault="00E452EB" w:rsidP="004A322B">
            <w:pPr>
              <w:spacing w:after="0"/>
              <w:ind w:left="616"/>
            </w:pPr>
            <w:r>
              <w:lastRenderedPageBreak/>
              <w:t xml:space="preserve">(i) оценяват и съхраняват записи за дозите; </w:t>
            </w:r>
            <w:r>
              <w:br/>
              <w:t>(ii) предоставят на екипажа на въздухоплавателното средство записите за дозите;</w:t>
            </w:r>
          </w:p>
          <w:p w14:paraId="581DD9A2" w14:textId="77777777" w:rsidR="004A322B" w:rsidRDefault="00E452EB" w:rsidP="004A322B">
            <w:pPr>
              <w:spacing w:after="0"/>
            </w:pPr>
            <w:r>
              <w:t>(б) работодателите:</w:t>
            </w:r>
          </w:p>
          <w:p w14:paraId="234CF964" w14:textId="581927EF" w:rsidR="00E452EB" w:rsidRDefault="00E452EB" w:rsidP="00F436DF">
            <w:pPr>
              <w:ind w:left="618"/>
            </w:pPr>
            <w:r>
              <w:t xml:space="preserve">(i) информират жените-членове на екипажи на въздухоплавателни средства за риска за зародиша или плода, свързан с въздействието на космическа радиация, и за необходимостта от ранно уведомление за наличието на бременност; </w:t>
            </w:r>
            <w:r>
              <w:br/>
              <w:t>(ii) прилагат изискванията на т. 3.114 по отношение на уведомлението за бременност.</w:t>
            </w:r>
          </w:p>
        </w:tc>
        <w:tc>
          <w:tcPr>
            <w:tcW w:w="1559" w:type="dxa"/>
          </w:tcPr>
          <w:p w14:paraId="5B0839A2" w14:textId="1CEA0421" w:rsidR="00E452EB" w:rsidRDefault="00E452EB" w:rsidP="00E452EB">
            <w:pPr>
              <w:jc w:val="center"/>
            </w:pPr>
            <w:r>
              <w:lastRenderedPageBreak/>
              <w:t>NAP</w:t>
            </w:r>
          </w:p>
        </w:tc>
        <w:tc>
          <w:tcPr>
            <w:tcW w:w="5987" w:type="dxa"/>
          </w:tcPr>
          <w:p w14:paraId="6597E08E" w14:textId="58AD320A" w:rsidR="00E452EB" w:rsidRDefault="00E452EB" w:rsidP="00E452EB">
            <w:r>
              <w:t>Изискването не е приложимо към технологията.</w:t>
            </w:r>
          </w:p>
        </w:tc>
      </w:tr>
      <w:tr w:rsidR="00E452EB" w14:paraId="43EE5D66" w14:textId="77777777" w:rsidTr="007A556F">
        <w:tc>
          <w:tcPr>
            <w:tcW w:w="797" w:type="dxa"/>
          </w:tcPr>
          <w:p w14:paraId="3CFC8CED" w14:textId="076CAF15" w:rsidR="00E452EB" w:rsidRDefault="00E452EB" w:rsidP="00E452EB">
            <w:r>
              <w:t>5.33.</w:t>
            </w:r>
          </w:p>
        </w:tc>
        <w:tc>
          <w:tcPr>
            <w:tcW w:w="5152" w:type="dxa"/>
          </w:tcPr>
          <w:p w14:paraId="3FB745C7" w14:textId="060544B5" w:rsidR="00F954EF" w:rsidRDefault="00E452EB" w:rsidP="00F436DF">
            <w:r>
              <w:t>Регулаторният орган или друг съответен</w:t>
            </w:r>
            <w:r w:rsidR="00765837">
              <w:t xml:space="preserve"> компетентен</w:t>
            </w:r>
            <w:r>
              <w:t xml:space="preserve"> орган установява, когато е целесъобразно, рамка за радиационна защита, която се прилага за лица, извършващи дейности в космоса, с отчитане на изключителните условия, съществуващи в космоса. Въпреки че изискванията на настоящите стандарти по отношение на </w:t>
            </w:r>
            <w:r w:rsidR="00454D2B" w:rsidRPr="00454D2B">
              <w:t>дозови</w:t>
            </w:r>
            <w:r w:rsidR="00454D2B">
              <w:t>те</w:t>
            </w:r>
            <w:r w:rsidR="00454D2B" w:rsidRPr="00454D2B">
              <w:t xml:space="preserve"> ограничения</w:t>
            </w:r>
            <w:r>
              <w:t xml:space="preserve"> не се прилагат за лицата, извършващи дейности в космоса, в такива случаи се полагат всички разумни усилия за оптимизация на защитата на лицата, извършващи дейности в космоса, чрез ограничаване на дозите, получавани от тези лица, като същевременно не се ограничава прекомерно обхватът на тези дейности.</w:t>
            </w:r>
          </w:p>
        </w:tc>
        <w:tc>
          <w:tcPr>
            <w:tcW w:w="1559" w:type="dxa"/>
          </w:tcPr>
          <w:p w14:paraId="74FCA96C" w14:textId="01948BF3" w:rsidR="00E452EB" w:rsidRDefault="00E452EB" w:rsidP="00E452EB">
            <w:pPr>
              <w:jc w:val="center"/>
            </w:pPr>
            <w:r>
              <w:t>NAP</w:t>
            </w:r>
          </w:p>
        </w:tc>
        <w:tc>
          <w:tcPr>
            <w:tcW w:w="5987" w:type="dxa"/>
          </w:tcPr>
          <w:p w14:paraId="1BFC950A" w14:textId="3AC99DF4" w:rsidR="00E452EB" w:rsidRDefault="00E452EB" w:rsidP="00E452EB">
            <w:r>
              <w:t>Изискването не е приложимо към технологията.</w:t>
            </w:r>
          </w:p>
        </w:tc>
      </w:tr>
    </w:tbl>
    <w:p w14:paraId="7178534E" w14:textId="2CDC5514" w:rsidR="00562E38" w:rsidRDefault="00562E38" w:rsidP="00973942">
      <w:pPr>
        <w:pStyle w:val="Heading1"/>
        <w:numPr>
          <w:ilvl w:val="0"/>
          <w:numId w:val="0"/>
        </w:numPr>
        <w:sectPr w:rsidR="00562E38" w:rsidSect="004622C6">
          <w:headerReference w:type="default" r:id="rId24"/>
          <w:endnotePr>
            <w:numFmt w:val="decimal"/>
          </w:endnotePr>
          <w:pgSz w:w="15840" w:h="12240" w:orient="landscape" w:code="1"/>
          <w:pgMar w:top="1440" w:right="1440" w:bottom="1440" w:left="1440" w:header="720" w:footer="720" w:gutter="0"/>
          <w:pgNumType w:chapStyle="1"/>
          <w:cols w:space="720"/>
          <w:noEndnote/>
          <w:docGrid w:linePitch="299"/>
        </w:sectPr>
      </w:pPr>
    </w:p>
    <w:p w14:paraId="2F2B1DC9" w14:textId="5C5C79B0" w:rsidR="00973942" w:rsidRDefault="00230145" w:rsidP="00D81D69">
      <w:pPr>
        <w:pStyle w:val="Heading1"/>
      </w:pPr>
      <w:bookmarkStart w:id="89" w:name="_Toc155347832"/>
      <w:r>
        <w:lastRenderedPageBreak/>
        <w:t>Референтни документи</w:t>
      </w:r>
      <w:bookmarkEnd w:id="89"/>
    </w:p>
    <w:p w14:paraId="7F7B8327" w14:textId="4E926174" w:rsidR="007A081C" w:rsidRPr="00D81D69" w:rsidRDefault="007A081C" w:rsidP="00E767BE">
      <w:pPr>
        <w:pStyle w:val="ListParagraph"/>
        <w:numPr>
          <w:ilvl w:val="0"/>
          <w:numId w:val="36"/>
        </w:numPr>
        <w:tabs>
          <w:tab w:val="clear" w:pos="720"/>
          <w:tab w:val="left" w:pos="1134"/>
        </w:tabs>
        <w:ind w:left="851" w:hanging="491"/>
      </w:pPr>
      <w:r>
        <w:t xml:space="preserve">Общи изисквания за безопасност Част 3 № GSR Част 3, </w:t>
      </w:r>
      <w:r>
        <w:rPr>
          <w:i/>
        </w:rPr>
        <w:t>Радиационна защита и безопасност на източниците на радиация: Международни основни стандарти за безопасност</w:t>
      </w:r>
      <w:r>
        <w:t>, Международна агенция за атомна енергия (МААЕ), Виена, 2014 г.</w:t>
      </w:r>
    </w:p>
    <w:p w14:paraId="4057F148" w14:textId="6FFB8820" w:rsidR="007A081C" w:rsidRPr="00D81D69" w:rsidRDefault="007A081C" w:rsidP="00E767BE">
      <w:pPr>
        <w:pStyle w:val="ListParagraph"/>
        <w:numPr>
          <w:ilvl w:val="0"/>
          <w:numId w:val="36"/>
        </w:numPr>
        <w:tabs>
          <w:tab w:val="clear" w:pos="720"/>
          <w:tab w:val="left" w:pos="1134"/>
        </w:tabs>
        <w:spacing w:after="160" w:line="259" w:lineRule="auto"/>
        <w:ind w:left="851" w:hanging="491"/>
        <w:jc w:val="both"/>
      </w:pPr>
      <w:r>
        <w:t>APP-GW-GL-062, Редакция 0, Оценка на съответствието на AP1000 с GS-R-3 на МААЕ, Изисквания за безопасност на системите за управление на съоръжения и дейности, 2006 г.</w:t>
      </w:r>
    </w:p>
    <w:p w14:paraId="1733FC04" w14:textId="6298EC35" w:rsidR="007A081C" w:rsidRPr="00D81D69" w:rsidRDefault="007A081C" w:rsidP="00E767BE">
      <w:pPr>
        <w:pStyle w:val="ListParagraph"/>
        <w:numPr>
          <w:ilvl w:val="0"/>
          <w:numId w:val="36"/>
        </w:numPr>
        <w:tabs>
          <w:tab w:val="clear" w:pos="720"/>
          <w:tab w:val="left" w:pos="1134"/>
        </w:tabs>
        <w:spacing w:after="160" w:line="259" w:lineRule="auto"/>
        <w:ind w:left="851" w:hanging="491"/>
        <w:jc w:val="both"/>
      </w:pPr>
      <w:r>
        <w:t>APP-GW-GL-067, Редакция 0, Оценка на съответствието на AP1000 със Стандарт за безопасност № 115 на МААЕ, Международни основни стандарти за безопасност за защита от йонизираща радиация и за безопасност на източниците на радиация, 1996 г.</w:t>
      </w:r>
    </w:p>
    <w:p w14:paraId="6D87BC10" w14:textId="6C8FC582" w:rsidR="007A081C" w:rsidRPr="00D81D69" w:rsidRDefault="007A081C" w:rsidP="00E767BE">
      <w:pPr>
        <w:pStyle w:val="ListParagraph"/>
        <w:numPr>
          <w:ilvl w:val="0"/>
          <w:numId w:val="36"/>
        </w:numPr>
        <w:tabs>
          <w:tab w:val="clear" w:pos="720"/>
          <w:tab w:val="left" w:pos="1134"/>
        </w:tabs>
        <w:ind w:left="851" w:hanging="491"/>
        <w:jc w:val="both"/>
      </w:pPr>
      <w:r>
        <w:t>APP-GW-GL-068, Редакция B, Оценка на съответствието на AP1000 със Стандарта за безопасност на МААЕ, Общи изисквания за безопасност, Част 5, Управление на радиоактивни отпадъци преди погребване.</w:t>
      </w:r>
    </w:p>
    <w:p w14:paraId="1C348E76" w14:textId="19511308" w:rsidR="007A081C" w:rsidRPr="00D81D69" w:rsidRDefault="007A081C" w:rsidP="00E767BE">
      <w:pPr>
        <w:pStyle w:val="ListParagraph"/>
        <w:numPr>
          <w:ilvl w:val="0"/>
          <w:numId w:val="36"/>
        </w:numPr>
        <w:tabs>
          <w:tab w:val="clear" w:pos="720"/>
          <w:tab w:val="left" w:pos="1134"/>
        </w:tabs>
        <w:ind w:left="851" w:hanging="491"/>
        <w:jc w:val="both"/>
      </w:pPr>
      <w:r>
        <w:t>APP-GW-GL-069, Редакция 0, Сравнение на AP1000 със Стандарт за безопасност № GS-R-2 на МААЕ, Готовност и реагиране при ядрена или радиологична авария.</w:t>
      </w:r>
    </w:p>
    <w:p w14:paraId="4003D178" w14:textId="1A2188E0" w:rsidR="007A081C" w:rsidRPr="00D81D69" w:rsidRDefault="007A081C" w:rsidP="00E767BE">
      <w:pPr>
        <w:pStyle w:val="ListParagraph"/>
        <w:numPr>
          <w:ilvl w:val="0"/>
          <w:numId w:val="36"/>
        </w:numPr>
        <w:tabs>
          <w:tab w:val="clear" w:pos="720"/>
          <w:tab w:val="left" w:pos="1134"/>
        </w:tabs>
        <w:ind w:left="851" w:hanging="491"/>
        <w:jc w:val="both"/>
      </w:pPr>
      <w:r>
        <w:t>APP-GW-GL-704, Редакция 1, Сравнение на централата AP1000 със Стандарт за безопасност на МААЕ № GSR(Общи изисквания за безопасност), Част 4 – Оценка на безопасността на съоръжения и дейности.</w:t>
      </w:r>
    </w:p>
    <w:p w14:paraId="55AFA7A1" w14:textId="5A486063" w:rsidR="00230145" w:rsidRDefault="007A081C" w:rsidP="00E767BE">
      <w:pPr>
        <w:pStyle w:val="ListParagraph"/>
        <w:numPr>
          <w:ilvl w:val="0"/>
          <w:numId w:val="36"/>
        </w:numPr>
        <w:tabs>
          <w:tab w:val="clear" w:pos="720"/>
          <w:tab w:val="left" w:pos="1134"/>
        </w:tabs>
        <w:spacing w:after="160" w:line="259" w:lineRule="auto"/>
        <w:ind w:left="851" w:hanging="491"/>
        <w:jc w:val="both"/>
      </w:pPr>
      <w:r>
        <w:t>APP-GW-GL-700, Редакция 19, Документ за контрол на проектирането на централата AP1000.</w:t>
      </w:r>
    </w:p>
    <w:p w14:paraId="2340DDE2" w14:textId="77777777" w:rsidR="008E2109" w:rsidRDefault="00D81D69" w:rsidP="00E767BE">
      <w:pPr>
        <w:pStyle w:val="ListParagraph"/>
        <w:numPr>
          <w:ilvl w:val="0"/>
          <w:numId w:val="36"/>
        </w:numPr>
        <w:tabs>
          <w:tab w:val="clear" w:pos="720"/>
          <w:tab w:val="left" w:pos="1134"/>
        </w:tabs>
        <w:spacing w:after="160" w:line="259" w:lineRule="auto"/>
        <w:ind w:left="851" w:hanging="491"/>
        <w:jc w:val="both"/>
      </w:pPr>
      <w:r>
        <w:t>APP-GW-GL-022, Редакция 8, Вероятностен анализ на безопасността.</w:t>
      </w:r>
    </w:p>
    <w:p w14:paraId="1721AA81" w14:textId="422D2249" w:rsidR="008E2109" w:rsidRPr="00D57032" w:rsidRDefault="008E2109" w:rsidP="00E767BE">
      <w:pPr>
        <w:pStyle w:val="ListParagraph"/>
        <w:numPr>
          <w:ilvl w:val="0"/>
          <w:numId w:val="36"/>
        </w:numPr>
        <w:tabs>
          <w:tab w:val="clear" w:pos="720"/>
          <w:tab w:val="left" w:pos="1134"/>
        </w:tabs>
        <w:ind w:left="851" w:hanging="491"/>
        <w:rPr>
          <w:rFonts w:eastAsiaTheme="minorEastAsia" w:cstheme="minorBidi"/>
        </w:rPr>
      </w:pPr>
      <w:bookmarkStart w:id="90" w:name="_Ref142219111"/>
      <w:r>
        <w:t>Публикация 103 на МКЗР. Анали на Публикация 103 на МКРЗ. “Препоръки на Международната комисия по радиационна защита от 2007 г.”. Март 2007 г.</w:t>
      </w:r>
      <w:bookmarkEnd w:id="90"/>
    </w:p>
    <w:p w14:paraId="221E2C5D" w14:textId="77777777" w:rsidR="008E2109" w:rsidRPr="00D57032" w:rsidRDefault="008E2109" w:rsidP="00E767BE">
      <w:pPr>
        <w:pStyle w:val="ListParagraph"/>
        <w:numPr>
          <w:ilvl w:val="0"/>
          <w:numId w:val="36"/>
        </w:numPr>
        <w:tabs>
          <w:tab w:val="clear" w:pos="720"/>
          <w:tab w:val="left" w:pos="1134"/>
        </w:tabs>
        <w:ind w:left="851" w:hanging="491"/>
        <w:rPr>
          <w:rFonts w:eastAsiaTheme="minorEastAsia" w:cstheme="minorBidi"/>
        </w:rPr>
      </w:pPr>
      <w:bookmarkStart w:id="91" w:name="_Ref142221511"/>
      <w:r>
        <w:t>2013/59/Евратом. Директива 2013/59/Евратом на Съвета от 5 декември 2013 г. за определяне на основни норми на безопасност за защита срещу опасностите, произтичащи от излагане на йонизиращо лъчение и за отмяна на директиви 89/618/Евратом, 90/641/Евратом, 96/29/Евратом, 97/43/Евратом и 2003/122/Евратом.</w:t>
      </w:r>
      <w:bookmarkEnd w:id="91"/>
    </w:p>
    <w:p w14:paraId="22854051" w14:textId="77777777" w:rsidR="009329DD" w:rsidRPr="00D57032" w:rsidRDefault="009329DD" w:rsidP="00E767BE">
      <w:pPr>
        <w:pStyle w:val="ListParagraph"/>
        <w:numPr>
          <w:ilvl w:val="0"/>
          <w:numId w:val="36"/>
        </w:numPr>
        <w:tabs>
          <w:tab w:val="clear" w:pos="720"/>
        </w:tabs>
        <w:ind w:left="851" w:hanging="491"/>
        <w:rPr>
          <w:rFonts w:eastAsiaTheme="minorEastAsia" w:cstheme="minorBidi"/>
        </w:rPr>
      </w:pPr>
      <w:bookmarkStart w:id="92" w:name="_Ref142222320"/>
      <w:r>
        <w:t>APP-GW-G0R-001, Редакция B. Оценка на съответствието на централата AP1000 с изискванията на EUR Редакция E Ключови въпроси. Юни 2022 г.</w:t>
      </w:r>
      <w:bookmarkEnd w:id="92"/>
    </w:p>
    <w:p w14:paraId="6D0118EC" w14:textId="77777777" w:rsidR="009329DD" w:rsidRPr="00D57032" w:rsidRDefault="009329DD" w:rsidP="00E767BE">
      <w:pPr>
        <w:pStyle w:val="ListParagraph"/>
        <w:numPr>
          <w:ilvl w:val="0"/>
          <w:numId w:val="36"/>
        </w:numPr>
        <w:tabs>
          <w:tab w:val="clear" w:pos="720"/>
        </w:tabs>
        <w:ind w:left="851" w:hanging="491"/>
        <w:rPr>
          <w:rFonts w:eastAsiaTheme="minorEastAsia" w:cstheme="minorBidi"/>
        </w:rPr>
      </w:pPr>
      <w:bookmarkStart w:id="93" w:name="_Ref142222890"/>
      <w:r>
        <w:rPr>
          <w:color w:val="333333"/>
          <w:shd w:val="clear" w:color="auto" w:fill="FFFFFF"/>
        </w:rPr>
        <w:t>APP-GW-N1-022, Редакция 3. “Ръководство по ръководни принципи ALARA за AP1000.” Януари 2016 г.</w:t>
      </w:r>
      <w:bookmarkEnd w:id="93"/>
    </w:p>
    <w:p w14:paraId="5E260A19" w14:textId="77777777" w:rsidR="009329DD" w:rsidRDefault="009329DD" w:rsidP="00E767BE">
      <w:pPr>
        <w:pStyle w:val="ListParagraph"/>
        <w:numPr>
          <w:ilvl w:val="0"/>
          <w:numId w:val="36"/>
        </w:numPr>
        <w:tabs>
          <w:tab w:val="clear" w:pos="720"/>
        </w:tabs>
        <w:ind w:left="851" w:hanging="491"/>
        <w:rPr>
          <w:rFonts w:eastAsiaTheme="minorEastAsia" w:cstheme="minorBidi"/>
        </w:rPr>
      </w:pPr>
      <w:bookmarkStart w:id="94" w:name="_Ref142224512"/>
      <w:r>
        <w:t>APP-SSAR-GSC-565, Редакция 4, Годишна оценка на професионалните дози за AP1000.</w:t>
      </w:r>
    </w:p>
    <w:p w14:paraId="745E3E5D" w14:textId="4E74CFC1" w:rsidR="009329DD" w:rsidRDefault="009329DD" w:rsidP="009329DD">
      <w:pPr>
        <w:pStyle w:val="ListParagraph"/>
        <w:numPr>
          <w:ilvl w:val="0"/>
          <w:numId w:val="36"/>
        </w:numPr>
        <w:tabs>
          <w:tab w:val="clear" w:pos="720"/>
        </w:tabs>
        <w:ind w:left="851" w:hanging="491"/>
        <w:rPr>
          <w:rFonts w:eastAsiaTheme="minorEastAsia" w:cstheme="minorBidi"/>
        </w:rPr>
      </w:pPr>
      <w:bookmarkStart w:id="95" w:name="_Ref142329631"/>
      <w:bookmarkEnd w:id="94"/>
      <w:r>
        <w:t>TD-WES-13-002 Част II Редакция 2. Предпроектно проучване за изграждането на нов ядрен блок на площадката на АЕЦ “Козлодуй”. Част II. Редакция 2. “Оценка на характеристиките и състоянието на предложените площадки. Сравнителен анализ и предложение за избор на площадка.” Юли 2013 г.</w:t>
      </w:r>
      <w:bookmarkEnd w:id="95"/>
    </w:p>
    <w:p w14:paraId="40BAECD4" w14:textId="08F4DBB3" w:rsidR="006A1494" w:rsidRDefault="00021215" w:rsidP="00021215">
      <w:pPr>
        <w:pStyle w:val="ListParagraph"/>
        <w:numPr>
          <w:ilvl w:val="0"/>
          <w:numId w:val="36"/>
        </w:numPr>
        <w:tabs>
          <w:tab w:val="clear" w:pos="720"/>
        </w:tabs>
        <w:ind w:left="851" w:hanging="491"/>
        <w:rPr>
          <w:rFonts w:eastAsiaTheme="minorEastAsia" w:cstheme="minorBidi"/>
        </w:rPr>
      </w:pPr>
      <w:r>
        <w:t>Международна агенция за атомна енергия, Административна, правна и регулаторна рамка за безопасността, Серия Стандарти за безопасност на МААЕ № GSR, Част 1, МААЕ, Виена, 2010 г.</w:t>
      </w:r>
    </w:p>
    <w:p w14:paraId="0B4A3525" w14:textId="11F41482" w:rsidR="00021215" w:rsidRDefault="00021215" w:rsidP="00021215">
      <w:pPr>
        <w:pStyle w:val="ListParagraph"/>
        <w:numPr>
          <w:ilvl w:val="0"/>
          <w:numId w:val="36"/>
        </w:numPr>
        <w:tabs>
          <w:tab w:val="clear" w:pos="720"/>
        </w:tabs>
        <w:ind w:left="851" w:hanging="491"/>
        <w:rPr>
          <w:rFonts w:eastAsiaTheme="minorEastAsia" w:cstheme="minorBidi"/>
        </w:rPr>
      </w:pPr>
      <w:r>
        <w:t>Международна агенция за атомна енергия, Извеждане от експлоатация на съоръжения, Серия Стандарти за безопасност на МААЕ № GSR, Част 6, МААЕ, Виена, 2014 г.</w:t>
      </w:r>
    </w:p>
    <w:p w14:paraId="27976918" w14:textId="0C523E00" w:rsidR="00021215" w:rsidRDefault="00021215" w:rsidP="00021215">
      <w:pPr>
        <w:pStyle w:val="ListParagraph"/>
        <w:numPr>
          <w:ilvl w:val="0"/>
          <w:numId w:val="36"/>
        </w:numPr>
        <w:tabs>
          <w:tab w:val="clear" w:pos="720"/>
        </w:tabs>
        <w:ind w:left="851" w:hanging="491"/>
        <w:rPr>
          <w:rFonts w:eastAsiaTheme="minorEastAsia" w:cstheme="minorBidi"/>
        </w:rPr>
      </w:pPr>
      <w:r>
        <w:t>Международна агенция за атомна енергия, Управление на радиоактивни отпадъци преди погребване, Серия Стандарти за безопасност на МААЕ № GSR, Част 5, МААЕ, Виена, 2009 г.</w:t>
      </w:r>
    </w:p>
    <w:p w14:paraId="3A6AB57A" w14:textId="1E0348FE" w:rsidR="00021215" w:rsidRDefault="00021215" w:rsidP="00021215">
      <w:pPr>
        <w:pStyle w:val="ListParagraph"/>
        <w:numPr>
          <w:ilvl w:val="0"/>
          <w:numId w:val="36"/>
        </w:numPr>
        <w:tabs>
          <w:tab w:val="clear" w:pos="720"/>
        </w:tabs>
        <w:ind w:left="851" w:hanging="491"/>
        <w:rPr>
          <w:rFonts w:eastAsiaTheme="minorEastAsia" w:cstheme="minorBidi"/>
        </w:rPr>
      </w:pPr>
      <w:r>
        <w:lastRenderedPageBreak/>
        <w:t>Международна агенция за атомна енергия, Погребване на радиоактивни отпадъци, Серия Стандарти за безопасност на МААЕ № SSR-5, МААЕ, Виена, 2011 г.</w:t>
      </w:r>
    </w:p>
    <w:p w14:paraId="04B50D11" w14:textId="6BB497E6" w:rsidR="00021215" w:rsidRDefault="00021215" w:rsidP="00021215">
      <w:pPr>
        <w:pStyle w:val="ListParagraph"/>
        <w:numPr>
          <w:ilvl w:val="0"/>
          <w:numId w:val="36"/>
        </w:numPr>
        <w:tabs>
          <w:tab w:val="clear" w:pos="720"/>
        </w:tabs>
        <w:ind w:left="851" w:hanging="491"/>
        <w:rPr>
          <w:rFonts w:eastAsiaTheme="minorEastAsia" w:cstheme="minorBidi"/>
        </w:rPr>
      </w:pPr>
      <w:r>
        <w:t>Международна агенция за атомна енергия, Правила за безопасно транспортиране на радиоактивни материали, Издание 2012 г., Серия Стандарти за безопасност на МААЕ № SSR-6, МААЕ, Виена, 2012 г.</w:t>
      </w:r>
    </w:p>
    <w:p w14:paraId="41C0A7DA" w14:textId="79C633A2" w:rsidR="00021215" w:rsidRDefault="008C2ACF" w:rsidP="00021215">
      <w:pPr>
        <w:pStyle w:val="ListParagraph"/>
        <w:numPr>
          <w:ilvl w:val="0"/>
          <w:numId w:val="36"/>
        </w:numPr>
        <w:tabs>
          <w:tab w:val="clear" w:pos="720"/>
        </w:tabs>
        <w:ind w:left="851" w:hanging="491"/>
        <w:rPr>
          <w:rFonts w:eastAsiaTheme="minorEastAsia" w:cstheme="minorBidi"/>
        </w:rPr>
      </w:pPr>
      <w:r>
        <w:t>Организация за прехрана и земеделие на Обединените нации, Международна агенция за атомна енергия, Международна организация на труда, Агенция за ядрена енергия на ОИСР, Панамериканска здравна организация, Бюро на Обединените нации за координиране на хуманитарните въпроси, Световна здравна организация, Готовност и реагиране при ядрена или радиологична авария, Серия стандарти за безопасност на МААЕ №. GS-R-2, МААЕ, Виена, 2002 г.</w:t>
      </w:r>
    </w:p>
    <w:p w14:paraId="48B1BFC7" w14:textId="7613AEF6" w:rsidR="008C2ACF" w:rsidRDefault="008C2ACF" w:rsidP="00021215">
      <w:pPr>
        <w:pStyle w:val="ListParagraph"/>
        <w:numPr>
          <w:ilvl w:val="0"/>
          <w:numId w:val="36"/>
        </w:numPr>
        <w:tabs>
          <w:tab w:val="clear" w:pos="720"/>
        </w:tabs>
        <w:ind w:left="851" w:hanging="491"/>
        <w:rPr>
          <w:rFonts w:eastAsiaTheme="minorEastAsia" w:cstheme="minorBidi"/>
        </w:rPr>
      </w:pPr>
      <w:r>
        <w:t>Международна организация за стандартизация, Основен символ за йонизираща радиация, ISO 361, ISO, Женева, 1975 г.</w:t>
      </w:r>
    </w:p>
    <w:p w14:paraId="6A930980" w14:textId="03C01F87" w:rsidR="008C2ACF" w:rsidRDefault="008C2ACF" w:rsidP="00021215">
      <w:pPr>
        <w:pStyle w:val="ListParagraph"/>
        <w:numPr>
          <w:ilvl w:val="0"/>
          <w:numId w:val="36"/>
        </w:numPr>
        <w:tabs>
          <w:tab w:val="clear" w:pos="720"/>
        </w:tabs>
        <w:ind w:left="851" w:hanging="491"/>
        <w:rPr>
          <w:rFonts w:eastAsiaTheme="minorEastAsia" w:cstheme="minorBidi"/>
        </w:rPr>
      </w:pPr>
      <w:r>
        <w:t>Международна организация на труда, Технически и етични указания за наблюдение на здравето на работещите; Серия 72 “Безопасност и здраве при работа”, МОТ, Женева, 1998 г.</w:t>
      </w:r>
    </w:p>
    <w:p w14:paraId="234AD7B9" w14:textId="3F6914E5" w:rsidR="008C2ACF" w:rsidRDefault="008C2ACF" w:rsidP="00021215">
      <w:pPr>
        <w:pStyle w:val="ListParagraph"/>
        <w:numPr>
          <w:ilvl w:val="0"/>
          <w:numId w:val="36"/>
        </w:numPr>
        <w:tabs>
          <w:tab w:val="clear" w:pos="720"/>
        </w:tabs>
        <w:ind w:left="851" w:hanging="491"/>
        <w:rPr>
          <w:rFonts w:eastAsiaTheme="minorEastAsia" w:cstheme="minorBidi"/>
        </w:rPr>
      </w:pPr>
      <w:r>
        <w:t>Световна медицинска асоциация, 18-а Световна медицинска асамблея, Хелзинки, 1974 г., изм. 59-а Световна медицинска асамблея, Сеул, 2008 г.</w:t>
      </w:r>
    </w:p>
    <w:p w14:paraId="5F37D063" w14:textId="4A7A7CD3" w:rsidR="008C2ACF" w:rsidRDefault="008C2ACF" w:rsidP="00021215">
      <w:pPr>
        <w:pStyle w:val="ListParagraph"/>
        <w:numPr>
          <w:ilvl w:val="0"/>
          <w:numId w:val="36"/>
        </w:numPr>
        <w:tabs>
          <w:tab w:val="clear" w:pos="720"/>
        </w:tabs>
        <w:ind w:left="851" w:hanging="491"/>
        <w:rPr>
          <w:rFonts w:eastAsiaTheme="minorEastAsia" w:cstheme="minorBidi"/>
        </w:rPr>
      </w:pPr>
      <w:r>
        <w:t>Съвет на международните организации по медицински науки, Световна здравна организация, Международни етични насоки за биомедицински изследвания, включващи човешки същества, СМОМН, Женева, 2002 г.</w:t>
      </w:r>
    </w:p>
    <w:p w14:paraId="3B3CFDF7" w14:textId="5A31BE19" w:rsidR="008C2ACF" w:rsidRDefault="008C2ACF" w:rsidP="00021215">
      <w:pPr>
        <w:pStyle w:val="ListParagraph"/>
        <w:numPr>
          <w:ilvl w:val="0"/>
          <w:numId w:val="36"/>
        </w:numPr>
        <w:tabs>
          <w:tab w:val="clear" w:pos="720"/>
        </w:tabs>
        <w:ind w:left="851" w:hanging="491"/>
        <w:rPr>
          <w:rFonts w:eastAsiaTheme="minorEastAsia" w:cstheme="minorBidi"/>
        </w:rPr>
      </w:pPr>
      <w:r>
        <w:t>Международна комисия по радиологична защита, Радиологична защита при биомедицински изследвания, Публикация 62 на МКРЗ, Пергамон Прес, Оксфорд и Ню Йорк, 1991 г.</w:t>
      </w:r>
    </w:p>
    <w:p w14:paraId="051347D4" w14:textId="60C841A7" w:rsidR="008C2ACF" w:rsidRDefault="008C2ACF" w:rsidP="00021215">
      <w:pPr>
        <w:pStyle w:val="ListParagraph"/>
        <w:numPr>
          <w:ilvl w:val="0"/>
          <w:numId w:val="36"/>
        </w:numPr>
        <w:tabs>
          <w:tab w:val="clear" w:pos="720"/>
        </w:tabs>
        <w:ind w:left="851" w:hanging="491"/>
        <w:rPr>
          <w:rFonts w:eastAsiaTheme="minorEastAsia" w:cstheme="minorBidi"/>
        </w:rPr>
      </w:pPr>
      <w:r>
        <w:t>Съвместна програма за хранителни стандарти на ОПЗ и СЗО, Комисия по Codex Alimentarius, Общ стандарт на Codex за замърсители и токсини в храните, Приложение 1 – Радионуклиди, CODEX STAN 193-1995, CAC, Рим, 2006 г.</w:t>
      </w:r>
    </w:p>
    <w:p w14:paraId="717DBB69" w14:textId="0C959DF4" w:rsidR="00D81D69" w:rsidRPr="00895EC3" w:rsidRDefault="008C2ACF" w:rsidP="008C2ACF">
      <w:pPr>
        <w:pStyle w:val="ListParagraph"/>
        <w:numPr>
          <w:ilvl w:val="0"/>
          <w:numId w:val="36"/>
        </w:numPr>
        <w:tabs>
          <w:tab w:val="clear" w:pos="720"/>
        </w:tabs>
        <w:spacing w:after="160" w:line="259" w:lineRule="auto"/>
        <w:ind w:left="851" w:hanging="491"/>
        <w:jc w:val="both"/>
      </w:pPr>
      <w:r>
        <w:t>Световна здравна организация, Ръководство за качеството на питейната вода, 4-о издание, СЗО, Женева, 2011 г.</w:t>
      </w:r>
    </w:p>
    <w:p w14:paraId="1FF8E03B" w14:textId="0E8BDABE" w:rsidR="00895EC3" w:rsidRPr="00D81D69" w:rsidRDefault="00895EC3" w:rsidP="008C2ACF">
      <w:pPr>
        <w:pStyle w:val="ListParagraph"/>
        <w:numPr>
          <w:ilvl w:val="0"/>
          <w:numId w:val="36"/>
        </w:numPr>
        <w:tabs>
          <w:tab w:val="clear" w:pos="720"/>
        </w:tabs>
        <w:spacing w:after="160" w:line="259" w:lineRule="auto"/>
        <w:ind w:left="851" w:hanging="491"/>
        <w:jc w:val="both"/>
      </w:pPr>
      <w:r>
        <w:t>TD-WES-13-002 Част II Редакция 2. Предпроектно проучване за изграждането на нов ядрен блок на площадката на АЕЦ “Козлодуй”. Част II. Редакция 2. “Оценка на характеристиките и състоянието на предложените площадки. Сравнителен анализ и предложение за избор на площадка.” Юли 2013 г.</w:t>
      </w:r>
    </w:p>
    <w:sectPr w:rsidR="00895EC3" w:rsidRPr="00D81D69" w:rsidSect="00B41F26">
      <w:headerReference w:type="default" r:id="rId25"/>
      <w:endnotePr>
        <w:numFmt w:val="decimal"/>
      </w:endnotePr>
      <w:pgSz w:w="12240" w:h="15840" w:code="1"/>
      <w:pgMar w:top="1440" w:right="1440" w:bottom="1440" w:left="1440" w:header="720" w:footer="720" w:gutter="0"/>
      <w:pgNumType w:start="1" w:chapStyle="1"/>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8113E8" w14:textId="77777777" w:rsidR="00115B8C" w:rsidRDefault="00115B8C" w:rsidP="00BD3948">
      <w:r>
        <w:separator/>
      </w:r>
    </w:p>
  </w:endnote>
  <w:endnote w:type="continuationSeparator" w:id="0">
    <w:p w14:paraId="17CB2767" w14:textId="77777777" w:rsidR="00115B8C" w:rsidRDefault="00115B8C" w:rsidP="00BD3948">
      <w:r>
        <w:continuationSeparator/>
      </w:r>
    </w:p>
  </w:endnote>
  <w:endnote w:type="continuationNotice" w:id="1">
    <w:p w14:paraId="66F66262" w14:textId="77777777" w:rsidR="00115B8C" w:rsidRDefault="00115B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Bold">
    <w:panose1 w:val="02020803070505020304"/>
    <w:charset w:val="00"/>
    <w:family w:val="roman"/>
    <w:notTrueType/>
    <w:pitch w:val="default"/>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CC"/>
    <w:family w:val="swiss"/>
    <w:pitch w:val="variable"/>
    <w:sig w:usb0="E0002EFF" w:usb1="C000785B" w:usb2="00000009" w:usb3="00000000" w:csb0="000001FF" w:csb1="00000000"/>
  </w:font>
  <w:font w:name="Tech Sans Medium">
    <w:charset w:val="00"/>
    <w:family w:val="swiss"/>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rebuchet MS">
    <w:panose1 w:val="020B0603020202020204"/>
    <w:charset w:val="CC"/>
    <w:family w:val="swiss"/>
    <w:pitch w:val="variable"/>
    <w:sig w:usb0="00000687" w:usb1="00000000" w:usb2="00000000" w:usb3="00000000" w:csb0="0000009F" w:csb1="00000000"/>
  </w:font>
  <w:font w:name="Arial Bold">
    <w:altName w:val="Arial"/>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IDFont+F1">
    <w:altName w:val="Calibri"/>
    <w:panose1 w:val="00000000000000000000"/>
    <w:charset w:val="0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25877" w14:textId="7AEB71E0" w:rsidR="00115B8C" w:rsidRPr="00A176BB" w:rsidRDefault="00115B8C" w:rsidP="00BF77B9">
    <w:pPr>
      <w:pStyle w:val="Footer"/>
      <w:tabs>
        <w:tab w:val="clear" w:pos="9360"/>
        <w:tab w:val="right" w:pos="12900"/>
      </w:tabs>
    </w:pPr>
    <w:r>
      <w:t>APP-GW-G0R-004</w:t>
    </w:r>
    <w:r>
      <w:tab/>
      <w:t>Редакция 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E8425" w14:textId="77777777" w:rsidR="00115B8C" w:rsidRPr="00A176BB" w:rsidRDefault="00115B8C">
    <w:pPr>
      <w:pStyle w:val="Center10pt0"/>
      <w:rPr>
        <w:rFonts w:ascii="Arial" w:hAnsi="Arial" w:cs="Arial"/>
      </w:rPr>
    </w:pPr>
    <w:r>
      <w:rPr>
        <w:rFonts w:ascii="Arial" w:hAnsi="Arial"/>
      </w:rPr>
      <w:t>Westinghouse Electric Company LLC</w:t>
    </w:r>
  </w:p>
  <w:p w14:paraId="603069B0" w14:textId="77777777" w:rsidR="00115B8C" w:rsidRPr="00A176BB" w:rsidRDefault="00115B8C">
    <w:pPr>
      <w:pStyle w:val="Center10pt0"/>
      <w:rPr>
        <w:rFonts w:ascii="Arial" w:hAnsi="Arial" w:cs="Arial"/>
      </w:rPr>
    </w:pPr>
    <w:r>
      <w:rPr>
        <w:rFonts w:ascii="Arial" w:hAnsi="Arial"/>
      </w:rPr>
      <w:t>1000 Westinghouse Drive</w:t>
    </w:r>
  </w:p>
  <w:p w14:paraId="3C5374A8" w14:textId="77777777" w:rsidR="00115B8C" w:rsidRPr="00A176BB" w:rsidRDefault="00115B8C">
    <w:pPr>
      <w:pStyle w:val="Center10pt7"/>
      <w:rPr>
        <w:rFonts w:ascii="Arial" w:hAnsi="Arial" w:cs="Arial"/>
      </w:rPr>
    </w:pPr>
    <w:r>
      <w:rPr>
        <w:rFonts w:ascii="Arial" w:hAnsi="Arial"/>
      </w:rPr>
      <w:t>Cranberry Township, PA 16066, USA</w:t>
    </w:r>
  </w:p>
  <w:p w14:paraId="68AF2433" w14:textId="6E184E72" w:rsidR="00115B8C" w:rsidRPr="00A176BB" w:rsidRDefault="00115B8C">
    <w:pPr>
      <w:pStyle w:val="Center10pt0"/>
      <w:rPr>
        <w:rFonts w:ascii="Arial" w:hAnsi="Arial" w:cs="Arial"/>
      </w:rPr>
    </w:pPr>
    <w:r>
      <w:rPr>
        <w:rFonts w:ascii="Arial" w:hAnsi="Arial"/>
      </w:rPr>
      <w:t>© 2022 Уестингхаус Електрик Къмпани ООД</w:t>
    </w:r>
  </w:p>
  <w:p w14:paraId="220CAA32" w14:textId="09C0D2C4" w:rsidR="00115B8C" w:rsidRDefault="00115B8C">
    <w:pPr>
      <w:pStyle w:val="Center10pt7"/>
      <w:rPr>
        <w:rFonts w:ascii="Arial" w:hAnsi="Arial" w:cs="Arial"/>
      </w:rPr>
    </w:pPr>
    <w:r>
      <w:rPr>
        <w:rFonts w:ascii="Arial" w:hAnsi="Arial"/>
      </w:rPr>
      <w:t>Всички права запазени</w:t>
    </w:r>
  </w:p>
  <w:p w14:paraId="45626B97" w14:textId="38BD5C42" w:rsidR="00115B8C" w:rsidRPr="00346D32" w:rsidRDefault="00115B8C" w:rsidP="00FB14D5">
    <w:pPr>
      <w:pStyle w:val="Center10pt7"/>
      <w:tabs>
        <w:tab w:val="right" w:pos="9356"/>
      </w:tabs>
      <w:jc w:val="left"/>
      <w:rPr>
        <w:rFonts w:asciiTheme="minorHAnsi" w:hAnsiTheme="minorHAnsi" w:cstheme="minorHAnsi"/>
        <w:sz w:val="22"/>
        <w:szCs w:val="22"/>
      </w:rPr>
    </w:pPr>
    <w:r>
      <w:rPr>
        <w:rFonts w:asciiTheme="minorHAnsi" w:hAnsiTheme="minorHAnsi"/>
        <w:sz w:val="22"/>
      </w:rPr>
      <w:t xml:space="preserve">APP-GW-G0R-004 </w:t>
    </w:r>
    <w:r>
      <w:rPr>
        <w:rFonts w:asciiTheme="minorHAnsi" w:hAnsiTheme="minorHAnsi"/>
        <w:sz w:val="22"/>
      </w:rPr>
      <w:tab/>
      <w:t>Редакция А</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CD492B" w14:textId="77777777" w:rsidR="00115B8C" w:rsidRDefault="00115B8C" w:rsidP="00BD3948">
      <w:r>
        <w:separator/>
      </w:r>
    </w:p>
  </w:footnote>
  <w:footnote w:type="continuationSeparator" w:id="0">
    <w:p w14:paraId="66F0F29C" w14:textId="77777777" w:rsidR="00115B8C" w:rsidRDefault="00115B8C" w:rsidP="00BD3948">
      <w:r>
        <w:continuationSeparator/>
      </w:r>
    </w:p>
  </w:footnote>
  <w:footnote w:type="continuationNotice" w:id="1">
    <w:p w14:paraId="1D2A96D7" w14:textId="77777777" w:rsidR="00115B8C" w:rsidRDefault="00115B8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0FC4B" w14:textId="77777777" w:rsidR="00553FBB" w:rsidRDefault="00553FBB">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329E8" w14:textId="77777777" w:rsidR="00115B8C" w:rsidRDefault="00115B8C" w:rsidP="00BD3948">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27E74" w14:textId="56AA4351" w:rsidR="00115B8C" w:rsidRPr="00297152" w:rsidRDefault="00115B8C" w:rsidP="00655A19">
    <w:pPr>
      <w:pStyle w:val="Header"/>
      <w:tabs>
        <w:tab w:val="clear" w:pos="4680"/>
        <w:tab w:val="clear" w:pos="9360"/>
        <w:tab w:val="center" w:pos="6237"/>
        <w:tab w:val="right" w:pos="12900"/>
      </w:tabs>
    </w:pPr>
    <w:r>
      <w:tab/>
      <w:t>WESTINGHOUSE PROPRIETARY CLASS 2</w:t>
    </w:r>
    <w:r>
      <w:tab/>
    </w:r>
    <w:r w:rsidRPr="00297152">
      <w:fldChar w:fldCharType="begin"/>
    </w:r>
    <w:r w:rsidRPr="00297152">
      <w:instrText xml:space="preserve"> PAGE </w:instrText>
    </w:r>
    <w:r w:rsidRPr="00297152">
      <w:fldChar w:fldCharType="separate"/>
    </w:r>
    <w:r w:rsidR="00C469CC">
      <w:rPr>
        <w:noProof/>
      </w:rPr>
      <w:t>2-162</w:t>
    </w:r>
    <w:r w:rsidRPr="00297152">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16950" w14:textId="77777777" w:rsidR="00115B8C" w:rsidRPr="00297152" w:rsidRDefault="00115B8C" w:rsidP="00BD3948">
    <w:pPr>
      <w:pStyle w:val="Header"/>
    </w:pPr>
    <w:r>
      <w:tab/>
      <w:t>WESTINGHOUSE PROPRIETARY CLASS 2</w:t>
    </w:r>
    <w:r>
      <w:tab/>
    </w:r>
    <w:r w:rsidRPr="00297152">
      <w:fldChar w:fldCharType="begin"/>
    </w:r>
    <w:r w:rsidRPr="00297152">
      <w:instrText xml:space="preserve"> PAGE </w:instrText>
    </w:r>
    <w:r w:rsidRPr="00297152">
      <w:fldChar w:fldCharType="separate"/>
    </w:r>
    <w:r w:rsidR="00C469CC">
      <w:rPr>
        <w:noProof/>
      </w:rPr>
      <w:t>3-2</w:t>
    </w:r>
    <w:r w:rsidRPr="00297152">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43E39" w14:textId="77777777" w:rsidR="00115B8C" w:rsidRDefault="00115B8C" w:rsidP="00BD3948">
    <w:pPr>
      <w:pStyle w:val="Header"/>
    </w:pPr>
    <w:r>
      <w:t>1-</w:t>
    </w:r>
    <w:r>
      <w:tab/>
      <w:t>WESTINGHOUSE PROPRIETARY CLASS 2</w:t>
    </w:r>
    <w:r>
      <w:tab/>
    </w:r>
    <w:r>
      <w:fldChar w:fldCharType="begin"/>
    </w:r>
    <w:r>
      <w:instrText xml:space="preserve"> PAGE </w:instrText>
    </w:r>
    <w:r>
      <w:fldChar w:fldCharType="separate"/>
    </w:r>
    <w:r>
      <w:t>ii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13A91E" w14:textId="77777777" w:rsidR="00115B8C" w:rsidRDefault="00115B8C" w:rsidP="00BD394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8447B" w14:textId="723B54CB" w:rsidR="00115B8C" w:rsidRPr="00991528" w:rsidRDefault="00115B8C" w:rsidP="00991528">
    <w:pPr>
      <w:pStyle w:val="Header"/>
      <w:tabs>
        <w:tab w:val="left" w:pos="9430"/>
      </w:tabs>
    </w:pPr>
    <w:r>
      <w:tab/>
      <w:t>WESTINGHOUSE PROPRIETARY CLASS 2</w:t>
    </w:r>
    <w:r>
      <w:tab/>
      <w:t>ii</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5C67E8" w14:textId="77777777" w:rsidR="00115B8C" w:rsidRDefault="00115B8C" w:rsidP="00BD3948">
    <w:pPr>
      <w:pStyle w:val="Header"/>
    </w:pPr>
    <w:r>
      <w:fldChar w:fldCharType="begin"/>
    </w:r>
    <w:r>
      <w:instrText xml:space="preserve"> PAGE </w:instrText>
    </w:r>
    <w:r>
      <w:fldChar w:fldCharType="separate"/>
    </w:r>
    <w:r>
      <w:t>A-2</w:t>
    </w:r>
    <w:r>
      <w:fldChar w:fldCharType="end"/>
    </w:r>
    <w:r>
      <w:tab/>
      <w:t>WESTINGHOUSE PROPRIETARY CLASS 2</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726C9" w14:textId="457C89A4" w:rsidR="00115B8C" w:rsidRPr="00A176BB" w:rsidRDefault="00115B8C" w:rsidP="00F86230">
    <w:pPr>
      <w:pStyle w:val="Header"/>
      <w:tabs>
        <w:tab w:val="left" w:pos="9430"/>
      </w:tabs>
    </w:pPr>
    <w:r>
      <w:tab/>
      <w:t>WESTINGHOUSE PROPRIETARY CLASS 2</w:t>
    </w:r>
    <w:r>
      <w:tab/>
    </w:r>
    <w:r>
      <w:tab/>
    </w:r>
    <w:r w:rsidRPr="00A176BB">
      <w:fldChar w:fldCharType="begin"/>
    </w:r>
    <w:r w:rsidRPr="00A176BB">
      <w:instrText xml:space="preserve"> PAGE </w:instrText>
    </w:r>
    <w:r w:rsidRPr="00A176BB">
      <w:fldChar w:fldCharType="separate"/>
    </w:r>
    <w:r w:rsidR="00C469CC">
      <w:rPr>
        <w:noProof/>
      </w:rPr>
      <w:t>x</w:t>
    </w:r>
    <w:r w:rsidRPr="00A176BB">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9446B" w14:textId="77777777" w:rsidR="00115B8C" w:rsidRDefault="00115B8C" w:rsidP="00BD3948">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45DC1" w14:textId="77777777" w:rsidR="00115B8C" w:rsidRDefault="00115B8C" w:rsidP="00BD3948">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406E5F" w14:textId="77777777" w:rsidR="00115B8C" w:rsidRPr="00297152" w:rsidRDefault="00115B8C" w:rsidP="00BD3948">
    <w:pPr>
      <w:pStyle w:val="Header"/>
    </w:pPr>
    <w:r>
      <w:tab/>
      <w:t>WESTINGHOUSE PROPRIETARY CLASS 2</w:t>
    </w:r>
    <w:r>
      <w:tab/>
    </w:r>
    <w:r w:rsidRPr="00297152">
      <w:fldChar w:fldCharType="begin"/>
    </w:r>
    <w:r w:rsidRPr="00297152">
      <w:instrText xml:space="preserve"> PAGE </w:instrText>
    </w:r>
    <w:r w:rsidRPr="00297152">
      <w:fldChar w:fldCharType="separate"/>
    </w:r>
    <w:r w:rsidR="00C469CC">
      <w:rPr>
        <w:noProof/>
      </w:rPr>
      <w:t>2-1</w:t>
    </w:r>
    <w:r w:rsidRPr="00297152">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CCABB2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6FEEF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5003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054251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007D2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94772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6ECC5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24A990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724C9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198E5F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5444259C"/>
    <w:lvl w:ilvl="0">
      <w:numFmt w:val="decimal"/>
      <w:pStyle w:val="Emdash2"/>
      <w:lvlText w:val="*"/>
      <w:lvlJc w:val="left"/>
    </w:lvl>
  </w:abstractNum>
  <w:abstractNum w:abstractNumId="11" w15:restartNumberingAfterBreak="0">
    <w:nsid w:val="01A7145D"/>
    <w:multiLevelType w:val="singleLevel"/>
    <w:tmpl w:val="F5E2AA54"/>
    <w:lvl w:ilvl="0">
      <w:start w:val="1"/>
      <w:numFmt w:val="decimal"/>
      <w:pStyle w:val="List0"/>
      <w:lvlText w:val="%1."/>
      <w:lvlJc w:val="left"/>
      <w:pPr>
        <w:tabs>
          <w:tab w:val="num" w:pos="720"/>
        </w:tabs>
        <w:ind w:left="720" w:hanging="720"/>
      </w:pPr>
    </w:lvl>
  </w:abstractNum>
  <w:abstractNum w:abstractNumId="12" w15:restartNumberingAfterBreak="0">
    <w:nsid w:val="02B91575"/>
    <w:multiLevelType w:val="hybridMultilevel"/>
    <w:tmpl w:val="1AF46F1E"/>
    <w:lvl w:ilvl="0" w:tplc="6A06DFE4">
      <w:start w:val="1"/>
      <w:numFmt w:val="bullet"/>
      <w:pStyle w:val="Emdash"/>
      <w:lvlText w:val="—"/>
      <w:lvlJc w:val="left"/>
      <w:pPr>
        <w:tabs>
          <w:tab w:val="num" w:pos="1078"/>
        </w:tabs>
        <w:ind w:left="1078" w:hanging="360"/>
      </w:pPr>
      <w:rPr>
        <w:rFonts w:ascii="Times New Roman" w:hAnsi="Times New Roman" w:cs="Times New Roman" w:hint="default"/>
      </w:rPr>
    </w:lvl>
    <w:lvl w:ilvl="1" w:tplc="04090003" w:tentative="1">
      <w:start w:val="1"/>
      <w:numFmt w:val="bullet"/>
      <w:lvlText w:val="o"/>
      <w:lvlJc w:val="left"/>
      <w:pPr>
        <w:tabs>
          <w:tab w:val="num" w:pos="1438"/>
        </w:tabs>
        <w:ind w:left="1438" w:hanging="360"/>
      </w:pPr>
      <w:rPr>
        <w:rFonts w:ascii="Courier New" w:hAnsi="Courier New" w:cs="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cs="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cs="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3" w15:restartNumberingAfterBreak="0">
    <w:nsid w:val="030E5735"/>
    <w:multiLevelType w:val="hybridMultilevel"/>
    <w:tmpl w:val="334C6C3E"/>
    <w:lvl w:ilvl="0" w:tplc="F6E0B91E">
      <w:start w:val="1"/>
      <w:numFmt w:val="upperLetter"/>
      <w:pStyle w:val="Heading6"/>
      <w:lvlText w:val="Appendix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95F377B"/>
    <w:multiLevelType w:val="hybridMultilevel"/>
    <w:tmpl w:val="7D2A57B6"/>
    <w:lvl w:ilvl="0" w:tplc="7BE6B064">
      <w:start w:val="1"/>
      <w:numFmt w:val="bullet"/>
      <w:pStyle w:val="Emdash7"/>
      <w:lvlText w:val="—"/>
      <w:lvlJc w:val="left"/>
      <w:pPr>
        <w:tabs>
          <w:tab w:val="num" w:pos="1080"/>
        </w:tabs>
        <w:ind w:left="108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CEA17B2"/>
    <w:multiLevelType w:val="singleLevel"/>
    <w:tmpl w:val="977603AC"/>
    <w:lvl w:ilvl="0">
      <w:numFmt w:val="none"/>
      <w:pStyle w:val="Endash2"/>
      <w:lvlText w:val=""/>
      <w:lvlJc w:val="left"/>
      <w:pPr>
        <w:tabs>
          <w:tab w:val="num" w:pos="1800"/>
        </w:tabs>
        <w:ind w:left="1800" w:hanging="360"/>
      </w:pPr>
      <w:rPr>
        <w:rFonts w:ascii="Symbol" w:hAnsi="Symbol" w:cs="Times New Roman" w:hint="default"/>
      </w:rPr>
    </w:lvl>
  </w:abstractNum>
  <w:abstractNum w:abstractNumId="16" w15:restartNumberingAfterBreak="0">
    <w:nsid w:val="0D9A7E44"/>
    <w:multiLevelType w:val="singleLevel"/>
    <w:tmpl w:val="CF4E6E3E"/>
    <w:lvl w:ilvl="0">
      <w:numFmt w:val="decimal"/>
      <w:pStyle w:val="Bullet12"/>
      <w:lvlText w:val="*"/>
      <w:lvlJc w:val="left"/>
    </w:lvl>
  </w:abstractNum>
  <w:abstractNum w:abstractNumId="17" w15:restartNumberingAfterBreak="0">
    <w:nsid w:val="0D9F3258"/>
    <w:multiLevelType w:val="hybridMultilevel"/>
    <w:tmpl w:val="2E9C82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1ED6637"/>
    <w:multiLevelType w:val="hybridMultilevel"/>
    <w:tmpl w:val="1528F314"/>
    <w:lvl w:ilvl="0" w:tplc="129E93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2753F52"/>
    <w:multiLevelType w:val="hybridMultilevel"/>
    <w:tmpl w:val="A516A6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3850822"/>
    <w:multiLevelType w:val="hybridMultilevel"/>
    <w:tmpl w:val="FFF0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7595F97"/>
    <w:multiLevelType w:val="hybridMultilevel"/>
    <w:tmpl w:val="35EE3A18"/>
    <w:lvl w:ilvl="0" w:tplc="92182B3A">
      <w:start w:val="1"/>
      <w:numFmt w:val="bullet"/>
      <w:pStyle w:val="Table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F953C22"/>
    <w:multiLevelType w:val="hybridMultilevel"/>
    <w:tmpl w:val="2CDAF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FBB777D"/>
    <w:multiLevelType w:val="singleLevel"/>
    <w:tmpl w:val="6B1EC296"/>
    <w:lvl w:ilvl="0">
      <w:start w:val="1"/>
      <w:numFmt w:val="decimal"/>
      <w:pStyle w:val="List"/>
      <w:lvlText w:val="%1."/>
      <w:lvlJc w:val="left"/>
      <w:pPr>
        <w:tabs>
          <w:tab w:val="num" w:pos="720"/>
        </w:tabs>
        <w:ind w:left="720" w:hanging="360"/>
      </w:pPr>
    </w:lvl>
  </w:abstractNum>
  <w:abstractNum w:abstractNumId="24" w15:restartNumberingAfterBreak="0">
    <w:nsid w:val="24C8453B"/>
    <w:multiLevelType w:val="hybridMultilevel"/>
    <w:tmpl w:val="739EDCC0"/>
    <w:lvl w:ilvl="0" w:tplc="674C29D4">
      <w:start w:val="1"/>
      <w:numFmt w:val="bullet"/>
      <w:pStyle w:val="Endash20"/>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5057132"/>
    <w:multiLevelType w:val="hybridMultilevel"/>
    <w:tmpl w:val="6BA043C0"/>
    <w:lvl w:ilvl="0" w:tplc="700C193A">
      <w:start w:val="1"/>
      <w:numFmt w:val="decimal"/>
      <w:pStyle w:val="List1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5126DE5"/>
    <w:multiLevelType w:val="singleLevel"/>
    <w:tmpl w:val="25662776"/>
    <w:lvl w:ilvl="0">
      <w:start w:val="1"/>
      <w:numFmt w:val="bullet"/>
      <w:pStyle w:val="Bullet0"/>
      <w:lvlText w:val=""/>
      <w:lvlJc w:val="left"/>
      <w:pPr>
        <w:tabs>
          <w:tab w:val="num" w:pos="720"/>
        </w:tabs>
        <w:ind w:left="720" w:hanging="720"/>
      </w:pPr>
      <w:rPr>
        <w:rFonts w:ascii="Symbol" w:hAnsi="Symbol" w:hint="default"/>
      </w:rPr>
    </w:lvl>
  </w:abstractNum>
  <w:abstractNum w:abstractNumId="27" w15:restartNumberingAfterBreak="0">
    <w:nsid w:val="266F2F7C"/>
    <w:multiLevelType w:val="hybridMultilevel"/>
    <w:tmpl w:val="8DAA3452"/>
    <w:lvl w:ilvl="0" w:tplc="93886A16">
      <w:start w:val="1"/>
      <w:numFmt w:val="bullet"/>
      <w:pStyle w:val="TableBullet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8E17480"/>
    <w:multiLevelType w:val="hybridMultilevel"/>
    <w:tmpl w:val="4A5ACD1A"/>
    <w:lvl w:ilvl="0" w:tplc="1C9291EA">
      <w:start w:val="1"/>
      <w:numFmt w:val="bullet"/>
      <w:pStyle w:val="Emdash27"/>
      <w:lvlText w:val="—"/>
      <w:lvlJc w:val="left"/>
      <w:pPr>
        <w:tabs>
          <w:tab w:val="num" w:pos="1440"/>
        </w:tabs>
        <w:ind w:left="144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DC762D8"/>
    <w:multiLevelType w:val="hybridMultilevel"/>
    <w:tmpl w:val="AA54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0FB4E60"/>
    <w:multiLevelType w:val="singleLevel"/>
    <w:tmpl w:val="6D8899EC"/>
    <w:lvl w:ilvl="0">
      <w:numFmt w:val="bullet"/>
      <w:pStyle w:val="Endash214"/>
      <w:lvlText w:val="–"/>
      <w:lvlJc w:val="left"/>
      <w:pPr>
        <w:tabs>
          <w:tab w:val="num" w:pos="2448"/>
        </w:tabs>
        <w:ind w:left="2448" w:hanging="576"/>
      </w:pPr>
      <w:rPr>
        <w:rFonts w:ascii="Times New Roman" w:hAnsi="Times New Roman" w:hint="default"/>
      </w:rPr>
    </w:lvl>
  </w:abstractNum>
  <w:abstractNum w:abstractNumId="31" w15:restartNumberingAfterBreak="0">
    <w:nsid w:val="33DA6D7C"/>
    <w:multiLevelType w:val="hybridMultilevel"/>
    <w:tmpl w:val="E4AA0AC4"/>
    <w:lvl w:ilvl="0" w:tplc="6CE639E0">
      <w:start w:val="1"/>
      <w:numFmt w:val="lowerRoman"/>
      <w:lvlText w:val="(%1)"/>
      <w:lvlJc w:val="left"/>
      <w:pPr>
        <w:ind w:left="1304" w:hanging="720"/>
      </w:pPr>
      <w:rPr>
        <w:rFonts w:asciiTheme="minorHAnsi" w:eastAsia="Times New Roman" w:hAnsiTheme="minorHAnsi" w:cstheme="minorHAnsi"/>
      </w:rPr>
    </w:lvl>
    <w:lvl w:ilvl="1" w:tplc="04090019" w:tentative="1">
      <w:start w:val="1"/>
      <w:numFmt w:val="lowerLetter"/>
      <w:lvlText w:val="%2."/>
      <w:lvlJc w:val="left"/>
      <w:pPr>
        <w:ind w:left="1664" w:hanging="360"/>
      </w:pPr>
    </w:lvl>
    <w:lvl w:ilvl="2" w:tplc="0409001B" w:tentative="1">
      <w:start w:val="1"/>
      <w:numFmt w:val="lowerRoman"/>
      <w:lvlText w:val="%3."/>
      <w:lvlJc w:val="right"/>
      <w:pPr>
        <w:ind w:left="2384" w:hanging="180"/>
      </w:pPr>
    </w:lvl>
    <w:lvl w:ilvl="3" w:tplc="0409000F" w:tentative="1">
      <w:start w:val="1"/>
      <w:numFmt w:val="decimal"/>
      <w:lvlText w:val="%4."/>
      <w:lvlJc w:val="left"/>
      <w:pPr>
        <w:ind w:left="3104" w:hanging="360"/>
      </w:pPr>
    </w:lvl>
    <w:lvl w:ilvl="4" w:tplc="04090019" w:tentative="1">
      <w:start w:val="1"/>
      <w:numFmt w:val="lowerLetter"/>
      <w:lvlText w:val="%5."/>
      <w:lvlJc w:val="left"/>
      <w:pPr>
        <w:ind w:left="3824" w:hanging="360"/>
      </w:pPr>
    </w:lvl>
    <w:lvl w:ilvl="5" w:tplc="0409001B" w:tentative="1">
      <w:start w:val="1"/>
      <w:numFmt w:val="lowerRoman"/>
      <w:lvlText w:val="%6."/>
      <w:lvlJc w:val="right"/>
      <w:pPr>
        <w:ind w:left="4544" w:hanging="180"/>
      </w:pPr>
    </w:lvl>
    <w:lvl w:ilvl="6" w:tplc="0409000F" w:tentative="1">
      <w:start w:val="1"/>
      <w:numFmt w:val="decimal"/>
      <w:lvlText w:val="%7."/>
      <w:lvlJc w:val="left"/>
      <w:pPr>
        <w:ind w:left="5264" w:hanging="360"/>
      </w:pPr>
    </w:lvl>
    <w:lvl w:ilvl="7" w:tplc="04090019" w:tentative="1">
      <w:start w:val="1"/>
      <w:numFmt w:val="lowerLetter"/>
      <w:lvlText w:val="%8."/>
      <w:lvlJc w:val="left"/>
      <w:pPr>
        <w:ind w:left="5984" w:hanging="360"/>
      </w:pPr>
    </w:lvl>
    <w:lvl w:ilvl="8" w:tplc="0409001B" w:tentative="1">
      <w:start w:val="1"/>
      <w:numFmt w:val="lowerRoman"/>
      <w:lvlText w:val="%9."/>
      <w:lvlJc w:val="right"/>
      <w:pPr>
        <w:ind w:left="6704" w:hanging="180"/>
      </w:pPr>
    </w:lvl>
  </w:abstractNum>
  <w:abstractNum w:abstractNumId="32" w15:restartNumberingAfterBreak="0">
    <w:nsid w:val="36983116"/>
    <w:multiLevelType w:val="hybridMultilevel"/>
    <w:tmpl w:val="965EFEA8"/>
    <w:lvl w:ilvl="0" w:tplc="8988CE10">
      <w:start w:val="1"/>
      <w:numFmt w:val="bullet"/>
      <w:pStyle w:val="Bullet27"/>
      <w:lvlText w:val=""/>
      <w:lvlJc w:val="left"/>
      <w:pPr>
        <w:tabs>
          <w:tab w:val="num" w:pos="1080"/>
        </w:tabs>
        <w:ind w:left="108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386A772B"/>
    <w:multiLevelType w:val="singleLevel"/>
    <w:tmpl w:val="1C80AD30"/>
    <w:lvl w:ilvl="0">
      <w:start w:val="1"/>
      <w:numFmt w:val="bullet"/>
      <w:pStyle w:val="Endash"/>
      <w:lvlText w:val="–"/>
      <w:lvlJc w:val="left"/>
      <w:pPr>
        <w:ind w:left="1440" w:hanging="360"/>
      </w:pPr>
      <w:rPr>
        <w:rFonts w:ascii="Times New Roman" w:hAnsi="Times New Roman" w:cs="Times New Roman" w:hint="default"/>
      </w:rPr>
    </w:lvl>
  </w:abstractNum>
  <w:abstractNum w:abstractNumId="34" w15:restartNumberingAfterBreak="0">
    <w:nsid w:val="38E27556"/>
    <w:multiLevelType w:val="singleLevel"/>
    <w:tmpl w:val="2048D904"/>
    <w:lvl w:ilvl="0">
      <w:start w:val="1"/>
      <w:numFmt w:val="lowerLetter"/>
      <w:pStyle w:val="List-a14"/>
      <w:lvlText w:val="%1)"/>
      <w:lvlJc w:val="left"/>
      <w:pPr>
        <w:tabs>
          <w:tab w:val="num" w:pos="2448"/>
        </w:tabs>
        <w:ind w:left="2448" w:hanging="576"/>
      </w:pPr>
    </w:lvl>
  </w:abstractNum>
  <w:abstractNum w:abstractNumId="35" w15:restartNumberingAfterBreak="0">
    <w:nsid w:val="3C2346A4"/>
    <w:multiLevelType w:val="singleLevel"/>
    <w:tmpl w:val="03BEEB2A"/>
    <w:lvl w:ilvl="0">
      <w:start w:val="1"/>
      <w:numFmt w:val="decimal"/>
      <w:pStyle w:val="List1"/>
      <w:lvlText w:val="%1)"/>
      <w:lvlJc w:val="left"/>
      <w:pPr>
        <w:tabs>
          <w:tab w:val="num" w:pos="1440"/>
        </w:tabs>
        <w:ind w:left="1440" w:hanging="360"/>
      </w:pPr>
      <w:rPr>
        <w:rFonts w:hint="default"/>
      </w:rPr>
    </w:lvl>
  </w:abstractNum>
  <w:abstractNum w:abstractNumId="36" w15:restartNumberingAfterBreak="0">
    <w:nsid w:val="3CA265FF"/>
    <w:multiLevelType w:val="singleLevel"/>
    <w:tmpl w:val="008413BE"/>
    <w:lvl w:ilvl="0">
      <w:start w:val="1"/>
      <w:numFmt w:val="decimal"/>
      <w:pStyle w:val="List140"/>
      <w:lvlText w:val="%1)"/>
      <w:lvlJc w:val="left"/>
      <w:pPr>
        <w:tabs>
          <w:tab w:val="num" w:pos="1872"/>
        </w:tabs>
        <w:ind w:left="1872" w:hanging="576"/>
      </w:pPr>
    </w:lvl>
  </w:abstractNum>
  <w:abstractNum w:abstractNumId="37" w15:restartNumberingAfterBreak="0">
    <w:nsid w:val="48D30A12"/>
    <w:multiLevelType w:val="hybridMultilevel"/>
    <w:tmpl w:val="8A00A9A6"/>
    <w:lvl w:ilvl="0" w:tplc="E06AD0F0">
      <w:start w:val="1"/>
      <w:numFmt w:val="decimal"/>
      <w:pStyle w:val="TableBulletafteranumber"/>
      <w:lvlText w:val="%1)"/>
      <w:lvlJc w:val="left"/>
      <w:pPr>
        <w:ind w:left="720" w:hanging="360"/>
      </w:pPr>
      <w:rPr>
        <w:rFonts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B3C0789"/>
    <w:multiLevelType w:val="multilevel"/>
    <w:tmpl w:val="4364D6A0"/>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b/>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80"/>
        </w:tabs>
        <w:ind w:left="864" w:hanging="86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4B4F4E45"/>
    <w:multiLevelType w:val="hybridMultilevel"/>
    <w:tmpl w:val="C6D69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BB94BB5"/>
    <w:multiLevelType w:val="singleLevel"/>
    <w:tmpl w:val="92765A1C"/>
    <w:lvl w:ilvl="0">
      <w:start w:val="1"/>
      <w:numFmt w:val="bullet"/>
      <w:pStyle w:val="Bullet14"/>
      <w:lvlText w:val=""/>
      <w:lvlJc w:val="left"/>
      <w:pPr>
        <w:tabs>
          <w:tab w:val="num" w:pos="720"/>
        </w:tabs>
        <w:ind w:left="720" w:hanging="720"/>
      </w:pPr>
      <w:rPr>
        <w:rFonts w:ascii="Symbol" w:hAnsi="Symbol" w:hint="default"/>
      </w:rPr>
    </w:lvl>
  </w:abstractNum>
  <w:abstractNum w:abstractNumId="41" w15:restartNumberingAfterBreak="0">
    <w:nsid w:val="4D4D3BBE"/>
    <w:multiLevelType w:val="singleLevel"/>
    <w:tmpl w:val="92C86E94"/>
    <w:lvl w:ilvl="0">
      <w:start w:val="1"/>
      <w:numFmt w:val="bullet"/>
      <w:pStyle w:val="Endash14"/>
      <w:lvlText w:val="–"/>
      <w:lvlJc w:val="left"/>
      <w:pPr>
        <w:tabs>
          <w:tab w:val="num" w:pos="1296"/>
        </w:tabs>
        <w:ind w:left="1296" w:hanging="576"/>
      </w:pPr>
      <w:rPr>
        <w:rFonts w:ascii="Times New Roman" w:hAnsi="Times New Roman" w:hint="default"/>
      </w:rPr>
    </w:lvl>
  </w:abstractNum>
  <w:abstractNum w:abstractNumId="42" w15:restartNumberingAfterBreak="0">
    <w:nsid w:val="4EBB2EDE"/>
    <w:multiLevelType w:val="hybridMultilevel"/>
    <w:tmpl w:val="90CED770"/>
    <w:lvl w:ilvl="0" w:tplc="A330EF80">
      <w:start w:val="1"/>
      <w:numFmt w:val="bullet"/>
      <w:pStyle w:val="Endash0"/>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4EF13057"/>
    <w:multiLevelType w:val="hybridMultilevel"/>
    <w:tmpl w:val="1F22E0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1126EE7"/>
    <w:multiLevelType w:val="hybridMultilevel"/>
    <w:tmpl w:val="CA942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1E4717F"/>
    <w:multiLevelType w:val="singleLevel"/>
    <w:tmpl w:val="664E335E"/>
    <w:lvl w:ilvl="0">
      <w:start w:val="1"/>
      <w:numFmt w:val="bullet"/>
      <w:pStyle w:val="Bullet214"/>
      <w:lvlText w:val=""/>
      <w:lvlJc w:val="left"/>
      <w:pPr>
        <w:tabs>
          <w:tab w:val="num" w:pos="1872"/>
        </w:tabs>
        <w:ind w:left="1872" w:hanging="576"/>
      </w:pPr>
      <w:rPr>
        <w:rFonts w:ascii="Symbol" w:hAnsi="Symbol" w:hint="default"/>
      </w:rPr>
    </w:lvl>
  </w:abstractNum>
  <w:abstractNum w:abstractNumId="46" w15:restartNumberingAfterBreak="0">
    <w:nsid w:val="531A5395"/>
    <w:multiLevelType w:val="hybridMultilevel"/>
    <w:tmpl w:val="8F42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61D3D"/>
    <w:multiLevelType w:val="hybridMultilevel"/>
    <w:tmpl w:val="00AAB36C"/>
    <w:lvl w:ilvl="0" w:tplc="DE1C947C">
      <w:start w:val="1"/>
      <w:numFmt w:val="bullet"/>
      <w:pStyle w:val="Emdash20"/>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54336005"/>
    <w:multiLevelType w:val="hybridMultilevel"/>
    <w:tmpl w:val="D242D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57E10A4"/>
    <w:multiLevelType w:val="hybridMultilevel"/>
    <w:tmpl w:val="6DBC5B80"/>
    <w:lvl w:ilvl="0" w:tplc="0809001B">
      <w:start w:val="1"/>
      <w:numFmt w:val="bullet"/>
      <w:pStyle w:val="Bullet-Ital0"/>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57E7113F"/>
    <w:multiLevelType w:val="hybridMultilevel"/>
    <w:tmpl w:val="BB426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9491729"/>
    <w:multiLevelType w:val="hybridMultilevel"/>
    <w:tmpl w:val="1CECD882"/>
    <w:lvl w:ilvl="0" w:tplc="6FCC6DA6">
      <w:start w:val="1"/>
      <w:numFmt w:val="bullet"/>
      <w:pStyle w:val="Endash7"/>
      <w:lvlText w:val=""/>
      <w:lvlJc w:val="left"/>
      <w:pPr>
        <w:tabs>
          <w:tab w:val="num" w:pos="1440"/>
        </w:tabs>
        <w:ind w:left="144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5A8450F7"/>
    <w:multiLevelType w:val="hybridMultilevel"/>
    <w:tmpl w:val="D068B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0A61610"/>
    <w:multiLevelType w:val="hybridMultilevel"/>
    <w:tmpl w:val="4762D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4B001F9"/>
    <w:multiLevelType w:val="hybridMultilevel"/>
    <w:tmpl w:val="B77A3750"/>
    <w:lvl w:ilvl="0" w:tplc="50123FDC">
      <w:start w:val="1"/>
      <w:numFmt w:val="bullet"/>
      <w:pStyle w:val="Bullet"/>
      <w:lvlText w:val=""/>
      <w:lvlJc w:val="left"/>
      <w:pPr>
        <w:tabs>
          <w:tab w:val="num" w:pos="2520"/>
        </w:tabs>
        <w:ind w:left="252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535007E"/>
    <w:multiLevelType w:val="hybridMultilevel"/>
    <w:tmpl w:val="36689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6CA2C13"/>
    <w:multiLevelType w:val="hybridMultilevel"/>
    <w:tmpl w:val="43B00F02"/>
    <w:lvl w:ilvl="0" w:tplc="36F4B300">
      <w:start w:val="1"/>
      <w:numFmt w:val="bullet"/>
      <w:pStyle w:val="Endash27"/>
      <w:lvlText w:val=""/>
      <w:lvlJc w:val="left"/>
      <w:pPr>
        <w:tabs>
          <w:tab w:val="num" w:pos="1800"/>
        </w:tabs>
        <w:ind w:left="180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67737930"/>
    <w:multiLevelType w:val="hybridMultilevel"/>
    <w:tmpl w:val="EB629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8BC4293"/>
    <w:multiLevelType w:val="hybridMultilevel"/>
    <w:tmpl w:val="80C2F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A29667F"/>
    <w:multiLevelType w:val="hybridMultilevel"/>
    <w:tmpl w:val="BF6E8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C263230"/>
    <w:multiLevelType w:val="hybridMultilevel"/>
    <w:tmpl w:val="0DD4B9A0"/>
    <w:lvl w:ilvl="0" w:tplc="FCAE56B6">
      <w:start w:val="1"/>
      <w:numFmt w:val="lowerLetter"/>
      <w:pStyle w:val="TableBulleta"/>
      <w:lvlText w:val="(%1)"/>
      <w:lvlJc w:val="left"/>
      <w:pPr>
        <w:ind w:left="720" w:hanging="360"/>
      </w:pPr>
      <w:rPr>
        <w:rFonts w:ascii="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CB8108C"/>
    <w:multiLevelType w:val="hybridMultilevel"/>
    <w:tmpl w:val="0310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FCF1DD6"/>
    <w:multiLevelType w:val="hybridMultilevel"/>
    <w:tmpl w:val="1EA04A2E"/>
    <w:lvl w:ilvl="0" w:tplc="54F0D888">
      <w:start w:val="1"/>
      <w:numFmt w:val="bullet"/>
      <w:pStyle w:val="Emdash0"/>
      <w:lvlText w:val="—"/>
      <w:lvlJc w:val="left"/>
      <w:pPr>
        <w:tabs>
          <w:tab w:val="num" w:pos="1080"/>
        </w:tabs>
        <w:ind w:left="108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73543DC9"/>
    <w:multiLevelType w:val="singleLevel"/>
    <w:tmpl w:val="BBD8BFE6"/>
    <w:lvl w:ilvl="0">
      <w:start w:val="1"/>
      <w:numFmt w:val="bullet"/>
      <w:pStyle w:val="Bullet20"/>
      <w:lvlText w:val=""/>
      <w:lvlJc w:val="left"/>
      <w:pPr>
        <w:tabs>
          <w:tab w:val="num" w:pos="1872"/>
        </w:tabs>
        <w:ind w:left="1872" w:hanging="576"/>
      </w:pPr>
      <w:rPr>
        <w:rFonts w:ascii="Symbol" w:hAnsi="Symbol" w:hint="default"/>
      </w:rPr>
    </w:lvl>
  </w:abstractNum>
  <w:abstractNum w:abstractNumId="64" w15:restartNumberingAfterBreak="0">
    <w:nsid w:val="741F0E61"/>
    <w:multiLevelType w:val="hybridMultilevel"/>
    <w:tmpl w:val="85163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47D2153"/>
    <w:multiLevelType w:val="singleLevel"/>
    <w:tmpl w:val="C9B85094"/>
    <w:lvl w:ilvl="0">
      <w:start w:val="1"/>
      <w:numFmt w:val="lowerLetter"/>
      <w:pStyle w:val="List-a140"/>
      <w:lvlText w:val="%1."/>
      <w:lvlJc w:val="left"/>
      <w:pPr>
        <w:tabs>
          <w:tab w:val="num" w:pos="1296"/>
        </w:tabs>
        <w:ind w:left="1296" w:hanging="576"/>
      </w:pPr>
    </w:lvl>
  </w:abstractNum>
  <w:abstractNum w:abstractNumId="66" w15:restartNumberingAfterBreak="0">
    <w:nsid w:val="7B0F36C7"/>
    <w:multiLevelType w:val="singleLevel"/>
    <w:tmpl w:val="4D86927A"/>
    <w:lvl w:ilvl="0">
      <w:start w:val="1"/>
      <w:numFmt w:val="lowerLetter"/>
      <w:pStyle w:val="List-a0"/>
      <w:lvlText w:val="%1."/>
      <w:lvlJc w:val="left"/>
      <w:pPr>
        <w:tabs>
          <w:tab w:val="num" w:pos="1296"/>
        </w:tabs>
        <w:ind w:left="1296" w:hanging="576"/>
      </w:pPr>
    </w:lvl>
  </w:abstractNum>
  <w:num w:numId="1">
    <w:abstractNumId w:val="41"/>
  </w:num>
  <w:num w:numId="2">
    <w:abstractNumId w:val="38"/>
  </w:num>
  <w:num w:numId="3">
    <w:abstractNumId w:val="11"/>
  </w:num>
  <w:num w:numId="4">
    <w:abstractNumId w:val="65"/>
  </w:num>
  <w:num w:numId="5">
    <w:abstractNumId w:val="66"/>
  </w:num>
  <w:num w:numId="6">
    <w:abstractNumId w:val="30"/>
  </w:num>
  <w:num w:numId="7">
    <w:abstractNumId w:val="36"/>
  </w:num>
  <w:num w:numId="8">
    <w:abstractNumId w:val="34"/>
  </w:num>
  <w:num w:numId="9">
    <w:abstractNumId w:val="16"/>
    <w:lvlOverride w:ilvl="0">
      <w:lvl w:ilvl="0">
        <w:start w:val="1"/>
        <w:numFmt w:val="bullet"/>
        <w:pStyle w:val="Bullet12"/>
        <w:lvlText w:val=""/>
        <w:legacy w:legacy="1" w:legacySpace="0" w:legacyIndent="360"/>
        <w:lvlJc w:val="left"/>
        <w:pPr>
          <w:ind w:left="1440" w:hanging="360"/>
        </w:pPr>
        <w:rPr>
          <w:rFonts w:ascii="Symbol" w:hAnsi="Symbol" w:hint="default"/>
        </w:rPr>
      </w:lvl>
    </w:lvlOverride>
  </w:num>
  <w:num w:numId="10">
    <w:abstractNumId w:val="32"/>
  </w:num>
  <w:num w:numId="11">
    <w:abstractNumId w:val="13"/>
  </w:num>
  <w:num w:numId="12">
    <w:abstractNumId w:val="26"/>
  </w:num>
  <w:num w:numId="13">
    <w:abstractNumId w:val="40"/>
  </w:num>
  <w:num w:numId="14">
    <w:abstractNumId w:val="63"/>
  </w:num>
  <w:num w:numId="15">
    <w:abstractNumId w:val="45"/>
  </w:num>
  <w:num w:numId="16">
    <w:abstractNumId w:val="12"/>
  </w:num>
  <w:num w:numId="17">
    <w:abstractNumId w:val="62"/>
  </w:num>
  <w:num w:numId="18">
    <w:abstractNumId w:val="14"/>
  </w:num>
  <w:num w:numId="19">
    <w:abstractNumId w:val="10"/>
    <w:lvlOverride w:ilvl="0">
      <w:lvl w:ilvl="0">
        <w:start w:val="1"/>
        <w:numFmt w:val="bullet"/>
        <w:pStyle w:val="Emdash2"/>
        <w:lvlText w:val="—"/>
        <w:lvlJc w:val="left"/>
        <w:pPr>
          <w:tabs>
            <w:tab w:val="num" w:pos="1440"/>
          </w:tabs>
          <w:ind w:left="1440" w:hanging="360"/>
        </w:pPr>
        <w:rPr>
          <w:rFonts w:hint="default"/>
        </w:rPr>
      </w:lvl>
    </w:lvlOverride>
  </w:num>
  <w:num w:numId="20">
    <w:abstractNumId w:val="47"/>
  </w:num>
  <w:num w:numId="21">
    <w:abstractNumId w:val="28"/>
  </w:num>
  <w:num w:numId="22">
    <w:abstractNumId w:val="33"/>
  </w:num>
  <w:num w:numId="23">
    <w:abstractNumId w:val="42"/>
  </w:num>
  <w:num w:numId="24">
    <w:abstractNumId w:val="51"/>
  </w:num>
  <w:num w:numId="25">
    <w:abstractNumId w:val="15"/>
  </w:num>
  <w:num w:numId="26">
    <w:abstractNumId w:val="24"/>
  </w:num>
  <w:num w:numId="27">
    <w:abstractNumId w:val="56"/>
  </w:num>
  <w:num w:numId="28">
    <w:abstractNumId w:val="25"/>
  </w:num>
  <w:num w:numId="29">
    <w:abstractNumId w:val="54"/>
  </w:num>
  <w:num w:numId="30">
    <w:abstractNumId w:val="27"/>
  </w:num>
  <w:num w:numId="31">
    <w:abstractNumId w:val="21"/>
  </w:num>
  <w:num w:numId="32">
    <w:abstractNumId w:val="23"/>
  </w:num>
  <w:num w:numId="33">
    <w:abstractNumId w:val="60"/>
  </w:num>
  <w:num w:numId="34">
    <w:abstractNumId w:val="37"/>
  </w:num>
  <w:num w:numId="35">
    <w:abstractNumId w:val="35"/>
  </w:num>
  <w:num w:numId="36">
    <w:abstractNumId w:val="18"/>
  </w:num>
  <w:num w:numId="37">
    <w:abstractNumId w:val="49"/>
  </w:num>
  <w:num w:numId="38">
    <w:abstractNumId w:val="57"/>
  </w:num>
  <w:num w:numId="39">
    <w:abstractNumId w:val="22"/>
  </w:num>
  <w:num w:numId="40">
    <w:abstractNumId w:val="9"/>
  </w:num>
  <w:num w:numId="41">
    <w:abstractNumId w:val="7"/>
  </w:num>
  <w:num w:numId="42">
    <w:abstractNumId w:val="6"/>
  </w:num>
  <w:num w:numId="43">
    <w:abstractNumId w:val="5"/>
  </w:num>
  <w:num w:numId="44">
    <w:abstractNumId w:val="4"/>
  </w:num>
  <w:num w:numId="45">
    <w:abstractNumId w:val="8"/>
  </w:num>
  <w:num w:numId="46">
    <w:abstractNumId w:val="3"/>
  </w:num>
  <w:num w:numId="47">
    <w:abstractNumId w:val="2"/>
  </w:num>
  <w:num w:numId="48">
    <w:abstractNumId w:val="1"/>
  </w:num>
  <w:num w:numId="49">
    <w:abstractNumId w:val="0"/>
  </w:num>
  <w:num w:numId="50">
    <w:abstractNumId w:val="29"/>
  </w:num>
  <w:num w:numId="51">
    <w:abstractNumId w:val="59"/>
  </w:num>
  <w:num w:numId="52">
    <w:abstractNumId w:val="64"/>
  </w:num>
  <w:num w:numId="53">
    <w:abstractNumId w:val="55"/>
  </w:num>
  <w:num w:numId="54">
    <w:abstractNumId w:val="39"/>
  </w:num>
  <w:num w:numId="55">
    <w:abstractNumId w:val="31"/>
  </w:num>
  <w:num w:numId="56">
    <w:abstractNumId w:val="44"/>
  </w:num>
  <w:num w:numId="57">
    <w:abstractNumId w:val="52"/>
  </w:num>
  <w:num w:numId="58">
    <w:abstractNumId w:val="50"/>
  </w:num>
  <w:num w:numId="59">
    <w:abstractNumId w:val="46"/>
  </w:num>
  <w:num w:numId="60">
    <w:abstractNumId w:val="20"/>
  </w:num>
  <w:num w:numId="61">
    <w:abstractNumId w:val="48"/>
  </w:num>
  <w:num w:numId="62">
    <w:abstractNumId w:val="61"/>
  </w:num>
  <w:num w:numId="63">
    <w:abstractNumId w:val="53"/>
  </w:num>
  <w:num w:numId="64">
    <w:abstractNumId w:val="17"/>
  </w:num>
  <w:num w:numId="65">
    <w:abstractNumId w:val="58"/>
  </w:num>
  <w:num w:numId="66">
    <w:abstractNumId w:val="19"/>
  </w:num>
  <w:num w:numId="67">
    <w:abstractNumId w:val="43"/>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documentProtection w:edit="forms" w:enforcement="0"/>
  <w:defaultTabStop w:val="0"/>
  <w:hyphenationZone w:val="425"/>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DC3"/>
    <w:rsid w:val="00000586"/>
    <w:rsid w:val="000005C6"/>
    <w:rsid w:val="000007D4"/>
    <w:rsid w:val="00000DA6"/>
    <w:rsid w:val="00001BA6"/>
    <w:rsid w:val="00001E0A"/>
    <w:rsid w:val="0000223C"/>
    <w:rsid w:val="00002536"/>
    <w:rsid w:val="000026B0"/>
    <w:rsid w:val="00002A1E"/>
    <w:rsid w:val="0000369E"/>
    <w:rsid w:val="00003A7C"/>
    <w:rsid w:val="00003BD6"/>
    <w:rsid w:val="00003C5F"/>
    <w:rsid w:val="0000500D"/>
    <w:rsid w:val="00005127"/>
    <w:rsid w:val="00005AD1"/>
    <w:rsid w:val="00005DD8"/>
    <w:rsid w:val="00005ED2"/>
    <w:rsid w:val="00006427"/>
    <w:rsid w:val="00006D70"/>
    <w:rsid w:val="000071FD"/>
    <w:rsid w:val="000075BB"/>
    <w:rsid w:val="00007CE6"/>
    <w:rsid w:val="0001030B"/>
    <w:rsid w:val="00010403"/>
    <w:rsid w:val="0001066E"/>
    <w:rsid w:val="000108E3"/>
    <w:rsid w:val="00010AF4"/>
    <w:rsid w:val="00010D57"/>
    <w:rsid w:val="00011352"/>
    <w:rsid w:val="000113B9"/>
    <w:rsid w:val="000113FB"/>
    <w:rsid w:val="000118FD"/>
    <w:rsid w:val="00011B97"/>
    <w:rsid w:val="000124FC"/>
    <w:rsid w:val="00012A2A"/>
    <w:rsid w:val="00012E5D"/>
    <w:rsid w:val="00012F59"/>
    <w:rsid w:val="00013029"/>
    <w:rsid w:val="00013039"/>
    <w:rsid w:val="000131B1"/>
    <w:rsid w:val="00013807"/>
    <w:rsid w:val="00013A8C"/>
    <w:rsid w:val="000140ED"/>
    <w:rsid w:val="00014148"/>
    <w:rsid w:val="00014A04"/>
    <w:rsid w:val="00014DC4"/>
    <w:rsid w:val="00014E51"/>
    <w:rsid w:val="0001549E"/>
    <w:rsid w:val="00015667"/>
    <w:rsid w:val="000157F7"/>
    <w:rsid w:val="0001589D"/>
    <w:rsid w:val="00015B0D"/>
    <w:rsid w:val="000169FE"/>
    <w:rsid w:val="000175E3"/>
    <w:rsid w:val="0001788B"/>
    <w:rsid w:val="00017AA7"/>
    <w:rsid w:val="00017B31"/>
    <w:rsid w:val="00017D7D"/>
    <w:rsid w:val="00017F1A"/>
    <w:rsid w:val="00020112"/>
    <w:rsid w:val="0002045A"/>
    <w:rsid w:val="000209F7"/>
    <w:rsid w:val="00020C15"/>
    <w:rsid w:val="00020DBE"/>
    <w:rsid w:val="00020F3D"/>
    <w:rsid w:val="00020FF9"/>
    <w:rsid w:val="00021215"/>
    <w:rsid w:val="00021354"/>
    <w:rsid w:val="00021737"/>
    <w:rsid w:val="00021D99"/>
    <w:rsid w:val="00021F53"/>
    <w:rsid w:val="0002220C"/>
    <w:rsid w:val="00022266"/>
    <w:rsid w:val="00022324"/>
    <w:rsid w:val="000225F2"/>
    <w:rsid w:val="0002283A"/>
    <w:rsid w:val="0002283E"/>
    <w:rsid w:val="00023279"/>
    <w:rsid w:val="00023285"/>
    <w:rsid w:val="000232CA"/>
    <w:rsid w:val="0002346C"/>
    <w:rsid w:val="000236F5"/>
    <w:rsid w:val="000238DD"/>
    <w:rsid w:val="00023EB6"/>
    <w:rsid w:val="00023FEA"/>
    <w:rsid w:val="00024F3D"/>
    <w:rsid w:val="0002505F"/>
    <w:rsid w:val="00025358"/>
    <w:rsid w:val="00025392"/>
    <w:rsid w:val="000253C5"/>
    <w:rsid w:val="00025491"/>
    <w:rsid w:val="000256D0"/>
    <w:rsid w:val="00025CF2"/>
    <w:rsid w:val="00025F5D"/>
    <w:rsid w:val="00025FDB"/>
    <w:rsid w:val="00026316"/>
    <w:rsid w:val="00026651"/>
    <w:rsid w:val="0002670D"/>
    <w:rsid w:val="0002682C"/>
    <w:rsid w:val="00026B17"/>
    <w:rsid w:val="000279D4"/>
    <w:rsid w:val="00027E1C"/>
    <w:rsid w:val="00030115"/>
    <w:rsid w:val="000304DC"/>
    <w:rsid w:val="000306ED"/>
    <w:rsid w:val="00030783"/>
    <w:rsid w:val="00030AB5"/>
    <w:rsid w:val="00030D79"/>
    <w:rsid w:val="00030DAF"/>
    <w:rsid w:val="00031042"/>
    <w:rsid w:val="000319B6"/>
    <w:rsid w:val="00031BF8"/>
    <w:rsid w:val="000321C8"/>
    <w:rsid w:val="00032389"/>
    <w:rsid w:val="00032CB5"/>
    <w:rsid w:val="000335FC"/>
    <w:rsid w:val="00033A35"/>
    <w:rsid w:val="00033EE6"/>
    <w:rsid w:val="000347EE"/>
    <w:rsid w:val="000349C8"/>
    <w:rsid w:val="00034AD2"/>
    <w:rsid w:val="00034BAC"/>
    <w:rsid w:val="00034CFD"/>
    <w:rsid w:val="00034DA6"/>
    <w:rsid w:val="0003507A"/>
    <w:rsid w:val="00035176"/>
    <w:rsid w:val="00035179"/>
    <w:rsid w:val="00035262"/>
    <w:rsid w:val="00035A1B"/>
    <w:rsid w:val="000370F7"/>
    <w:rsid w:val="000371B7"/>
    <w:rsid w:val="000375DB"/>
    <w:rsid w:val="00037F1F"/>
    <w:rsid w:val="00037F3A"/>
    <w:rsid w:val="0004000F"/>
    <w:rsid w:val="000400C2"/>
    <w:rsid w:val="00040126"/>
    <w:rsid w:val="000401D4"/>
    <w:rsid w:val="000402A3"/>
    <w:rsid w:val="00040E81"/>
    <w:rsid w:val="0004119A"/>
    <w:rsid w:val="0004136E"/>
    <w:rsid w:val="00041A60"/>
    <w:rsid w:val="00041AE3"/>
    <w:rsid w:val="00041CA2"/>
    <w:rsid w:val="00042054"/>
    <w:rsid w:val="00042299"/>
    <w:rsid w:val="000423BD"/>
    <w:rsid w:val="000426C7"/>
    <w:rsid w:val="000427DF"/>
    <w:rsid w:val="00042B9F"/>
    <w:rsid w:val="0004346C"/>
    <w:rsid w:val="00043871"/>
    <w:rsid w:val="00043A82"/>
    <w:rsid w:val="00043A9D"/>
    <w:rsid w:val="00043C6B"/>
    <w:rsid w:val="00044468"/>
    <w:rsid w:val="000444B4"/>
    <w:rsid w:val="00044B16"/>
    <w:rsid w:val="00044B74"/>
    <w:rsid w:val="00044DE9"/>
    <w:rsid w:val="000452C4"/>
    <w:rsid w:val="000458AC"/>
    <w:rsid w:val="00045964"/>
    <w:rsid w:val="00045D52"/>
    <w:rsid w:val="00045D76"/>
    <w:rsid w:val="00046089"/>
    <w:rsid w:val="00046395"/>
    <w:rsid w:val="000466A1"/>
    <w:rsid w:val="00047045"/>
    <w:rsid w:val="00047384"/>
    <w:rsid w:val="00047AF9"/>
    <w:rsid w:val="00047BE3"/>
    <w:rsid w:val="00047D20"/>
    <w:rsid w:val="0005027B"/>
    <w:rsid w:val="0005035D"/>
    <w:rsid w:val="00050761"/>
    <w:rsid w:val="0005078E"/>
    <w:rsid w:val="00050B54"/>
    <w:rsid w:val="0005106D"/>
    <w:rsid w:val="00051260"/>
    <w:rsid w:val="0005129A"/>
    <w:rsid w:val="0005129D"/>
    <w:rsid w:val="00051424"/>
    <w:rsid w:val="00051688"/>
    <w:rsid w:val="00051716"/>
    <w:rsid w:val="000517A2"/>
    <w:rsid w:val="00051DBD"/>
    <w:rsid w:val="00051F96"/>
    <w:rsid w:val="000520B4"/>
    <w:rsid w:val="000522D9"/>
    <w:rsid w:val="00052372"/>
    <w:rsid w:val="0005289B"/>
    <w:rsid w:val="00052937"/>
    <w:rsid w:val="00052AD6"/>
    <w:rsid w:val="00052D45"/>
    <w:rsid w:val="00053069"/>
    <w:rsid w:val="00053592"/>
    <w:rsid w:val="000538D1"/>
    <w:rsid w:val="00053AA1"/>
    <w:rsid w:val="00054256"/>
    <w:rsid w:val="00054441"/>
    <w:rsid w:val="0005499F"/>
    <w:rsid w:val="00055986"/>
    <w:rsid w:val="00055D88"/>
    <w:rsid w:val="00056147"/>
    <w:rsid w:val="00056252"/>
    <w:rsid w:val="000563B4"/>
    <w:rsid w:val="0005661A"/>
    <w:rsid w:val="00056AC1"/>
    <w:rsid w:val="000572C8"/>
    <w:rsid w:val="0005740E"/>
    <w:rsid w:val="000574CF"/>
    <w:rsid w:val="000577CC"/>
    <w:rsid w:val="00057B21"/>
    <w:rsid w:val="00057B38"/>
    <w:rsid w:val="00060281"/>
    <w:rsid w:val="000603A2"/>
    <w:rsid w:val="000607EF"/>
    <w:rsid w:val="000609A1"/>
    <w:rsid w:val="00060BED"/>
    <w:rsid w:val="00061282"/>
    <w:rsid w:val="0006145D"/>
    <w:rsid w:val="000614E4"/>
    <w:rsid w:val="000615DB"/>
    <w:rsid w:val="000618AA"/>
    <w:rsid w:val="00061966"/>
    <w:rsid w:val="00061B4B"/>
    <w:rsid w:val="000621F0"/>
    <w:rsid w:val="00062665"/>
    <w:rsid w:val="00062987"/>
    <w:rsid w:val="00062A03"/>
    <w:rsid w:val="00063558"/>
    <w:rsid w:val="00063EFE"/>
    <w:rsid w:val="0006423F"/>
    <w:rsid w:val="00064368"/>
    <w:rsid w:val="000643D2"/>
    <w:rsid w:val="000644F7"/>
    <w:rsid w:val="00064AC0"/>
    <w:rsid w:val="00064B8C"/>
    <w:rsid w:val="00064CFD"/>
    <w:rsid w:val="0006545B"/>
    <w:rsid w:val="000654F4"/>
    <w:rsid w:val="00065814"/>
    <w:rsid w:val="00065987"/>
    <w:rsid w:val="00065C1D"/>
    <w:rsid w:val="00065E2E"/>
    <w:rsid w:val="00065FDB"/>
    <w:rsid w:val="0006659C"/>
    <w:rsid w:val="000667AD"/>
    <w:rsid w:val="00067180"/>
    <w:rsid w:val="000671F4"/>
    <w:rsid w:val="00067B3D"/>
    <w:rsid w:val="00067F8D"/>
    <w:rsid w:val="00070025"/>
    <w:rsid w:val="0007036E"/>
    <w:rsid w:val="000703A8"/>
    <w:rsid w:val="00070F84"/>
    <w:rsid w:val="000711EB"/>
    <w:rsid w:val="000712D3"/>
    <w:rsid w:val="000717B8"/>
    <w:rsid w:val="00072190"/>
    <w:rsid w:val="000721DD"/>
    <w:rsid w:val="000721FD"/>
    <w:rsid w:val="00072714"/>
    <w:rsid w:val="00072849"/>
    <w:rsid w:val="0007293F"/>
    <w:rsid w:val="00072BBD"/>
    <w:rsid w:val="00072DC4"/>
    <w:rsid w:val="00072F4D"/>
    <w:rsid w:val="00072F82"/>
    <w:rsid w:val="00073443"/>
    <w:rsid w:val="000734D9"/>
    <w:rsid w:val="00073ED9"/>
    <w:rsid w:val="000744EF"/>
    <w:rsid w:val="0007480A"/>
    <w:rsid w:val="00074A0C"/>
    <w:rsid w:val="00074AD5"/>
    <w:rsid w:val="00074BFB"/>
    <w:rsid w:val="000750FC"/>
    <w:rsid w:val="000754BE"/>
    <w:rsid w:val="000755C8"/>
    <w:rsid w:val="00075750"/>
    <w:rsid w:val="00075FAF"/>
    <w:rsid w:val="000760E7"/>
    <w:rsid w:val="000761CD"/>
    <w:rsid w:val="00076210"/>
    <w:rsid w:val="0007689C"/>
    <w:rsid w:val="00076B42"/>
    <w:rsid w:val="00076F66"/>
    <w:rsid w:val="000770DB"/>
    <w:rsid w:val="00077103"/>
    <w:rsid w:val="00077771"/>
    <w:rsid w:val="00077A0C"/>
    <w:rsid w:val="00077ABD"/>
    <w:rsid w:val="00077C9D"/>
    <w:rsid w:val="00080201"/>
    <w:rsid w:val="00080360"/>
    <w:rsid w:val="000805F3"/>
    <w:rsid w:val="0008072A"/>
    <w:rsid w:val="00080C8F"/>
    <w:rsid w:val="00080D5F"/>
    <w:rsid w:val="00080FDD"/>
    <w:rsid w:val="000814C9"/>
    <w:rsid w:val="0008169F"/>
    <w:rsid w:val="000817F2"/>
    <w:rsid w:val="00081CDB"/>
    <w:rsid w:val="000820C8"/>
    <w:rsid w:val="00082E7A"/>
    <w:rsid w:val="00083379"/>
    <w:rsid w:val="00083DB1"/>
    <w:rsid w:val="00083DC2"/>
    <w:rsid w:val="000841BD"/>
    <w:rsid w:val="00084592"/>
    <w:rsid w:val="0008481A"/>
    <w:rsid w:val="0008494C"/>
    <w:rsid w:val="00084D56"/>
    <w:rsid w:val="00084E4B"/>
    <w:rsid w:val="00084F2A"/>
    <w:rsid w:val="000857DF"/>
    <w:rsid w:val="0008609C"/>
    <w:rsid w:val="000862F8"/>
    <w:rsid w:val="00086464"/>
    <w:rsid w:val="000868E9"/>
    <w:rsid w:val="00086DEF"/>
    <w:rsid w:val="00086EB7"/>
    <w:rsid w:val="000871DB"/>
    <w:rsid w:val="0008758A"/>
    <w:rsid w:val="00087898"/>
    <w:rsid w:val="00087D22"/>
    <w:rsid w:val="000900B4"/>
    <w:rsid w:val="000904BB"/>
    <w:rsid w:val="000908E4"/>
    <w:rsid w:val="00090BA8"/>
    <w:rsid w:val="00090BAA"/>
    <w:rsid w:val="000914F7"/>
    <w:rsid w:val="000916CC"/>
    <w:rsid w:val="00091884"/>
    <w:rsid w:val="00091AB7"/>
    <w:rsid w:val="00091DC7"/>
    <w:rsid w:val="000922E8"/>
    <w:rsid w:val="00092556"/>
    <w:rsid w:val="0009271B"/>
    <w:rsid w:val="000928B2"/>
    <w:rsid w:val="0009352B"/>
    <w:rsid w:val="00093A3D"/>
    <w:rsid w:val="00093B11"/>
    <w:rsid w:val="0009452A"/>
    <w:rsid w:val="00094E3C"/>
    <w:rsid w:val="00094F8E"/>
    <w:rsid w:val="0009567D"/>
    <w:rsid w:val="00095A19"/>
    <w:rsid w:val="00095CA6"/>
    <w:rsid w:val="00095F11"/>
    <w:rsid w:val="00095F44"/>
    <w:rsid w:val="00095F70"/>
    <w:rsid w:val="000962D8"/>
    <w:rsid w:val="00096D49"/>
    <w:rsid w:val="00097328"/>
    <w:rsid w:val="0009736F"/>
    <w:rsid w:val="00097384"/>
    <w:rsid w:val="000973A9"/>
    <w:rsid w:val="000973F4"/>
    <w:rsid w:val="0009742F"/>
    <w:rsid w:val="000976AC"/>
    <w:rsid w:val="000978D1"/>
    <w:rsid w:val="00097DDC"/>
    <w:rsid w:val="000A029D"/>
    <w:rsid w:val="000A0343"/>
    <w:rsid w:val="000A066E"/>
    <w:rsid w:val="000A0D01"/>
    <w:rsid w:val="000A11C2"/>
    <w:rsid w:val="000A1954"/>
    <w:rsid w:val="000A1A35"/>
    <w:rsid w:val="000A1E0E"/>
    <w:rsid w:val="000A22C6"/>
    <w:rsid w:val="000A349E"/>
    <w:rsid w:val="000A3A85"/>
    <w:rsid w:val="000A3CE9"/>
    <w:rsid w:val="000A413E"/>
    <w:rsid w:val="000A4786"/>
    <w:rsid w:val="000A4A36"/>
    <w:rsid w:val="000A4C76"/>
    <w:rsid w:val="000A4F1B"/>
    <w:rsid w:val="000A552E"/>
    <w:rsid w:val="000A5DC2"/>
    <w:rsid w:val="000A5DE7"/>
    <w:rsid w:val="000A6738"/>
    <w:rsid w:val="000A6AB0"/>
    <w:rsid w:val="000A7B5D"/>
    <w:rsid w:val="000B0313"/>
    <w:rsid w:val="000B0EB8"/>
    <w:rsid w:val="000B12D9"/>
    <w:rsid w:val="000B131E"/>
    <w:rsid w:val="000B217C"/>
    <w:rsid w:val="000B23B6"/>
    <w:rsid w:val="000B24D6"/>
    <w:rsid w:val="000B2863"/>
    <w:rsid w:val="000B2D16"/>
    <w:rsid w:val="000B2DCF"/>
    <w:rsid w:val="000B33DB"/>
    <w:rsid w:val="000B3B62"/>
    <w:rsid w:val="000B49B9"/>
    <w:rsid w:val="000B4A1C"/>
    <w:rsid w:val="000B4CFA"/>
    <w:rsid w:val="000B5695"/>
    <w:rsid w:val="000B6505"/>
    <w:rsid w:val="000B6A2E"/>
    <w:rsid w:val="000B6EA5"/>
    <w:rsid w:val="000B6F11"/>
    <w:rsid w:val="000B732D"/>
    <w:rsid w:val="000B73F3"/>
    <w:rsid w:val="000B753E"/>
    <w:rsid w:val="000B75CA"/>
    <w:rsid w:val="000B7961"/>
    <w:rsid w:val="000B79F0"/>
    <w:rsid w:val="000B7B62"/>
    <w:rsid w:val="000C016A"/>
    <w:rsid w:val="000C0675"/>
    <w:rsid w:val="000C07C7"/>
    <w:rsid w:val="000C0D54"/>
    <w:rsid w:val="000C10F1"/>
    <w:rsid w:val="000C115C"/>
    <w:rsid w:val="000C1404"/>
    <w:rsid w:val="000C1685"/>
    <w:rsid w:val="000C1865"/>
    <w:rsid w:val="000C2346"/>
    <w:rsid w:val="000C2460"/>
    <w:rsid w:val="000C2505"/>
    <w:rsid w:val="000C2607"/>
    <w:rsid w:val="000C2896"/>
    <w:rsid w:val="000C2A5E"/>
    <w:rsid w:val="000C2E00"/>
    <w:rsid w:val="000C3033"/>
    <w:rsid w:val="000C37F6"/>
    <w:rsid w:val="000C3C47"/>
    <w:rsid w:val="000C3D51"/>
    <w:rsid w:val="000C3F46"/>
    <w:rsid w:val="000C4DB6"/>
    <w:rsid w:val="000C4F65"/>
    <w:rsid w:val="000C4F9F"/>
    <w:rsid w:val="000C505D"/>
    <w:rsid w:val="000C5993"/>
    <w:rsid w:val="000C5A0E"/>
    <w:rsid w:val="000C6BEC"/>
    <w:rsid w:val="000C717A"/>
    <w:rsid w:val="000C71DB"/>
    <w:rsid w:val="000C71F5"/>
    <w:rsid w:val="000C73C8"/>
    <w:rsid w:val="000C78E5"/>
    <w:rsid w:val="000D0329"/>
    <w:rsid w:val="000D04D9"/>
    <w:rsid w:val="000D0543"/>
    <w:rsid w:val="000D05C7"/>
    <w:rsid w:val="000D0962"/>
    <w:rsid w:val="000D0B5D"/>
    <w:rsid w:val="000D0EAB"/>
    <w:rsid w:val="000D1264"/>
    <w:rsid w:val="000D128B"/>
    <w:rsid w:val="000D14C6"/>
    <w:rsid w:val="000D154B"/>
    <w:rsid w:val="000D160D"/>
    <w:rsid w:val="000D18AE"/>
    <w:rsid w:val="000D1B17"/>
    <w:rsid w:val="000D1B59"/>
    <w:rsid w:val="000D1D32"/>
    <w:rsid w:val="000D1DCB"/>
    <w:rsid w:val="000D2147"/>
    <w:rsid w:val="000D237F"/>
    <w:rsid w:val="000D26BF"/>
    <w:rsid w:val="000D2959"/>
    <w:rsid w:val="000D3099"/>
    <w:rsid w:val="000D34EF"/>
    <w:rsid w:val="000D39D6"/>
    <w:rsid w:val="000D3AD5"/>
    <w:rsid w:val="000D3B75"/>
    <w:rsid w:val="000D3C45"/>
    <w:rsid w:val="000D3D57"/>
    <w:rsid w:val="000D3DB0"/>
    <w:rsid w:val="000D42EF"/>
    <w:rsid w:val="000D4914"/>
    <w:rsid w:val="000D494C"/>
    <w:rsid w:val="000D49B4"/>
    <w:rsid w:val="000D540E"/>
    <w:rsid w:val="000D5E4D"/>
    <w:rsid w:val="000D5EEC"/>
    <w:rsid w:val="000D5F46"/>
    <w:rsid w:val="000D6105"/>
    <w:rsid w:val="000D62A4"/>
    <w:rsid w:val="000D6819"/>
    <w:rsid w:val="000D6B62"/>
    <w:rsid w:val="000D6F86"/>
    <w:rsid w:val="000D70CD"/>
    <w:rsid w:val="000D73EB"/>
    <w:rsid w:val="000D75E6"/>
    <w:rsid w:val="000D7687"/>
    <w:rsid w:val="000D7A6C"/>
    <w:rsid w:val="000D7BE6"/>
    <w:rsid w:val="000E091B"/>
    <w:rsid w:val="000E0C6E"/>
    <w:rsid w:val="000E0E72"/>
    <w:rsid w:val="000E17EC"/>
    <w:rsid w:val="000E199B"/>
    <w:rsid w:val="000E1A6A"/>
    <w:rsid w:val="000E1B36"/>
    <w:rsid w:val="000E1DD6"/>
    <w:rsid w:val="000E24A8"/>
    <w:rsid w:val="000E27E8"/>
    <w:rsid w:val="000E2AF6"/>
    <w:rsid w:val="000E31A3"/>
    <w:rsid w:val="000E32E4"/>
    <w:rsid w:val="000E33B0"/>
    <w:rsid w:val="000E3517"/>
    <w:rsid w:val="000E3866"/>
    <w:rsid w:val="000E3FBB"/>
    <w:rsid w:val="000E4009"/>
    <w:rsid w:val="000E4085"/>
    <w:rsid w:val="000E4267"/>
    <w:rsid w:val="000E43BE"/>
    <w:rsid w:val="000E444C"/>
    <w:rsid w:val="000E479B"/>
    <w:rsid w:val="000E51E9"/>
    <w:rsid w:val="000E5B47"/>
    <w:rsid w:val="000E5C22"/>
    <w:rsid w:val="000E60D4"/>
    <w:rsid w:val="000E7538"/>
    <w:rsid w:val="000E7611"/>
    <w:rsid w:val="000E7C21"/>
    <w:rsid w:val="000E7D0F"/>
    <w:rsid w:val="000F0093"/>
    <w:rsid w:val="000F0161"/>
    <w:rsid w:val="000F0179"/>
    <w:rsid w:val="000F0530"/>
    <w:rsid w:val="000F0889"/>
    <w:rsid w:val="000F0DC5"/>
    <w:rsid w:val="000F1681"/>
    <w:rsid w:val="000F16ED"/>
    <w:rsid w:val="000F1984"/>
    <w:rsid w:val="000F1D53"/>
    <w:rsid w:val="000F1E46"/>
    <w:rsid w:val="000F1EC1"/>
    <w:rsid w:val="000F1FFD"/>
    <w:rsid w:val="000F233A"/>
    <w:rsid w:val="000F24E8"/>
    <w:rsid w:val="000F29BA"/>
    <w:rsid w:val="000F36B2"/>
    <w:rsid w:val="000F3B4D"/>
    <w:rsid w:val="000F3C48"/>
    <w:rsid w:val="000F3F22"/>
    <w:rsid w:val="000F40DB"/>
    <w:rsid w:val="000F4299"/>
    <w:rsid w:val="000F46F3"/>
    <w:rsid w:val="000F4A72"/>
    <w:rsid w:val="000F4C28"/>
    <w:rsid w:val="000F4C80"/>
    <w:rsid w:val="000F5100"/>
    <w:rsid w:val="000F56AE"/>
    <w:rsid w:val="000F5847"/>
    <w:rsid w:val="000F5B00"/>
    <w:rsid w:val="000F624E"/>
    <w:rsid w:val="000F62A0"/>
    <w:rsid w:val="000F6735"/>
    <w:rsid w:val="000F6A5A"/>
    <w:rsid w:val="000F6BED"/>
    <w:rsid w:val="000F6F77"/>
    <w:rsid w:val="000F7A11"/>
    <w:rsid w:val="000F7A8B"/>
    <w:rsid w:val="000F7FC0"/>
    <w:rsid w:val="00100A7E"/>
    <w:rsid w:val="00100E2C"/>
    <w:rsid w:val="00101384"/>
    <w:rsid w:val="00101387"/>
    <w:rsid w:val="00101816"/>
    <w:rsid w:val="00101D97"/>
    <w:rsid w:val="0010239A"/>
    <w:rsid w:val="001024A7"/>
    <w:rsid w:val="00102BCB"/>
    <w:rsid w:val="00102ED7"/>
    <w:rsid w:val="00103071"/>
    <w:rsid w:val="00103617"/>
    <w:rsid w:val="00103951"/>
    <w:rsid w:val="00103B18"/>
    <w:rsid w:val="00103B2B"/>
    <w:rsid w:val="00103C45"/>
    <w:rsid w:val="001040A2"/>
    <w:rsid w:val="001042F2"/>
    <w:rsid w:val="0010447A"/>
    <w:rsid w:val="0010450C"/>
    <w:rsid w:val="001045C5"/>
    <w:rsid w:val="0010468D"/>
    <w:rsid w:val="00104739"/>
    <w:rsid w:val="0010487A"/>
    <w:rsid w:val="00104AC5"/>
    <w:rsid w:val="00104EBA"/>
    <w:rsid w:val="001053C4"/>
    <w:rsid w:val="00105431"/>
    <w:rsid w:val="0010545A"/>
    <w:rsid w:val="0010545D"/>
    <w:rsid w:val="00105501"/>
    <w:rsid w:val="001059F0"/>
    <w:rsid w:val="00105ACF"/>
    <w:rsid w:val="00107359"/>
    <w:rsid w:val="00107E00"/>
    <w:rsid w:val="001103E5"/>
    <w:rsid w:val="0011069A"/>
    <w:rsid w:val="00110A9D"/>
    <w:rsid w:val="00110FE1"/>
    <w:rsid w:val="0011163D"/>
    <w:rsid w:val="00111DAF"/>
    <w:rsid w:val="0011202A"/>
    <w:rsid w:val="0011219F"/>
    <w:rsid w:val="00112362"/>
    <w:rsid w:val="0011293F"/>
    <w:rsid w:val="0011294F"/>
    <w:rsid w:val="00112CB6"/>
    <w:rsid w:val="00112E0A"/>
    <w:rsid w:val="001131E4"/>
    <w:rsid w:val="001132F2"/>
    <w:rsid w:val="001133E6"/>
    <w:rsid w:val="0011340C"/>
    <w:rsid w:val="00113714"/>
    <w:rsid w:val="00114CCE"/>
    <w:rsid w:val="001150DC"/>
    <w:rsid w:val="00115129"/>
    <w:rsid w:val="00115655"/>
    <w:rsid w:val="00115697"/>
    <w:rsid w:val="00115B8C"/>
    <w:rsid w:val="0011618F"/>
    <w:rsid w:val="001161F3"/>
    <w:rsid w:val="00116491"/>
    <w:rsid w:val="0011654D"/>
    <w:rsid w:val="001165D0"/>
    <w:rsid w:val="00116A1C"/>
    <w:rsid w:val="00116CE0"/>
    <w:rsid w:val="00116DF4"/>
    <w:rsid w:val="001173FA"/>
    <w:rsid w:val="001179DA"/>
    <w:rsid w:val="001179E9"/>
    <w:rsid w:val="00120885"/>
    <w:rsid w:val="00120C8C"/>
    <w:rsid w:val="00120F2D"/>
    <w:rsid w:val="001210CE"/>
    <w:rsid w:val="00121245"/>
    <w:rsid w:val="001212D0"/>
    <w:rsid w:val="00121427"/>
    <w:rsid w:val="00121814"/>
    <w:rsid w:val="001219F2"/>
    <w:rsid w:val="00121CD2"/>
    <w:rsid w:val="00121F81"/>
    <w:rsid w:val="00121F88"/>
    <w:rsid w:val="00122562"/>
    <w:rsid w:val="0012256D"/>
    <w:rsid w:val="00122777"/>
    <w:rsid w:val="001228C1"/>
    <w:rsid w:val="00122AEE"/>
    <w:rsid w:val="001234FE"/>
    <w:rsid w:val="001235D0"/>
    <w:rsid w:val="00123E8E"/>
    <w:rsid w:val="0012415C"/>
    <w:rsid w:val="00124ABE"/>
    <w:rsid w:val="00124B68"/>
    <w:rsid w:val="00124C19"/>
    <w:rsid w:val="00124CFD"/>
    <w:rsid w:val="00124EA1"/>
    <w:rsid w:val="00124FF2"/>
    <w:rsid w:val="00125413"/>
    <w:rsid w:val="0012578A"/>
    <w:rsid w:val="00125820"/>
    <w:rsid w:val="00125AC7"/>
    <w:rsid w:val="00125D06"/>
    <w:rsid w:val="001267BA"/>
    <w:rsid w:val="001267E5"/>
    <w:rsid w:val="00126858"/>
    <w:rsid w:val="00126FC4"/>
    <w:rsid w:val="00127615"/>
    <w:rsid w:val="001277B0"/>
    <w:rsid w:val="00130003"/>
    <w:rsid w:val="00130A1B"/>
    <w:rsid w:val="00130A79"/>
    <w:rsid w:val="00130A83"/>
    <w:rsid w:val="00130B15"/>
    <w:rsid w:val="00130D75"/>
    <w:rsid w:val="001311DB"/>
    <w:rsid w:val="0013175D"/>
    <w:rsid w:val="00131A82"/>
    <w:rsid w:val="00131E69"/>
    <w:rsid w:val="001325ED"/>
    <w:rsid w:val="00132971"/>
    <w:rsid w:val="00132D61"/>
    <w:rsid w:val="00132F10"/>
    <w:rsid w:val="0013310C"/>
    <w:rsid w:val="001331CB"/>
    <w:rsid w:val="0013330E"/>
    <w:rsid w:val="001338F0"/>
    <w:rsid w:val="001338FC"/>
    <w:rsid w:val="001339B1"/>
    <w:rsid w:val="00133CEC"/>
    <w:rsid w:val="00133D3D"/>
    <w:rsid w:val="001347C4"/>
    <w:rsid w:val="00134A9C"/>
    <w:rsid w:val="00134ED9"/>
    <w:rsid w:val="00135783"/>
    <w:rsid w:val="001358F6"/>
    <w:rsid w:val="00135A7A"/>
    <w:rsid w:val="00135C9A"/>
    <w:rsid w:val="00135CCA"/>
    <w:rsid w:val="00135F33"/>
    <w:rsid w:val="001360F3"/>
    <w:rsid w:val="0013674B"/>
    <w:rsid w:val="001367E9"/>
    <w:rsid w:val="0013712D"/>
    <w:rsid w:val="001374CA"/>
    <w:rsid w:val="0013760C"/>
    <w:rsid w:val="001378FA"/>
    <w:rsid w:val="00137B75"/>
    <w:rsid w:val="00137DFD"/>
    <w:rsid w:val="00140173"/>
    <w:rsid w:val="001403B9"/>
    <w:rsid w:val="00140465"/>
    <w:rsid w:val="0014053D"/>
    <w:rsid w:val="0014054B"/>
    <w:rsid w:val="00140877"/>
    <w:rsid w:val="001409C3"/>
    <w:rsid w:val="00140A19"/>
    <w:rsid w:val="00140DC7"/>
    <w:rsid w:val="00140E61"/>
    <w:rsid w:val="00140EA8"/>
    <w:rsid w:val="001410E3"/>
    <w:rsid w:val="00141111"/>
    <w:rsid w:val="00141D1B"/>
    <w:rsid w:val="00141E04"/>
    <w:rsid w:val="00141F7A"/>
    <w:rsid w:val="001427A4"/>
    <w:rsid w:val="0014294B"/>
    <w:rsid w:val="00142BFC"/>
    <w:rsid w:val="00142D57"/>
    <w:rsid w:val="00142F3E"/>
    <w:rsid w:val="00143385"/>
    <w:rsid w:val="001434ED"/>
    <w:rsid w:val="001437A1"/>
    <w:rsid w:val="001437AF"/>
    <w:rsid w:val="00144010"/>
    <w:rsid w:val="00144311"/>
    <w:rsid w:val="001444FA"/>
    <w:rsid w:val="00144C99"/>
    <w:rsid w:val="00144D8C"/>
    <w:rsid w:val="00146063"/>
    <w:rsid w:val="001462CC"/>
    <w:rsid w:val="00146727"/>
    <w:rsid w:val="00146B4D"/>
    <w:rsid w:val="00146CC0"/>
    <w:rsid w:val="00146D02"/>
    <w:rsid w:val="00146DFE"/>
    <w:rsid w:val="00147319"/>
    <w:rsid w:val="00147B59"/>
    <w:rsid w:val="00147BDF"/>
    <w:rsid w:val="00147D54"/>
    <w:rsid w:val="00150003"/>
    <w:rsid w:val="0015127D"/>
    <w:rsid w:val="001515FF"/>
    <w:rsid w:val="001519AD"/>
    <w:rsid w:val="00151A80"/>
    <w:rsid w:val="00151B02"/>
    <w:rsid w:val="00151DDC"/>
    <w:rsid w:val="0015212A"/>
    <w:rsid w:val="00152302"/>
    <w:rsid w:val="00152CB8"/>
    <w:rsid w:val="00152D60"/>
    <w:rsid w:val="001531C6"/>
    <w:rsid w:val="0015361A"/>
    <w:rsid w:val="001539E9"/>
    <w:rsid w:val="00153AD2"/>
    <w:rsid w:val="00153DE2"/>
    <w:rsid w:val="0015401F"/>
    <w:rsid w:val="00154499"/>
    <w:rsid w:val="001544E5"/>
    <w:rsid w:val="0015453E"/>
    <w:rsid w:val="001545EF"/>
    <w:rsid w:val="00154778"/>
    <w:rsid w:val="0015493A"/>
    <w:rsid w:val="00154CFA"/>
    <w:rsid w:val="00154F2C"/>
    <w:rsid w:val="00154FFA"/>
    <w:rsid w:val="001555AC"/>
    <w:rsid w:val="00155BB6"/>
    <w:rsid w:val="00155CF3"/>
    <w:rsid w:val="0015613F"/>
    <w:rsid w:val="001561FF"/>
    <w:rsid w:val="001563AD"/>
    <w:rsid w:val="0015653D"/>
    <w:rsid w:val="0015671F"/>
    <w:rsid w:val="00157236"/>
    <w:rsid w:val="0015782A"/>
    <w:rsid w:val="001579F3"/>
    <w:rsid w:val="00157F5E"/>
    <w:rsid w:val="001600FA"/>
    <w:rsid w:val="001602ED"/>
    <w:rsid w:val="00160334"/>
    <w:rsid w:val="00160B9F"/>
    <w:rsid w:val="00160BF0"/>
    <w:rsid w:val="00160C16"/>
    <w:rsid w:val="00160FAE"/>
    <w:rsid w:val="00161261"/>
    <w:rsid w:val="00161EA5"/>
    <w:rsid w:val="00162218"/>
    <w:rsid w:val="001622A1"/>
    <w:rsid w:val="001622A4"/>
    <w:rsid w:val="00162665"/>
    <w:rsid w:val="0016267F"/>
    <w:rsid w:val="00162965"/>
    <w:rsid w:val="001633AF"/>
    <w:rsid w:val="001638E6"/>
    <w:rsid w:val="00163935"/>
    <w:rsid w:val="00163940"/>
    <w:rsid w:val="00163AD0"/>
    <w:rsid w:val="00163CD7"/>
    <w:rsid w:val="001643BC"/>
    <w:rsid w:val="00164521"/>
    <w:rsid w:val="001646D0"/>
    <w:rsid w:val="00164D78"/>
    <w:rsid w:val="00164DFF"/>
    <w:rsid w:val="00164E87"/>
    <w:rsid w:val="00164FF5"/>
    <w:rsid w:val="001650E7"/>
    <w:rsid w:val="0016526F"/>
    <w:rsid w:val="001653EA"/>
    <w:rsid w:val="0016556D"/>
    <w:rsid w:val="00165832"/>
    <w:rsid w:val="00166082"/>
    <w:rsid w:val="001669AD"/>
    <w:rsid w:val="00166ABE"/>
    <w:rsid w:val="00166C69"/>
    <w:rsid w:val="00166CE4"/>
    <w:rsid w:val="00166DF8"/>
    <w:rsid w:val="0016786D"/>
    <w:rsid w:val="001679BE"/>
    <w:rsid w:val="00167C84"/>
    <w:rsid w:val="00167DB9"/>
    <w:rsid w:val="001701DB"/>
    <w:rsid w:val="001703BD"/>
    <w:rsid w:val="0017084B"/>
    <w:rsid w:val="00170966"/>
    <w:rsid w:val="001709C7"/>
    <w:rsid w:val="00170EC7"/>
    <w:rsid w:val="00170FA3"/>
    <w:rsid w:val="001717D0"/>
    <w:rsid w:val="00171978"/>
    <w:rsid w:val="00171A34"/>
    <w:rsid w:val="00171B9F"/>
    <w:rsid w:val="00171C25"/>
    <w:rsid w:val="00171FD3"/>
    <w:rsid w:val="00172781"/>
    <w:rsid w:val="00172990"/>
    <w:rsid w:val="00172AC9"/>
    <w:rsid w:val="00173232"/>
    <w:rsid w:val="001733A9"/>
    <w:rsid w:val="001738B7"/>
    <w:rsid w:val="00173AB5"/>
    <w:rsid w:val="00173EE3"/>
    <w:rsid w:val="00173FCE"/>
    <w:rsid w:val="00174262"/>
    <w:rsid w:val="001749B3"/>
    <w:rsid w:val="00174F4F"/>
    <w:rsid w:val="00175080"/>
    <w:rsid w:val="0017526D"/>
    <w:rsid w:val="0017539F"/>
    <w:rsid w:val="00175536"/>
    <w:rsid w:val="00175593"/>
    <w:rsid w:val="00175C77"/>
    <w:rsid w:val="00175F64"/>
    <w:rsid w:val="001761EC"/>
    <w:rsid w:val="00176437"/>
    <w:rsid w:val="001765C9"/>
    <w:rsid w:val="00176646"/>
    <w:rsid w:val="001767C9"/>
    <w:rsid w:val="0017780B"/>
    <w:rsid w:val="00180A20"/>
    <w:rsid w:val="00180E11"/>
    <w:rsid w:val="00180F16"/>
    <w:rsid w:val="00180F27"/>
    <w:rsid w:val="001815E0"/>
    <w:rsid w:val="0018166F"/>
    <w:rsid w:val="0018182C"/>
    <w:rsid w:val="00181FEB"/>
    <w:rsid w:val="001822C1"/>
    <w:rsid w:val="001825C7"/>
    <w:rsid w:val="001838D7"/>
    <w:rsid w:val="00183E0C"/>
    <w:rsid w:val="00183E81"/>
    <w:rsid w:val="001842A8"/>
    <w:rsid w:val="001842C3"/>
    <w:rsid w:val="00184404"/>
    <w:rsid w:val="001844EF"/>
    <w:rsid w:val="00184613"/>
    <w:rsid w:val="001846E2"/>
    <w:rsid w:val="00184A3D"/>
    <w:rsid w:val="00184B40"/>
    <w:rsid w:val="00184CF8"/>
    <w:rsid w:val="001852C8"/>
    <w:rsid w:val="001853AB"/>
    <w:rsid w:val="00185671"/>
    <w:rsid w:val="001857E0"/>
    <w:rsid w:val="00185BEA"/>
    <w:rsid w:val="00185EA5"/>
    <w:rsid w:val="001861FD"/>
    <w:rsid w:val="001863E6"/>
    <w:rsid w:val="001866FB"/>
    <w:rsid w:val="00186D63"/>
    <w:rsid w:val="00186F2A"/>
    <w:rsid w:val="00187E66"/>
    <w:rsid w:val="00190077"/>
    <w:rsid w:val="001900D7"/>
    <w:rsid w:val="0019038E"/>
    <w:rsid w:val="001906DC"/>
    <w:rsid w:val="00190A84"/>
    <w:rsid w:val="00190D0E"/>
    <w:rsid w:val="00190D84"/>
    <w:rsid w:val="00191507"/>
    <w:rsid w:val="00191A34"/>
    <w:rsid w:val="00192A4C"/>
    <w:rsid w:val="00192C62"/>
    <w:rsid w:val="00192C72"/>
    <w:rsid w:val="00192F1E"/>
    <w:rsid w:val="00192FD5"/>
    <w:rsid w:val="0019326D"/>
    <w:rsid w:val="0019359E"/>
    <w:rsid w:val="0019382B"/>
    <w:rsid w:val="00193888"/>
    <w:rsid w:val="001938DD"/>
    <w:rsid w:val="0019397A"/>
    <w:rsid w:val="00193C64"/>
    <w:rsid w:val="00193F38"/>
    <w:rsid w:val="00194D10"/>
    <w:rsid w:val="001955E3"/>
    <w:rsid w:val="00195BA7"/>
    <w:rsid w:val="00195F23"/>
    <w:rsid w:val="0019661F"/>
    <w:rsid w:val="00196657"/>
    <w:rsid w:val="001967FE"/>
    <w:rsid w:val="00196956"/>
    <w:rsid w:val="00196D67"/>
    <w:rsid w:val="0019707D"/>
    <w:rsid w:val="001970F0"/>
    <w:rsid w:val="001976BC"/>
    <w:rsid w:val="0019781A"/>
    <w:rsid w:val="001A01A0"/>
    <w:rsid w:val="001A01AF"/>
    <w:rsid w:val="001A03E6"/>
    <w:rsid w:val="001A07A4"/>
    <w:rsid w:val="001A0925"/>
    <w:rsid w:val="001A0A9B"/>
    <w:rsid w:val="001A0CAC"/>
    <w:rsid w:val="001A0FFA"/>
    <w:rsid w:val="001A1498"/>
    <w:rsid w:val="001A19C3"/>
    <w:rsid w:val="001A2002"/>
    <w:rsid w:val="001A2399"/>
    <w:rsid w:val="001A24B6"/>
    <w:rsid w:val="001A278C"/>
    <w:rsid w:val="001A2C69"/>
    <w:rsid w:val="001A2D86"/>
    <w:rsid w:val="001A3118"/>
    <w:rsid w:val="001A31DB"/>
    <w:rsid w:val="001A3278"/>
    <w:rsid w:val="001A39E6"/>
    <w:rsid w:val="001A3AD6"/>
    <w:rsid w:val="001A3B61"/>
    <w:rsid w:val="001A3CDB"/>
    <w:rsid w:val="001A3FB2"/>
    <w:rsid w:val="001A46A0"/>
    <w:rsid w:val="001A478A"/>
    <w:rsid w:val="001A4854"/>
    <w:rsid w:val="001A4878"/>
    <w:rsid w:val="001A4FB7"/>
    <w:rsid w:val="001A5021"/>
    <w:rsid w:val="001A57F2"/>
    <w:rsid w:val="001A58A3"/>
    <w:rsid w:val="001A5AA6"/>
    <w:rsid w:val="001A5D42"/>
    <w:rsid w:val="001A637E"/>
    <w:rsid w:val="001A65FE"/>
    <w:rsid w:val="001A6A3A"/>
    <w:rsid w:val="001A6A79"/>
    <w:rsid w:val="001A6F8C"/>
    <w:rsid w:val="001A7706"/>
    <w:rsid w:val="001A772C"/>
    <w:rsid w:val="001A781B"/>
    <w:rsid w:val="001A7CD4"/>
    <w:rsid w:val="001A7DAE"/>
    <w:rsid w:val="001B020A"/>
    <w:rsid w:val="001B022F"/>
    <w:rsid w:val="001B07B8"/>
    <w:rsid w:val="001B07F2"/>
    <w:rsid w:val="001B0CBC"/>
    <w:rsid w:val="001B1457"/>
    <w:rsid w:val="001B1A86"/>
    <w:rsid w:val="001B1B97"/>
    <w:rsid w:val="001B211E"/>
    <w:rsid w:val="001B227D"/>
    <w:rsid w:val="001B22C8"/>
    <w:rsid w:val="001B2489"/>
    <w:rsid w:val="001B25CE"/>
    <w:rsid w:val="001B2AE4"/>
    <w:rsid w:val="001B2D93"/>
    <w:rsid w:val="001B2EDA"/>
    <w:rsid w:val="001B34F1"/>
    <w:rsid w:val="001B39BC"/>
    <w:rsid w:val="001B3AE2"/>
    <w:rsid w:val="001B442D"/>
    <w:rsid w:val="001B46B9"/>
    <w:rsid w:val="001B4D55"/>
    <w:rsid w:val="001B4F29"/>
    <w:rsid w:val="001B552B"/>
    <w:rsid w:val="001B57BE"/>
    <w:rsid w:val="001B57FF"/>
    <w:rsid w:val="001B59BE"/>
    <w:rsid w:val="001B5D74"/>
    <w:rsid w:val="001B5E17"/>
    <w:rsid w:val="001B6537"/>
    <w:rsid w:val="001B6538"/>
    <w:rsid w:val="001B683C"/>
    <w:rsid w:val="001B7354"/>
    <w:rsid w:val="001B7A45"/>
    <w:rsid w:val="001B7CEC"/>
    <w:rsid w:val="001C0216"/>
    <w:rsid w:val="001C17BE"/>
    <w:rsid w:val="001C18E8"/>
    <w:rsid w:val="001C21BF"/>
    <w:rsid w:val="001C22DE"/>
    <w:rsid w:val="001C2474"/>
    <w:rsid w:val="001C2B5A"/>
    <w:rsid w:val="001C2BF7"/>
    <w:rsid w:val="001C2C61"/>
    <w:rsid w:val="001C327E"/>
    <w:rsid w:val="001C33F9"/>
    <w:rsid w:val="001C3B6E"/>
    <w:rsid w:val="001C3E8E"/>
    <w:rsid w:val="001C4020"/>
    <w:rsid w:val="001C45E5"/>
    <w:rsid w:val="001C4C03"/>
    <w:rsid w:val="001C5476"/>
    <w:rsid w:val="001C5735"/>
    <w:rsid w:val="001C5A1B"/>
    <w:rsid w:val="001C5AA6"/>
    <w:rsid w:val="001C6AF6"/>
    <w:rsid w:val="001C6EBE"/>
    <w:rsid w:val="001C72C1"/>
    <w:rsid w:val="001C73C8"/>
    <w:rsid w:val="001C76F0"/>
    <w:rsid w:val="001C7A99"/>
    <w:rsid w:val="001C7E57"/>
    <w:rsid w:val="001D027F"/>
    <w:rsid w:val="001D03C5"/>
    <w:rsid w:val="001D0D1E"/>
    <w:rsid w:val="001D0DD8"/>
    <w:rsid w:val="001D14F5"/>
    <w:rsid w:val="001D181D"/>
    <w:rsid w:val="001D19D8"/>
    <w:rsid w:val="001D1A1D"/>
    <w:rsid w:val="001D1CDD"/>
    <w:rsid w:val="001D1D35"/>
    <w:rsid w:val="001D1E6C"/>
    <w:rsid w:val="001D2298"/>
    <w:rsid w:val="001D2301"/>
    <w:rsid w:val="001D293E"/>
    <w:rsid w:val="001D2A46"/>
    <w:rsid w:val="001D2D3E"/>
    <w:rsid w:val="001D2F87"/>
    <w:rsid w:val="001D33C9"/>
    <w:rsid w:val="001D352C"/>
    <w:rsid w:val="001D36DC"/>
    <w:rsid w:val="001D3ACD"/>
    <w:rsid w:val="001D3B15"/>
    <w:rsid w:val="001D3CD1"/>
    <w:rsid w:val="001D3D44"/>
    <w:rsid w:val="001D3FFB"/>
    <w:rsid w:val="001D4092"/>
    <w:rsid w:val="001D4174"/>
    <w:rsid w:val="001D4255"/>
    <w:rsid w:val="001D477E"/>
    <w:rsid w:val="001D49B9"/>
    <w:rsid w:val="001D4FC4"/>
    <w:rsid w:val="001D5C6E"/>
    <w:rsid w:val="001D5D0F"/>
    <w:rsid w:val="001D6AD5"/>
    <w:rsid w:val="001D6D23"/>
    <w:rsid w:val="001D6D62"/>
    <w:rsid w:val="001D6FDD"/>
    <w:rsid w:val="001D7320"/>
    <w:rsid w:val="001D7BC2"/>
    <w:rsid w:val="001D7E4A"/>
    <w:rsid w:val="001D7F52"/>
    <w:rsid w:val="001E020F"/>
    <w:rsid w:val="001E095E"/>
    <w:rsid w:val="001E0B39"/>
    <w:rsid w:val="001E118A"/>
    <w:rsid w:val="001E16CA"/>
    <w:rsid w:val="001E1899"/>
    <w:rsid w:val="001E1C70"/>
    <w:rsid w:val="001E2468"/>
    <w:rsid w:val="001E27E8"/>
    <w:rsid w:val="001E2851"/>
    <w:rsid w:val="001E3E85"/>
    <w:rsid w:val="001E4062"/>
    <w:rsid w:val="001E458C"/>
    <w:rsid w:val="001E4C4C"/>
    <w:rsid w:val="001E5609"/>
    <w:rsid w:val="001E5983"/>
    <w:rsid w:val="001E643C"/>
    <w:rsid w:val="001E671E"/>
    <w:rsid w:val="001E6CB8"/>
    <w:rsid w:val="001E70C6"/>
    <w:rsid w:val="001E7388"/>
    <w:rsid w:val="001E7B50"/>
    <w:rsid w:val="001E7E6B"/>
    <w:rsid w:val="001F01A9"/>
    <w:rsid w:val="001F0276"/>
    <w:rsid w:val="001F0367"/>
    <w:rsid w:val="001F04BB"/>
    <w:rsid w:val="001F067A"/>
    <w:rsid w:val="001F070A"/>
    <w:rsid w:val="001F0762"/>
    <w:rsid w:val="001F07B7"/>
    <w:rsid w:val="001F0B28"/>
    <w:rsid w:val="001F0F24"/>
    <w:rsid w:val="001F0F5A"/>
    <w:rsid w:val="001F1252"/>
    <w:rsid w:val="001F14BA"/>
    <w:rsid w:val="001F151F"/>
    <w:rsid w:val="001F15A8"/>
    <w:rsid w:val="001F1838"/>
    <w:rsid w:val="001F25EA"/>
    <w:rsid w:val="001F2F1E"/>
    <w:rsid w:val="001F337F"/>
    <w:rsid w:val="001F3566"/>
    <w:rsid w:val="001F3737"/>
    <w:rsid w:val="001F37E2"/>
    <w:rsid w:val="001F383B"/>
    <w:rsid w:val="001F3914"/>
    <w:rsid w:val="001F3A4C"/>
    <w:rsid w:val="001F3EF7"/>
    <w:rsid w:val="001F403C"/>
    <w:rsid w:val="001F424B"/>
    <w:rsid w:val="001F4441"/>
    <w:rsid w:val="001F4DBD"/>
    <w:rsid w:val="001F56D3"/>
    <w:rsid w:val="001F5A66"/>
    <w:rsid w:val="001F62FD"/>
    <w:rsid w:val="001F645D"/>
    <w:rsid w:val="001F657E"/>
    <w:rsid w:val="001F686F"/>
    <w:rsid w:val="001F729B"/>
    <w:rsid w:val="001F7452"/>
    <w:rsid w:val="001F770E"/>
    <w:rsid w:val="001F7E4B"/>
    <w:rsid w:val="001F7EDF"/>
    <w:rsid w:val="001F7FE1"/>
    <w:rsid w:val="00200143"/>
    <w:rsid w:val="002002A9"/>
    <w:rsid w:val="002004CD"/>
    <w:rsid w:val="002004D7"/>
    <w:rsid w:val="0020072E"/>
    <w:rsid w:val="00200FBD"/>
    <w:rsid w:val="002011EE"/>
    <w:rsid w:val="002013A5"/>
    <w:rsid w:val="0020194D"/>
    <w:rsid w:val="00201DE0"/>
    <w:rsid w:val="00201E85"/>
    <w:rsid w:val="00202290"/>
    <w:rsid w:val="00202AB5"/>
    <w:rsid w:val="00202E74"/>
    <w:rsid w:val="00202F60"/>
    <w:rsid w:val="002031D8"/>
    <w:rsid w:val="0020340E"/>
    <w:rsid w:val="0020376D"/>
    <w:rsid w:val="002038C3"/>
    <w:rsid w:val="0020395F"/>
    <w:rsid w:val="00203EF9"/>
    <w:rsid w:val="00203F8D"/>
    <w:rsid w:val="002042F7"/>
    <w:rsid w:val="002043AC"/>
    <w:rsid w:val="0020471D"/>
    <w:rsid w:val="00204A23"/>
    <w:rsid w:val="00204A7D"/>
    <w:rsid w:val="00204E71"/>
    <w:rsid w:val="00205049"/>
    <w:rsid w:val="002053B7"/>
    <w:rsid w:val="00205619"/>
    <w:rsid w:val="00205DE8"/>
    <w:rsid w:val="00205F42"/>
    <w:rsid w:val="00206727"/>
    <w:rsid w:val="00206872"/>
    <w:rsid w:val="002069D0"/>
    <w:rsid w:val="00206E1D"/>
    <w:rsid w:val="00206F04"/>
    <w:rsid w:val="00207042"/>
    <w:rsid w:val="0020710C"/>
    <w:rsid w:val="00207252"/>
    <w:rsid w:val="002075B8"/>
    <w:rsid w:val="0020765B"/>
    <w:rsid w:val="00207B1B"/>
    <w:rsid w:val="00207C45"/>
    <w:rsid w:val="0021035B"/>
    <w:rsid w:val="002103E3"/>
    <w:rsid w:val="0021063D"/>
    <w:rsid w:val="00210649"/>
    <w:rsid w:val="00210A31"/>
    <w:rsid w:val="00211142"/>
    <w:rsid w:val="002112B2"/>
    <w:rsid w:val="0021182F"/>
    <w:rsid w:val="00211B5A"/>
    <w:rsid w:val="00211B93"/>
    <w:rsid w:val="00211FE0"/>
    <w:rsid w:val="00212120"/>
    <w:rsid w:val="00212C1E"/>
    <w:rsid w:val="00212C4D"/>
    <w:rsid w:val="00212E42"/>
    <w:rsid w:val="00212F7E"/>
    <w:rsid w:val="002137B6"/>
    <w:rsid w:val="00213CF0"/>
    <w:rsid w:val="00214489"/>
    <w:rsid w:val="00214526"/>
    <w:rsid w:val="00214718"/>
    <w:rsid w:val="002147B8"/>
    <w:rsid w:val="002149C5"/>
    <w:rsid w:val="00214A5B"/>
    <w:rsid w:val="00214E25"/>
    <w:rsid w:val="00214FF7"/>
    <w:rsid w:val="00215078"/>
    <w:rsid w:val="00215098"/>
    <w:rsid w:val="00215187"/>
    <w:rsid w:val="00215426"/>
    <w:rsid w:val="00215880"/>
    <w:rsid w:val="00216A7D"/>
    <w:rsid w:val="00216B8F"/>
    <w:rsid w:val="00216D96"/>
    <w:rsid w:val="002173F0"/>
    <w:rsid w:val="002175DA"/>
    <w:rsid w:val="00220200"/>
    <w:rsid w:val="002203F6"/>
    <w:rsid w:val="00220BBE"/>
    <w:rsid w:val="00220DAA"/>
    <w:rsid w:val="00221341"/>
    <w:rsid w:val="0022141C"/>
    <w:rsid w:val="0022165A"/>
    <w:rsid w:val="002216D8"/>
    <w:rsid w:val="00221EA0"/>
    <w:rsid w:val="0022288F"/>
    <w:rsid w:val="00222BF4"/>
    <w:rsid w:val="00222CD3"/>
    <w:rsid w:val="00222E4F"/>
    <w:rsid w:val="00223243"/>
    <w:rsid w:val="0022397B"/>
    <w:rsid w:val="00223B87"/>
    <w:rsid w:val="00223D59"/>
    <w:rsid w:val="00223D99"/>
    <w:rsid w:val="002241AC"/>
    <w:rsid w:val="002241EC"/>
    <w:rsid w:val="0022426C"/>
    <w:rsid w:val="00224571"/>
    <w:rsid w:val="0022484F"/>
    <w:rsid w:val="00224973"/>
    <w:rsid w:val="00224A4A"/>
    <w:rsid w:val="00224E71"/>
    <w:rsid w:val="002251C0"/>
    <w:rsid w:val="00225468"/>
    <w:rsid w:val="00225A1F"/>
    <w:rsid w:val="00225E38"/>
    <w:rsid w:val="00226428"/>
    <w:rsid w:val="00226453"/>
    <w:rsid w:val="00226684"/>
    <w:rsid w:val="00226CDE"/>
    <w:rsid w:val="00227043"/>
    <w:rsid w:val="00227047"/>
    <w:rsid w:val="0022708B"/>
    <w:rsid w:val="002270DA"/>
    <w:rsid w:val="00227AC6"/>
    <w:rsid w:val="00227FC1"/>
    <w:rsid w:val="002300C2"/>
    <w:rsid w:val="002300F0"/>
    <w:rsid w:val="00230145"/>
    <w:rsid w:val="0023019D"/>
    <w:rsid w:val="00230344"/>
    <w:rsid w:val="002303A0"/>
    <w:rsid w:val="00230487"/>
    <w:rsid w:val="00230767"/>
    <w:rsid w:val="0023160B"/>
    <w:rsid w:val="00231ACB"/>
    <w:rsid w:val="00231B8A"/>
    <w:rsid w:val="00231B9F"/>
    <w:rsid w:val="00232091"/>
    <w:rsid w:val="002325FA"/>
    <w:rsid w:val="0023261B"/>
    <w:rsid w:val="00232785"/>
    <w:rsid w:val="002333D4"/>
    <w:rsid w:val="0023360E"/>
    <w:rsid w:val="00233A00"/>
    <w:rsid w:val="00233D91"/>
    <w:rsid w:val="0023402C"/>
    <w:rsid w:val="0023414C"/>
    <w:rsid w:val="0023467F"/>
    <w:rsid w:val="002349FD"/>
    <w:rsid w:val="00234E3E"/>
    <w:rsid w:val="00235104"/>
    <w:rsid w:val="00235195"/>
    <w:rsid w:val="00235805"/>
    <w:rsid w:val="00235FE9"/>
    <w:rsid w:val="002364B3"/>
    <w:rsid w:val="00236792"/>
    <w:rsid w:val="00236B3C"/>
    <w:rsid w:val="00236DCB"/>
    <w:rsid w:val="00236E1E"/>
    <w:rsid w:val="00236F49"/>
    <w:rsid w:val="0023726C"/>
    <w:rsid w:val="00237509"/>
    <w:rsid w:val="002378A4"/>
    <w:rsid w:val="00237928"/>
    <w:rsid w:val="00237D90"/>
    <w:rsid w:val="00237E2F"/>
    <w:rsid w:val="00237FD2"/>
    <w:rsid w:val="002401E6"/>
    <w:rsid w:val="0024036D"/>
    <w:rsid w:val="002403C7"/>
    <w:rsid w:val="00240629"/>
    <w:rsid w:val="00240A30"/>
    <w:rsid w:val="00240BBB"/>
    <w:rsid w:val="00240E3E"/>
    <w:rsid w:val="00241449"/>
    <w:rsid w:val="002419D3"/>
    <w:rsid w:val="00241A27"/>
    <w:rsid w:val="00241C0C"/>
    <w:rsid w:val="00241E9C"/>
    <w:rsid w:val="00242262"/>
    <w:rsid w:val="0024228B"/>
    <w:rsid w:val="0024298D"/>
    <w:rsid w:val="00242A78"/>
    <w:rsid w:val="00242C85"/>
    <w:rsid w:val="00243090"/>
    <w:rsid w:val="002430A7"/>
    <w:rsid w:val="00243290"/>
    <w:rsid w:val="002433B8"/>
    <w:rsid w:val="00243E6E"/>
    <w:rsid w:val="00244494"/>
    <w:rsid w:val="0024490F"/>
    <w:rsid w:val="00244A96"/>
    <w:rsid w:val="00244A9D"/>
    <w:rsid w:val="00245079"/>
    <w:rsid w:val="00245348"/>
    <w:rsid w:val="00245857"/>
    <w:rsid w:val="00245B90"/>
    <w:rsid w:val="00246245"/>
    <w:rsid w:val="0024660D"/>
    <w:rsid w:val="00246816"/>
    <w:rsid w:val="00246A85"/>
    <w:rsid w:val="00246BF7"/>
    <w:rsid w:val="002470AB"/>
    <w:rsid w:val="00247320"/>
    <w:rsid w:val="00247724"/>
    <w:rsid w:val="002477D4"/>
    <w:rsid w:val="00247E46"/>
    <w:rsid w:val="00247FDF"/>
    <w:rsid w:val="002501C9"/>
    <w:rsid w:val="002503BD"/>
    <w:rsid w:val="0025040D"/>
    <w:rsid w:val="002505F6"/>
    <w:rsid w:val="002506E0"/>
    <w:rsid w:val="00250A71"/>
    <w:rsid w:val="00250D2D"/>
    <w:rsid w:val="00251028"/>
    <w:rsid w:val="0025150D"/>
    <w:rsid w:val="0025168C"/>
    <w:rsid w:val="00251736"/>
    <w:rsid w:val="00251C84"/>
    <w:rsid w:val="00252007"/>
    <w:rsid w:val="00252481"/>
    <w:rsid w:val="00253743"/>
    <w:rsid w:val="0025392F"/>
    <w:rsid w:val="002540DC"/>
    <w:rsid w:val="002540FD"/>
    <w:rsid w:val="002542A5"/>
    <w:rsid w:val="00254343"/>
    <w:rsid w:val="00254B6B"/>
    <w:rsid w:val="00254C80"/>
    <w:rsid w:val="00254C99"/>
    <w:rsid w:val="00254D03"/>
    <w:rsid w:val="00254FA2"/>
    <w:rsid w:val="00255998"/>
    <w:rsid w:val="00256443"/>
    <w:rsid w:val="002567CA"/>
    <w:rsid w:val="00256A64"/>
    <w:rsid w:val="0025741D"/>
    <w:rsid w:val="0025764E"/>
    <w:rsid w:val="00257727"/>
    <w:rsid w:val="00257B1D"/>
    <w:rsid w:val="00260086"/>
    <w:rsid w:val="00260092"/>
    <w:rsid w:val="002606E0"/>
    <w:rsid w:val="00260BCF"/>
    <w:rsid w:val="00260DE2"/>
    <w:rsid w:val="00260E65"/>
    <w:rsid w:val="00261075"/>
    <w:rsid w:val="00261103"/>
    <w:rsid w:val="00261136"/>
    <w:rsid w:val="00261728"/>
    <w:rsid w:val="00261F5E"/>
    <w:rsid w:val="00262042"/>
    <w:rsid w:val="00262562"/>
    <w:rsid w:val="00262711"/>
    <w:rsid w:val="00262D10"/>
    <w:rsid w:val="00263170"/>
    <w:rsid w:val="002632B4"/>
    <w:rsid w:val="00263451"/>
    <w:rsid w:val="002636B6"/>
    <w:rsid w:val="00263B06"/>
    <w:rsid w:val="00263D4F"/>
    <w:rsid w:val="00264D23"/>
    <w:rsid w:val="00264D64"/>
    <w:rsid w:val="00265043"/>
    <w:rsid w:val="002654AC"/>
    <w:rsid w:val="00265658"/>
    <w:rsid w:val="002656ED"/>
    <w:rsid w:val="00265729"/>
    <w:rsid w:val="00265748"/>
    <w:rsid w:val="00265D3F"/>
    <w:rsid w:val="0026604D"/>
    <w:rsid w:val="00266589"/>
    <w:rsid w:val="00266A4F"/>
    <w:rsid w:val="00266D8D"/>
    <w:rsid w:val="00266E40"/>
    <w:rsid w:val="00266EEF"/>
    <w:rsid w:val="00267381"/>
    <w:rsid w:val="0026757C"/>
    <w:rsid w:val="0026779A"/>
    <w:rsid w:val="002677CC"/>
    <w:rsid w:val="00267C24"/>
    <w:rsid w:val="00267CB6"/>
    <w:rsid w:val="00267ED4"/>
    <w:rsid w:val="0027026F"/>
    <w:rsid w:val="00270B1B"/>
    <w:rsid w:val="00270C85"/>
    <w:rsid w:val="00270CFF"/>
    <w:rsid w:val="00270DA3"/>
    <w:rsid w:val="0027124E"/>
    <w:rsid w:val="002715AD"/>
    <w:rsid w:val="002715AE"/>
    <w:rsid w:val="00271911"/>
    <w:rsid w:val="00271926"/>
    <w:rsid w:val="002725DC"/>
    <w:rsid w:val="002728FF"/>
    <w:rsid w:val="00272C07"/>
    <w:rsid w:val="00272C0F"/>
    <w:rsid w:val="00272F76"/>
    <w:rsid w:val="002730D3"/>
    <w:rsid w:val="002733FE"/>
    <w:rsid w:val="0027376E"/>
    <w:rsid w:val="00273847"/>
    <w:rsid w:val="002740E9"/>
    <w:rsid w:val="0027441E"/>
    <w:rsid w:val="00275184"/>
    <w:rsid w:val="002759A9"/>
    <w:rsid w:val="002763C3"/>
    <w:rsid w:val="00276B3E"/>
    <w:rsid w:val="00276C77"/>
    <w:rsid w:val="002770A9"/>
    <w:rsid w:val="002776C0"/>
    <w:rsid w:val="00277A76"/>
    <w:rsid w:val="00277FFC"/>
    <w:rsid w:val="002800FA"/>
    <w:rsid w:val="0028052D"/>
    <w:rsid w:val="00280D76"/>
    <w:rsid w:val="00280F2B"/>
    <w:rsid w:val="00281168"/>
    <w:rsid w:val="0028164D"/>
    <w:rsid w:val="002819E9"/>
    <w:rsid w:val="00281B83"/>
    <w:rsid w:val="00282273"/>
    <w:rsid w:val="0028229A"/>
    <w:rsid w:val="0028258E"/>
    <w:rsid w:val="0028273D"/>
    <w:rsid w:val="0028277B"/>
    <w:rsid w:val="00282B4A"/>
    <w:rsid w:val="00282EAA"/>
    <w:rsid w:val="00282F2A"/>
    <w:rsid w:val="00283C1C"/>
    <w:rsid w:val="00283E6B"/>
    <w:rsid w:val="0028473B"/>
    <w:rsid w:val="00284754"/>
    <w:rsid w:val="002852BA"/>
    <w:rsid w:val="00285364"/>
    <w:rsid w:val="0028582F"/>
    <w:rsid w:val="00285D6A"/>
    <w:rsid w:val="00286008"/>
    <w:rsid w:val="00286640"/>
    <w:rsid w:val="00286785"/>
    <w:rsid w:val="0028678E"/>
    <w:rsid w:val="0028698E"/>
    <w:rsid w:val="00286B71"/>
    <w:rsid w:val="00287138"/>
    <w:rsid w:val="00287487"/>
    <w:rsid w:val="0028754C"/>
    <w:rsid w:val="00287853"/>
    <w:rsid w:val="00287A28"/>
    <w:rsid w:val="00290011"/>
    <w:rsid w:val="0029023E"/>
    <w:rsid w:val="0029058D"/>
    <w:rsid w:val="00290650"/>
    <w:rsid w:val="00290A36"/>
    <w:rsid w:val="00290B46"/>
    <w:rsid w:val="00290D73"/>
    <w:rsid w:val="00290E06"/>
    <w:rsid w:val="00290E54"/>
    <w:rsid w:val="00290FA6"/>
    <w:rsid w:val="00291509"/>
    <w:rsid w:val="0029197B"/>
    <w:rsid w:val="0029199B"/>
    <w:rsid w:val="00291D6C"/>
    <w:rsid w:val="00292229"/>
    <w:rsid w:val="00292316"/>
    <w:rsid w:val="002923E2"/>
    <w:rsid w:val="00292631"/>
    <w:rsid w:val="002926CB"/>
    <w:rsid w:val="002926CE"/>
    <w:rsid w:val="002927D2"/>
    <w:rsid w:val="0029297B"/>
    <w:rsid w:val="00292BF9"/>
    <w:rsid w:val="00292FD0"/>
    <w:rsid w:val="002938D8"/>
    <w:rsid w:val="00293E55"/>
    <w:rsid w:val="00293EFB"/>
    <w:rsid w:val="00294008"/>
    <w:rsid w:val="002942D4"/>
    <w:rsid w:val="002943CE"/>
    <w:rsid w:val="002943FC"/>
    <w:rsid w:val="00294F48"/>
    <w:rsid w:val="0029583E"/>
    <w:rsid w:val="00295B71"/>
    <w:rsid w:val="00295C32"/>
    <w:rsid w:val="00295C64"/>
    <w:rsid w:val="00295DCE"/>
    <w:rsid w:val="0029633F"/>
    <w:rsid w:val="00296D0C"/>
    <w:rsid w:val="00296D78"/>
    <w:rsid w:val="00297152"/>
    <w:rsid w:val="00297657"/>
    <w:rsid w:val="002976DF"/>
    <w:rsid w:val="00297A61"/>
    <w:rsid w:val="00297AC1"/>
    <w:rsid w:val="00297C5D"/>
    <w:rsid w:val="002A000A"/>
    <w:rsid w:val="002A039A"/>
    <w:rsid w:val="002A04C8"/>
    <w:rsid w:val="002A0674"/>
    <w:rsid w:val="002A08B4"/>
    <w:rsid w:val="002A0B55"/>
    <w:rsid w:val="002A0D42"/>
    <w:rsid w:val="002A110C"/>
    <w:rsid w:val="002A1352"/>
    <w:rsid w:val="002A22C0"/>
    <w:rsid w:val="002A259A"/>
    <w:rsid w:val="002A25B0"/>
    <w:rsid w:val="002A2709"/>
    <w:rsid w:val="002A293E"/>
    <w:rsid w:val="002A29AF"/>
    <w:rsid w:val="002A2BD4"/>
    <w:rsid w:val="002A3889"/>
    <w:rsid w:val="002A3CDF"/>
    <w:rsid w:val="002A4191"/>
    <w:rsid w:val="002A41CE"/>
    <w:rsid w:val="002A43D1"/>
    <w:rsid w:val="002A443F"/>
    <w:rsid w:val="002A47A9"/>
    <w:rsid w:val="002A49CC"/>
    <w:rsid w:val="002A4AD5"/>
    <w:rsid w:val="002A52E0"/>
    <w:rsid w:val="002A54A3"/>
    <w:rsid w:val="002A5B5A"/>
    <w:rsid w:val="002A60CB"/>
    <w:rsid w:val="002A6142"/>
    <w:rsid w:val="002A6549"/>
    <w:rsid w:val="002A6986"/>
    <w:rsid w:val="002A6A7C"/>
    <w:rsid w:val="002A775F"/>
    <w:rsid w:val="002A77A4"/>
    <w:rsid w:val="002A7CA3"/>
    <w:rsid w:val="002A7CFF"/>
    <w:rsid w:val="002B0309"/>
    <w:rsid w:val="002B03CA"/>
    <w:rsid w:val="002B04F6"/>
    <w:rsid w:val="002B079C"/>
    <w:rsid w:val="002B08E7"/>
    <w:rsid w:val="002B0D1D"/>
    <w:rsid w:val="002B0F54"/>
    <w:rsid w:val="002B11BF"/>
    <w:rsid w:val="002B15AE"/>
    <w:rsid w:val="002B160E"/>
    <w:rsid w:val="002B18B5"/>
    <w:rsid w:val="002B1C17"/>
    <w:rsid w:val="002B1FFA"/>
    <w:rsid w:val="002B243B"/>
    <w:rsid w:val="002B2DB4"/>
    <w:rsid w:val="002B31DC"/>
    <w:rsid w:val="002B3C20"/>
    <w:rsid w:val="002B4119"/>
    <w:rsid w:val="002B497C"/>
    <w:rsid w:val="002B4C99"/>
    <w:rsid w:val="002B4D08"/>
    <w:rsid w:val="002B4DF7"/>
    <w:rsid w:val="002B4DF9"/>
    <w:rsid w:val="002B5043"/>
    <w:rsid w:val="002B505E"/>
    <w:rsid w:val="002B5350"/>
    <w:rsid w:val="002B5495"/>
    <w:rsid w:val="002B5866"/>
    <w:rsid w:val="002B58FE"/>
    <w:rsid w:val="002B5A3A"/>
    <w:rsid w:val="002B5A3F"/>
    <w:rsid w:val="002B6780"/>
    <w:rsid w:val="002B708E"/>
    <w:rsid w:val="002B7894"/>
    <w:rsid w:val="002B7AA0"/>
    <w:rsid w:val="002B7ABB"/>
    <w:rsid w:val="002B7B6A"/>
    <w:rsid w:val="002B7E6C"/>
    <w:rsid w:val="002C04F2"/>
    <w:rsid w:val="002C092F"/>
    <w:rsid w:val="002C0D21"/>
    <w:rsid w:val="002C0E11"/>
    <w:rsid w:val="002C0FAB"/>
    <w:rsid w:val="002C139A"/>
    <w:rsid w:val="002C211F"/>
    <w:rsid w:val="002C2260"/>
    <w:rsid w:val="002C232E"/>
    <w:rsid w:val="002C272A"/>
    <w:rsid w:val="002C2ECD"/>
    <w:rsid w:val="002C2F40"/>
    <w:rsid w:val="002C367D"/>
    <w:rsid w:val="002C376D"/>
    <w:rsid w:val="002C3A0A"/>
    <w:rsid w:val="002C3D1C"/>
    <w:rsid w:val="002C3E8A"/>
    <w:rsid w:val="002C40D6"/>
    <w:rsid w:val="002C4E62"/>
    <w:rsid w:val="002C51A7"/>
    <w:rsid w:val="002C5302"/>
    <w:rsid w:val="002C537D"/>
    <w:rsid w:val="002C542A"/>
    <w:rsid w:val="002C5683"/>
    <w:rsid w:val="002C5941"/>
    <w:rsid w:val="002C5E1A"/>
    <w:rsid w:val="002C5F37"/>
    <w:rsid w:val="002C6302"/>
    <w:rsid w:val="002C64A3"/>
    <w:rsid w:val="002C65E1"/>
    <w:rsid w:val="002C662F"/>
    <w:rsid w:val="002C6694"/>
    <w:rsid w:val="002C6E81"/>
    <w:rsid w:val="002C70D1"/>
    <w:rsid w:val="002C7227"/>
    <w:rsid w:val="002C77DE"/>
    <w:rsid w:val="002C7875"/>
    <w:rsid w:val="002C7A3F"/>
    <w:rsid w:val="002C7B60"/>
    <w:rsid w:val="002D095E"/>
    <w:rsid w:val="002D098E"/>
    <w:rsid w:val="002D132F"/>
    <w:rsid w:val="002D1545"/>
    <w:rsid w:val="002D1691"/>
    <w:rsid w:val="002D1AD5"/>
    <w:rsid w:val="002D2141"/>
    <w:rsid w:val="002D25A2"/>
    <w:rsid w:val="002D29F2"/>
    <w:rsid w:val="002D2E88"/>
    <w:rsid w:val="002D2F05"/>
    <w:rsid w:val="002D31D6"/>
    <w:rsid w:val="002D3252"/>
    <w:rsid w:val="002D3376"/>
    <w:rsid w:val="002D3FD3"/>
    <w:rsid w:val="002D4450"/>
    <w:rsid w:val="002D4627"/>
    <w:rsid w:val="002D4760"/>
    <w:rsid w:val="002D47CD"/>
    <w:rsid w:val="002D4AC3"/>
    <w:rsid w:val="002D5E63"/>
    <w:rsid w:val="002D5EFA"/>
    <w:rsid w:val="002D6D85"/>
    <w:rsid w:val="002D6EFB"/>
    <w:rsid w:val="002D731A"/>
    <w:rsid w:val="002D73AD"/>
    <w:rsid w:val="002D73EC"/>
    <w:rsid w:val="002D75D0"/>
    <w:rsid w:val="002D7628"/>
    <w:rsid w:val="002D7680"/>
    <w:rsid w:val="002D7BDA"/>
    <w:rsid w:val="002E00A8"/>
    <w:rsid w:val="002E013B"/>
    <w:rsid w:val="002E0352"/>
    <w:rsid w:val="002E0769"/>
    <w:rsid w:val="002E0D56"/>
    <w:rsid w:val="002E0D88"/>
    <w:rsid w:val="002E1378"/>
    <w:rsid w:val="002E13FB"/>
    <w:rsid w:val="002E1783"/>
    <w:rsid w:val="002E1C1E"/>
    <w:rsid w:val="002E1F14"/>
    <w:rsid w:val="002E1FE8"/>
    <w:rsid w:val="002E207C"/>
    <w:rsid w:val="002E225A"/>
    <w:rsid w:val="002E23E8"/>
    <w:rsid w:val="002E24A3"/>
    <w:rsid w:val="002E2C44"/>
    <w:rsid w:val="002E35A6"/>
    <w:rsid w:val="002E3AC6"/>
    <w:rsid w:val="002E3DD9"/>
    <w:rsid w:val="002E488F"/>
    <w:rsid w:val="002E5AB9"/>
    <w:rsid w:val="002E5D05"/>
    <w:rsid w:val="002E6129"/>
    <w:rsid w:val="002E6525"/>
    <w:rsid w:val="002E694C"/>
    <w:rsid w:val="002E6C64"/>
    <w:rsid w:val="002E7593"/>
    <w:rsid w:val="002E7B60"/>
    <w:rsid w:val="002E7D03"/>
    <w:rsid w:val="002F000E"/>
    <w:rsid w:val="002F00A7"/>
    <w:rsid w:val="002F0318"/>
    <w:rsid w:val="002F033C"/>
    <w:rsid w:val="002F0A5A"/>
    <w:rsid w:val="002F0B34"/>
    <w:rsid w:val="002F0E20"/>
    <w:rsid w:val="002F0E5C"/>
    <w:rsid w:val="002F0FFF"/>
    <w:rsid w:val="002F1856"/>
    <w:rsid w:val="002F1A8E"/>
    <w:rsid w:val="002F1ADC"/>
    <w:rsid w:val="002F1DEB"/>
    <w:rsid w:val="002F1EF6"/>
    <w:rsid w:val="002F2231"/>
    <w:rsid w:val="002F2264"/>
    <w:rsid w:val="002F22B4"/>
    <w:rsid w:val="002F2380"/>
    <w:rsid w:val="002F295C"/>
    <w:rsid w:val="002F2AEB"/>
    <w:rsid w:val="002F2B1F"/>
    <w:rsid w:val="002F2EC9"/>
    <w:rsid w:val="002F31B8"/>
    <w:rsid w:val="002F35D7"/>
    <w:rsid w:val="002F3639"/>
    <w:rsid w:val="002F38CD"/>
    <w:rsid w:val="002F3AAF"/>
    <w:rsid w:val="002F3B59"/>
    <w:rsid w:val="002F3C83"/>
    <w:rsid w:val="002F530A"/>
    <w:rsid w:val="002F646E"/>
    <w:rsid w:val="002F678F"/>
    <w:rsid w:val="002F6D9C"/>
    <w:rsid w:val="002F6F75"/>
    <w:rsid w:val="002F714D"/>
    <w:rsid w:val="002F7311"/>
    <w:rsid w:val="002F7466"/>
    <w:rsid w:val="002F7487"/>
    <w:rsid w:val="002F7578"/>
    <w:rsid w:val="002F76FC"/>
    <w:rsid w:val="002F7E3D"/>
    <w:rsid w:val="003003A6"/>
    <w:rsid w:val="00301433"/>
    <w:rsid w:val="0030157B"/>
    <w:rsid w:val="00301664"/>
    <w:rsid w:val="00301A44"/>
    <w:rsid w:val="00301A74"/>
    <w:rsid w:val="00301AF7"/>
    <w:rsid w:val="00302169"/>
    <w:rsid w:val="00302191"/>
    <w:rsid w:val="00302334"/>
    <w:rsid w:val="003024A1"/>
    <w:rsid w:val="00302ED8"/>
    <w:rsid w:val="0030318D"/>
    <w:rsid w:val="003031C6"/>
    <w:rsid w:val="003034AC"/>
    <w:rsid w:val="00303949"/>
    <w:rsid w:val="00303CA4"/>
    <w:rsid w:val="00304061"/>
    <w:rsid w:val="00304202"/>
    <w:rsid w:val="0030496B"/>
    <w:rsid w:val="00305444"/>
    <w:rsid w:val="0030560C"/>
    <w:rsid w:val="003057F6"/>
    <w:rsid w:val="00305829"/>
    <w:rsid w:val="00305EEB"/>
    <w:rsid w:val="00306101"/>
    <w:rsid w:val="003064A3"/>
    <w:rsid w:val="00306865"/>
    <w:rsid w:val="00306982"/>
    <w:rsid w:val="003069BA"/>
    <w:rsid w:val="00306B37"/>
    <w:rsid w:val="00306F73"/>
    <w:rsid w:val="00306FFC"/>
    <w:rsid w:val="0030741A"/>
    <w:rsid w:val="003075AB"/>
    <w:rsid w:val="00307766"/>
    <w:rsid w:val="0030776B"/>
    <w:rsid w:val="003077BC"/>
    <w:rsid w:val="00307E86"/>
    <w:rsid w:val="00307F4A"/>
    <w:rsid w:val="00307F8F"/>
    <w:rsid w:val="0031041B"/>
    <w:rsid w:val="00310663"/>
    <w:rsid w:val="00310991"/>
    <w:rsid w:val="00310DE4"/>
    <w:rsid w:val="00310FFB"/>
    <w:rsid w:val="00311A57"/>
    <w:rsid w:val="00311B9E"/>
    <w:rsid w:val="00311CB8"/>
    <w:rsid w:val="00311E51"/>
    <w:rsid w:val="003123CC"/>
    <w:rsid w:val="00312840"/>
    <w:rsid w:val="00313081"/>
    <w:rsid w:val="0031324D"/>
    <w:rsid w:val="003137F3"/>
    <w:rsid w:val="00313904"/>
    <w:rsid w:val="00313BE1"/>
    <w:rsid w:val="00313D61"/>
    <w:rsid w:val="003145AD"/>
    <w:rsid w:val="003145EB"/>
    <w:rsid w:val="0031489D"/>
    <w:rsid w:val="00314D0D"/>
    <w:rsid w:val="003150AB"/>
    <w:rsid w:val="003151F5"/>
    <w:rsid w:val="003153C6"/>
    <w:rsid w:val="003156D6"/>
    <w:rsid w:val="003157D9"/>
    <w:rsid w:val="00316325"/>
    <w:rsid w:val="003165C9"/>
    <w:rsid w:val="003166AA"/>
    <w:rsid w:val="003168AF"/>
    <w:rsid w:val="0031707F"/>
    <w:rsid w:val="0031749A"/>
    <w:rsid w:val="00317695"/>
    <w:rsid w:val="00317754"/>
    <w:rsid w:val="00317B7E"/>
    <w:rsid w:val="00317CCB"/>
    <w:rsid w:val="00320839"/>
    <w:rsid w:val="003209E0"/>
    <w:rsid w:val="00320A5C"/>
    <w:rsid w:val="00320C04"/>
    <w:rsid w:val="00320CF1"/>
    <w:rsid w:val="003215EE"/>
    <w:rsid w:val="003220BE"/>
    <w:rsid w:val="00322292"/>
    <w:rsid w:val="003223B7"/>
    <w:rsid w:val="003226D4"/>
    <w:rsid w:val="00322857"/>
    <w:rsid w:val="00322933"/>
    <w:rsid w:val="00322CFA"/>
    <w:rsid w:val="00322D05"/>
    <w:rsid w:val="0032302C"/>
    <w:rsid w:val="0032386B"/>
    <w:rsid w:val="00323905"/>
    <w:rsid w:val="0032393D"/>
    <w:rsid w:val="00324258"/>
    <w:rsid w:val="003242B5"/>
    <w:rsid w:val="003249A7"/>
    <w:rsid w:val="00324A56"/>
    <w:rsid w:val="00324FCC"/>
    <w:rsid w:val="0032543C"/>
    <w:rsid w:val="003254B0"/>
    <w:rsid w:val="00325614"/>
    <w:rsid w:val="0032571C"/>
    <w:rsid w:val="00325D09"/>
    <w:rsid w:val="00326589"/>
    <w:rsid w:val="003269E3"/>
    <w:rsid w:val="00326BAC"/>
    <w:rsid w:val="00326CC5"/>
    <w:rsid w:val="003275CA"/>
    <w:rsid w:val="0032787B"/>
    <w:rsid w:val="0032794F"/>
    <w:rsid w:val="00327C50"/>
    <w:rsid w:val="00327C97"/>
    <w:rsid w:val="00327E23"/>
    <w:rsid w:val="0033059A"/>
    <w:rsid w:val="00330B22"/>
    <w:rsid w:val="00330BC0"/>
    <w:rsid w:val="00330D1D"/>
    <w:rsid w:val="00330E5B"/>
    <w:rsid w:val="00330F5A"/>
    <w:rsid w:val="00330F7A"/>
    <w:rsid w:val="0033112B"/>
    <w:rsid w:val="003311DA"/>
    <w:rsid w:val="003320AA"/>
    <w:rsid w:val="003324E4"/>
    <w:rsid w:val="00332500"/>
    <w:rsid w:val="00332562"/>
    <w:rsid w:val="00332B06"/>
    <w:rsid w:val="00332F3E"/>
    <w:rsid w:val="003338C6"/>
    <w:rsid w:val="00333A67"/>
    <w:rsid w:val="00334083"/>
    <w:rsid w:val="00334E6B"/>
    <w:rsid w:val="00335139"/>
    <w:rsid w:val="0033545F"/>
    <w:rsid w:val="003354DE"/>
    <w:rsid w:val="00335781"/>
    <w:rsid w:val="00335787"/>
    <w:rsid w:val="003358C2"/>
    <w:rsid w:val="0033595C"/>
    <w:rsid w:val="00336506"/>
    <w:rsid w:val="00336D2B"/>
    <w:rsid w:val="00336D53"/>
    <w:rsid w:val="003376C5"/>
    <w:rsid w:val="003377DE"/>
    <w:rsid w:val="00337A24"/>
    <w:rsid w:val="00337C81"/>
    <w:rsid w:val="00337F2D"/>
    <w:rsid w:val="003403ED"/>
    <w:rsid w:val="003406D4"/>
    <w:rsid w:val="00340711"/>
    <w:rsid w:val="003407A0"/>
    <w:rsid w:val="003408B1"/>
    <w:rsid w:val="003410CA"/>
    <w:rsid w:val="00341981"/>
    <w:rsid w:val="00341C5E"/>
    <w:rsid w:val="00341D1C"/>
    <w:rsid w:val="003422BE"/>
    <w:rsid w:val="003429B2"/>
    <w:rsid w:val="00342BD4"/>
    <w:rsid w:val="00342EC5"/>
    <w:rsid w:val="00343548"/>
    <w:rsid w:val="00343862"/>
    <w:rsid w:val="00343E4B"/>
    <w:rsid w:val="003440C5"/>
    <w:rsid w:val="00344214"/>
    <w:rsid w:val="00345124"/>
    <w:rsid w:val="00345753"/>
    <w:rsid w:val="00345765"/>
    <w:rsid w:val="00345A9F"/>
    <w:rsid w:val="003461DD"/>
    <w:rsid w:val="00346330"/>
    <w:rsid w:val="0034658F"/>
    <w:rsid w:val="003465EE"/>
    <w:rsid w:val="00346A58"/>
    <w:rsid w:val="00346D32"/>
    <w:rsid w:val="00346F53"/>
    <w:rsid w:val="00347543"/>
    <w:rsid w:val="00347C02"/>
    <w:rsid w:val="00347DBE"/>
    <w:rsid w:val="0035000C"/>
    <w:rsid w:val="0035035B"/>
    <w:rsid w:val="003504C5"/>
    <w:rsid w:val="00350FC0"/>
    <w:rsid w:val="00351176"/>
    <w:rsid w:val="00351922"/>
    <w:rsid w:val="00351948"/>
    <w:rsid w:val="003519E9"/>
    <w:rsid w:val="00351FE4"/>
    <w:rsid w:val="003537DB"/>
    <w:rsid w:val="00353D74"/>
    <w:rsid w:val="00353FF7"/>
    <w:rsid w:val="00354057"/>
    <w:rsid w:val="00354403"/>
    <w:rsid w:val="003545AF"/>
    <w:rsid w:val="0035506C"/>
    <w:rsid w:val="00355259"/>
    <w:rsid w:val="00355630"/>
    <w:rsid w:val="00355690"/>
    <w:rsid w:val="003562E8"/>
    <w:rsid w:val="0035668E"/>
    <w:rsid w:val="00356956"/>
    <w:rsid w:val="003575F3"/>
    <w:rsid w:val="003576FE"/>
    <w:rsid w:val="00357721"/>
    <w:rsid w:val="00357858"/>
    <w:rsid w:val="00360052"/>
    <w:rsid w:val="00360299"/>
    <w:rsid w:val="0036061B"/>
    <w:rsid w:val="00360AF3"/>
    <w:rsid w:val="00360EA3"/>
    <w:rsid w:val="0036109D"/>
    <w:rsid w:val="00361116"/>
    <w:rsid w:val="003614F0"/>
    <w:rsid w:val="003617DC"/>
    <w:rsid w:val="00361822"/>
    <w:rsid w:val="00361B1E"/>
    <w:rsid w:val="00361F72"/>
    <w:rsid w:val="00362043"/>
    <w:rsid w:val="0036240D"/>
    <w:rsid w:val="00362B78"/>
    <w:rsid w:val="00362BB2"/>
    <w:rsid w:val="00362D6E"/>
    <w:rsid w:val="003630D6"/>
    <w:rsid w:val="003632BB"/>
    <w:rsid w:val="0036335C"/>
    <w:rsid w:val="00363462"/>
    <w:rsid w:val="00363492"/>
    <w:rsid w:val="00363B75"/>
    <w:rsid w:val="00363D00"/>
    <w:rsid w:val="00363E40"/>
    <w:rsid w:val="0036423C"/>
    <w:rsid w:val="00364634"/>
    <w:rsid w:val="00364952"/>
    <w:rsid w:val="00364E35"/>
    <w:rsid w:val="00364FFA"/>
    <w:rsid w:val="00365748"/>
    <w:rsid w:val="00365A65"/>
    <w:rsid w:val="00365E81"/>
    <w:rsid w:val="00365E91"/>
    <w:rsid w:val="0036612E"/>
    <w:rsid w:val="00366957"/>
    <w:rsid w:val="00366A1A"/>
    <w:rsid w:val="00366D1B"/>
    <w:rsid w:val="00366D63"/>
    <w:rsid w:val="0036723D"/>
    <w:rsid w:val="003675AA"/>
    <w:rsid w:val="00367E37"/>
    <w:rsid w:val="003708A3"/>
    <w:rsid w:val="00370EE8"/>
    <w:rsid w:val="00371E94"/>
    <w:rsid w:val="00371F47"/>
    <w:rsid w:val="00372452"/>
    <w:rsid w:val="0037251D"/>
    <w:rsid w:val="003726A5"/>
    <w:rsid w:val="00372F8F"/>
    <w:rsid w:val="00373315"/>
    <w:rsid w:val="003733D9"/>
    <w:rsid w:val="00373BD3"/>
    <w:rsid w:val="00373C98"/>
    <w:rsid w:val="00373E6E"/>
    <w:rsid w:val="00373F99"/>
    <w:rsid w:val="0037405A"/>
    <w:rsid w:val="003740D4"/>
    <w:rsid w:val="00374248"/>
    <w:rsid w:val="00374316"/>
    <w:rsid w:val="0037444A"/>
    <w:rsid w:val="0037465D"/>
    <w:rsid w:val="00374843"/>
    <w:rsid w:val="003748F3"/>
    <w:rsid w:val="003754AC"/>
    <w:rsid w:val="0037588A"/>
    <w:rsid w:val="00375B35"/>
    <w:rsid w:val="00375C05"/>
    <w:rsid w:val="00375EE1"/>
    <w:rsid w:val="00375FF6"/>
    <w:rsid w:val="003765E5"/>
    <w:rsid w:val="00376710"/>
    <w:rsid w:val="00376E61"/>
    <w:rsid w:val="003772AD"/>
    <w:rsid w:val="00377840"/>
    <w:rsid w:val="003779B2"/>
    <w:rsid w:val="00377D40"/>
    <w:rsid w:val="00377E57"/>
    <w:rsid w:val="00377FD1"/>
    <w:rsid w:val="003804A9"/>
    <w:rsid w:val="00380AD5"/>
    <w:rsid w:val="00380C71"/>
    <w:rsid w:val="00380F33"/>
    <w:rsid w:val="00381AED"/>
    <w:rsid w:val="00381B3B"/>
    <w:rsid w:val="00382254"/>
    <w:rsid w:val="003825CF"/>
    <w:rsid w:val="003827DB"/>
    <w:rsid w:val="00382982"/>
    <w:rsid w:val="00382ECA"/>
    <w:rsid w:val="00382F4E"/>
    <w:rsid w:val="00383157"/>
    <w:rsid w:val="00384019"/>
    <w:rsid w:val="0038440F"/>
    <w:rsid w:val="00384504"/>
    <w:rsid w:val="00384AC9"/>
    <w:rsid w:val="00384D9A"/>
    <w:rsid w:val="00385146"/>
    <w:rsid w:val="003852A5"/>
    <w:rsid w:val="00385624"/>
    <w:rsid w:val="00385722"/>
    <w:rsid w:val="00386082"/>
    <w:rsid w:val="0038637C"/>
    <w:rsid w:val="0038654F"/>
    <w:rsid w:val="00386559"/>
    <w:rsid w:val="003865A6"/>
    <w:rsid w:val="003867FD"/>
    <w:rsid w:val="00386820"/>
    <w:rsid w:val="00386CF7"/>
    <w:rsid w:val="00386EF6"/>
    <w:rsid w:val="00387058"/>
    <w:rsid w:val="00387209"/>
    <w:rsid w:val="003877DB"/>
    <w:rsid w:val="00387F68"/>
    <w:rsid w:val="00387FBD"/>
    <w:rsid w:val="00390408"/>
    <w:rsid w:val="0039056F"/>
    <w:rsid w:val="0039084D"/>
    <w:rsid w:val="003908C1"/>
    <w:rsid w:val="00390DF7"/>
    <w:rsid w:val="00391277"/>
    <w:rsid w:val="003917EC"/>
    <w:rsid w:val="00391F13"/>
    <w:rsid w:val="00391FCC"/>
    <w:rsid w:val="00392038"/>
    <w:rsid w:val="00392182"/>
    <w:rsid w:val="003921D6"/>
    <w:rsid w:val="00392A98"/>
    <w:rsid w:val="00392B5C"/>
    <w:rsid w:val="00392DE9"/>
    <w:rsid w:val="00392E1C"/>
    <w:rsid w:val="0039333B"/>
    <w:rsid w:val="00393346"/>
    <w:rsid w:val="00393606"/>
    <w:rsid w:val="003937D6"/>
    <w:rsid w:val="003940D6"/>
    <w:rsid w:val="00394144"/>
    <w:rsid w:val="00394310"/>
    <w:rsid w:val="003945BF"/>
    <w:rsid w:val="003946D4"/>
    <w:rsid w:val="00394990"/>
    <w:rsid w:val="00394FA3"/>
    <w:rsid w:val="003951DB"/>
    <w:rsid w:val="00396076"/>
    <w:rsid w:val="003960CC"/>
    <w:rsid w:val="00396382"/>
    <w:rsid w:val="003965DE"/>
    <w:rsid w:val="003967AF"/>
    <w:rsid w:val="0039683E"/>
    <w:rsid w:val="00397A14"/>
    <w:rsid w:val="003A064B"/>
    <w:rsid w:val="003A0739"/>
    <w:rsid w:val="003A077B"/>
    <w:rsid w:val="003A0E4D"/>
    <w:rsid w:val="003A0ED4"/>
    <w:rsid w:val="003A10DE"/>
    <w:rsid w:val="003A132D"/>
    <w:rsid w:val="003A1538"/>
    <w:rsid w:val="003A1621"/>
    <w:rsid w:val="003A196C"/>
    <w:rsid w:val="003A2E26"/>
    <w:rsid w:val="003A3137"/>
    <w:rsid w:val="003A3C4E"/>
    <w:rsid w:val="003A3E0A"/>
    <w:rsid w:val="003A42DC"/>
    <w:rsid w:val="003A4491"/>
    <w:rsid w:val="003A4798"/>
    <w:rsid w:val="003A4CD5"/>
    <w:rsid w:val="003A4EA9"/>
    <w:rsid w:val="003A5034"/>
    <w:rsid w:val="003A5280"/>
    <w:rsid w:val="003A53E5"/>
    <w:rsid w:val="003A5445"/>
    <w:rsid w:val="003A547E"/>
    <w:rsid w:val="003A5763"/>
    <w:rsid w:val="003A57F3"/>
    <w:rsid w:val="003A5E64"/>
    <w:rsid w:val="003A608A"/>
    <w:rsid w:val="003A60FF"/>
    <w:rsid w:val="003A6126"/>
    <w:rsid w:val="003A61B2"/>
    <w:rsid w:val="003A65DF"/>
    <w:rsid w:val="003A6A6D"/>
    <w:rsid w:val="003A6BC7"/>
    <w:rsid w:val="003A70E3"/>
    <w:rsid w:val="003A778F"/>
    <w:rsid w:val="003A7E3C"/>
    <w:rsid w:val="003A7F0A"/>
    <w:rsid w:val="003B0A33"/>
    <w:rsid w:val="003B0B60"/>
    <w:rsid w:val="003B0D34"/>
    <w:rsid w:val="003B11CD"/>
    <w:rsid w:val="003B146F"/>
    <w:rsid w:val="003B16C7"/>
    <w:rsid w:val="003B18B6"/>
    <w:rsid w:val="003B2608"/>
    <w:rsid w:val="003B28BD"/>
    <w:rsid w:val="003B291D"/>
    <w:rsid w:val="003B2EC8"/>
    <w:rsid w:val="003B33DD"/>
    <w:rsid w:val="003B34A9"/>
    <w:rsid w:val="003B388F"/>
    <w:rsid w:val="003B3B7C"/>
    <w:rsid w:val="003B3DB1"/>
    <w:rsid w:val="003B3F5C"/>
    <w:rsid w:val="003B40FB"/>
    <w:rsid w:val="003B457D"/>
    <w:rsid w:val="003B4DDB"/>
    <w:rsid w:val="003B4E72"/>
    <w:rsid w:val="003B51CA"/>
    <w:rsid w:val="003B616C"/>
    <w:rsid w:val="003B67CF"/>
    <w:rsid w:val="003B68FD"/>
    <w:rsid w:val="003B6EAD"/>
    <w:rsid w:val="003B6EB9"/>
    <w:rsid w:val="003B6F1A"/>
    <w:rsid w:val="003B7261"/>
    <w:rsid w:val="003B7786"/>
    <w:rsid w:val="003B7D72"/>
    <w:rsid w:val="003C006D"/>
    <w:rsid w:val="003C0232"/>
    <w:rsid w:val="003C036E"/>
    <w:rsid w:val="003C06E5"/>
    <w:rsid w:val="003C0875"/>
    <w:rsid w:val="003C0AFD"/>
    <w:rsid w:val="003C0D33"/>
    <w:rsid w:val="003C0D5E"/>
    <w:rsid w:val="003C0F13"/>
    <w:rsid w:val="003C10B9"/>
    <w:rsid w:val="003C1301"/>
    <w:rsid w:val="003C1386"/>
    <w:rsid w:val="003C140D"/>
    <w:rsid w:val="003C1896"/>
    <w:rsid w:val="003C1CC1"/>
    <w:rsid w:val="003C235C"/>
    <w:rsid w:val="003C23C6"/>
    <w:rsid w:val="003C25F1"/>
    <w:rsid w:val="003C2709"/>
    <w:rsid w:val="003C2758"/>
    <w:rsid w:val="003C2EEB"/>
    <w:rsid w:val="003C352A"/>
    <w:rsid w:val="003C3543"/>
    <w:rsid w:val="003C3635"/>
    <w:rsid w:val="003C363F"/>
    <w:rsid w:val="003C3A48"/>
    <w:rsid w:val="003C3C12"/>
    <w:rsid w:val="003C3D7B"/>
    <w:rsid w:val="003C3F26"/>
    <w:rsid w:val="003C40C4"/>
    <w:rsid w:val="003C445B"/>
    <w:rsid w:val="003C4626"/>
    <w:rsid w:val="003C4D23"/>
    <w:rsid w:val="003C5067"/>
    <w:rsid w:val="003C50E0"/>
    <w:rsid w:val="003C55BE"/>
    <w:rsid w:val="003C5673"/>
    <w:rsid w:val="003C57FF"/>
    <w:rsid w:val="003C5934"/>
    <w:rsid w:val="003C5AC4"/>
    <w:rsid w:val="003C5B80"/>
    <w:rsid w:val="003C5C69"/>
    <w:rsid w:val="003C633B"/>
    <w:rsid w:val="003C6C6A"/>
    <w:rsid w:val="003C711F"/>
    <w:rsid w:val="003C71AA"/>
    <w:rsid w:val="003C77D7"/>
    <w:rsid w:val="003C79CA"/>
    <w:rsid w:val="003D021F"/>
    <w:rsid w:val="003D03CA"/>
    <w:rsid w:val="003D0407"/>
    <w:rsid w:val="003D0675"/>
    <w:rsid w:val="003D0813"/>
    <w:rsid w:val="003D0D8F"/>
    <w:rsid w:val="003D126C"/>
    <w:rsid w:val="003D14CF"/>
    <w:rsid w:val="003D1903"/>
    <w:rsid w:val="003D2D4D"/>
    <w:rsid w:val="003D316A"/>
    <w:rsid w:val="003D333C"/>
    <w:rsid w:val="003D3503"/>
    <w:rsid w:val="003D3CBD"/>
    <w:rsid w:val="003D3E0E"/>
    <w:rsid w:val="003D3EE6"/>
    <w:rsid w:val="003D4150"/>
    <w:rsid w:val="003D471C"/>
    <w:rsid w:val="003D5242"/>
    <w:rsid w:val="003D5621"/>
    <w:rsid w:val="003D5A39"/>
    <w:rsid w:val="003D5DD7"/>
    <w:rsid w:val="003D5F04"/>
    <w:rsid w:val="003D6298"/>
    <w:rsid w:val="003D641A"/>
    <w:rsid w:val="003D6927"/>
    <w:rsid w:val="003D6F09"/>
    <w:rsid w:val="003D7321"/>
    <w:rsid w:val="003D77BD"/>
    <w:rsid w:val="003D7874"/>
    <w:rsid w:val="003D7AB7"/>
    <w:rsid w:val="003D7BD3"/>
    <w:rsid w:val="003E0136"/>
    <w:rsid w:val="003E02C9"/>
    <w:rsid w:val="003E05AA"/>
    <w:rsid w:val="003E0C71"/>
    <w:rsid w:val="003E112D"/>
    <w:rsid w:val="003E1620"/>
    <w:rsid w:val="003E17BF"/>
    <w:rsid w:val="003E1B09"/>
    <w:rsid w:val="003E2670"/>
    <w:rsid w:val="003E2FB8"/>
    <w:rsid w:val="003E3807"/>
    <w:rsid w:val="003E3AD2"/>
    <w:rsid w:val="003E3C08"/>
    <w:rsid w:val="003E4359"/>
    <w:rsid w:val="003E4871"/>
    <w:rsid w:val="003E499D"/>
    <w:rsid w:val="003E4EA2"/>
    <w:rsid w:val="003E5084"/>
    <w:rsid w:val="003E50DE"/>
    <w:rsid w:val="003E53B8"/>
    <w:rsid w:val="003E5B32"/>
    <w:rsid w:val="003E5D5D"/>
    <w:rsid w:val="003E5FB9"/>
    <w:rsid w:val="003E5FFD"/>
    <w:rsid w:val="003E6097"/>
    <w:rsid w:val="003E6118"/>
    <w:rsid w:val="003E655E"/>
    <w:rsid w:val="003E6B59"/>
    <w:rsid w:val="003E6B6A"/>
    <w:rsid w:val="003E6BB9"/>
    <w:rsid w:val="003E6CDE"/>
    <w:rsid w:val="003E6E00"/>
    <w:rsid w:val="003E7599"/>
    <w:rsid w:val="003F0294"/>
    <w:rsid w:val="003F04BD"/>
    <w:rsid w:val="003F04EA"/>
    <w:rsid w:val="003F0CC6"/>
    <w:rsid w:val="003F11A5"/>
    <w:rsid w:val="003F134E"/>
    <w:rsid w:val="003F1533"/>
    <w:rsid w:val="003F15FA"/>
    <w:rsid w:val="003F1617"/>
    <w:rsid w:val="003F1CA8"/>
    <w:rsid w:val="003F2640"/>
    <w:rsid w:val="003F26B0"/>
    <w:rsid w:val="003F298F"/>
    <w:rsid w:val="003F2D19"/>
    <w:rsid w:val="003F2E16"/>
    <w:rsid w:val="003F30A8"/>
    <w:rsid w:val="003F425E"/>
    <w:rsid w:val="003F46E0"/>
    <w:rsid w:val="003F48DC"/>
    <w:rsid w:val="003F4D22"/>
    <w:rsid w:val="003F521A"/>
    <w:rsid w:val="003F538C"/>
    <w:rsid w:val="003F5432"/>
    <w:rsid w:val="003F5547"/>
    <w:rsid w:val="003F571A"/>
    <w:rsid w:val="003F5E00"/>
    <w:rsid w:val="003F6096"/>
    <w:rsid w:val="003F6259"/>
    <w:rsid w:val="003F6B8F"/>
    <w:rsid w:val="003F6E5E"/>
    <w:rsid w:val="003F708B"/>
    <w:rsid w:val="003F71D9"/>
    <w:rsid w:val="003F7252"/>
    <w:rsid w:val="003F7341"/>
    <w:rsid w:val="004000F2"/>
    <w:rsid w:val="0040029C"/>
    <w:rsid w:val="00400660"/>
    <w:rsid w:val="00400703"/>
    <w:rsid w:val="00400844"/>
    <w:rsid w:val="00400938"/>
    <w:rsid w:val="004009D3"/>
    <w:rsid w:val="00400A3B"/>
    <w:rsid w:val="00400DE2"/>
    <w:rsid w:val="00401355"/>
    <w:rsid w:val="0040137B"/>
    <w:rsid w:val="00401446"/>
    <w:rsid w:val="0040170F"/>
    <w:rsid w:val="00401F32"/>
    <w:rsid w:val="004021DA"/>
    <w:rsid w:val="004029C9"/>
    <w:rsid w:val="004032DB"/>
    <w:rsid w:val="004033D0"/>
    <w:rsid w:val="004034DA"/>
    <w:rsid w:val="00403759"/>
    <w:rsid w:val="0040380D"/>
    <w:rsid w:val="00403819"/>
    <w:rsid w:val="00403EA8"/>
    <w:rsid w:val="0040454B"/>
    <w:rsid w:val="00404C33"/>
    <w:rsid w:val="00404D8C"/>
    <w:rsid w:val="00404DD3"/>
    <w:rsid w:val="004050E2"/>
    <w:rsid w:val="0040543C"/>
    <w:rsid w:val="00405C01"/>
    <w:rsid w:val="00405E71"/>
    <w:rsid w:val="00406132"/>
    <w:rsid w:val="00406462"/>
    <w:rsid w:val="0040646A"/>
    <w:rsid w:val="0040678A"/>
    <w:rsid w:val="0040678D"/>
    <w:rsid w:val="004067DD"/>
    <w:rsid w:val="00406DD5"/>
    <w:rsid w:val="0040708B"/>
    <w:rsid w:val="00407782"/>
    <w:rsid w:val="00407A14"/>
    <w:rsid w:val="004100D9"/>
    <w:rsid w:val="004103BD"/>
    <w:rsid w:val="00410536"/>
    <w:rsid w:val="004106D9"/>
    <w:rsid w:val="004107E9"/>
    <w:rsid w:val="00410D47"/>
    <w:rsid w:val="00411024"/>
    <w:rsid w:val="0041128E"/>
    <w:rsid w:val="004118D7"/>
    <w:rsid w:val="00411CA1"/>
    <w:rsid w:val="00411F25"/>
    <w:rsid w:val="00411F3E"/>
    <w:rsid w:val="00412024"/>
    <w:rsid w:val="00412150"/>
    <w:rsid w:val="00412157"/>
    <w:rsid w:val="00412160"/>
    <w:rsid w:val="004123F7"/>
    <w:rsid w:val="00412408"/>
    <w:rsid w:val="004126FF"/>
    <w:rsid w:val="004127F6"/>
    <w:rsid w:val="00412AA8"/>
    <w:rsid w:val="00412E97"/>
    <w:rsid w:val="00412EC4"/>
    <w:rsid w:val="0041317A"/>
    <w:rsid w:val="00413953"/>
    <w:rsid w:val="00413FD4"/>
    <w:rsid w:val="00414073"/>
    <w:rsid w:val="0041456C"/>
    <w:rsid w:val="004148F4"/>
    <w:rsid w:val="0041513C"/>
    <w:rsid w:val="0041527C"/>
    <w:rsid w:val="004153CA"/>
    <w:rsid w:val="0041558D"/>
    <w:rsid w:val="00415911"/>
    <w:rsid w:val="00415C91"/>
    <w:rsid w:val="00416431"/>
    <w:rsid w:val="0041697E"/>
    <w:rsid w:val="00416D35"/>
    <w:rsid w:val="00416F0C"/>
    <w:rsid w:val="0041704A"/>
    <w:rsid w:val="004174C8"/>
    <w:rsid w:val="0041770F"/>
    <w:rsid w:val="004177D7"/>
    <w:rsid w:val="00417850"/>
    <w:rsid w:val="00417864"/>
    <w:rsid w:val="00417B1C"/>
    <w:rsid w:val="00417D09"/>
    <w:rsid w:val="00420033"/>
    <w:rsid w:val="00420991"/>
    <w:rsid w:val="00420A4E"/>
    <w:rsid w:val="00420C48"/>
    <w:rsid w:val="0042101D"/>
    <w:rsid w:val="004210F0"/>
    <w:rsid w:val="004218B0"/>
    <w:rsid w:val="0042191B"/>
    <w:rsid w:val="00421F94"/>
    <w:rsid w:val="004221C5"/>
    <w:rsid w:val="004222F4"/>
    <w:rsid w:val="004223A5"/>
    <w:rsid w:val="00422F1C"/>
    <w:rsid w:val="00423207"/>
    <w:rsid w:val="00423352"/>
    <w:rsid w:val="0042354E"/>
    <w:rsid w:val="00423758"/>
    <w:rsid w:val="00423B3D"/>
    <w:rsid w:val="00423E1E"/>
    <w:rsid w:val="00423F61"/>
    <w:rsid w:val="004243CB"/>
    <w:rsid w:val="004244E0"/>
    <w:rsid w:val="00424702"/>
    <w:rsid w:val="00424848"/>
    <w:rsid w:val="00424A13"/>
    <w:rsid w:val="00424A1C"/>
    <w:rsid w:val="00424B1A"/>
    <w:rsid w:val="00424D83"/>
    <w:rsid w:val="00424F3C"/>
    <w:rsid w:val="00424FF7"/>
    <w:rsid w:val="0042503E"/>
    <w:rsid w:val="004252B2"/>
    <w:rsid w:val="00425360"/>
    <w:rsid w:val="004256F3"/>
    <w:rsid w:val="00425C9C"/>
    <w:rsid w:val="00425E72"/>
    <w:rsid w:val="004267D0"/>
    <w:rsid w:val="00426B84"/>
    <w:rsid w:val="00426C07"/>
    <w:rsid w:val="0042733A"/>
    <w:rsid w:val="0042781A"/>
    <w:rsid w:val="00427851"/>
    <w:rsid w:val="004278E1"/>
    <w:rsid w:val="00427DD7"/>
    <w:rsid w:val="00427FC1"/>
    <w:rsid w:val="00430624"/>
    <w:rsid w:val="00430698"/>
    <w:rsid w:val="00430892"/>
    <w:rsid w:val="00430FAB"/>
    <w:rsid w:val="004312C6"/>
    <w:rsid w:val="00431565"/>
    <w:rsid w:val="004317CD"/>
    <w:rsid w:val="00431B2C"/>
    <w:rsid w:val="00431B8F"/>
    <w:rsid w:val="00431E9F"/>
    <w:rsid w:val="00431F39"/>
    <w:rsid w:val="0043209F"/>
    <w:rsid w:val="00432259"/>
    <w:rsid w:val="00432D03"/>
    <w:rsid w:val="00432D65"/>
    <w:rsid w:val="0043331C"/>
    <w:rsid w:val="004338D2"/>
    <w:rsid w:val="00433A44"/>
    <w:rsid w:val="00433ADE"/>
    <w:rsid w:val="00433D42"/>
    <w:rsid w:val="00433FA4"/>
    <w:rsid w:val="0043481C"/>
    <w:rsid w:val="00434975"/>
    <w:rsid w:val="004349D0"/>
    <w:rsid w:val="00434AD8"/>
    <w:rsid w:val="00434CC1"/>
    <w:rsid w:val="00434CD8"/>
    <w:rsid w:val="004355E7"/>
    <w:rsid w:val="00435AA2"/>
    <w:rsid w:val="00435AB9"/>
    <w:rsid w:val="00436091"/>
    <w:rsid w:val="0043653B"/>
    <w:rsid w:val="00436B5A"/>
    <w:rsid w:val="00436C3D"/>
    <w:rsid w:val="004371DE"/>
    <w:rsid w:val="004377D3"/>
    <w:rsid w:val="00437D9D"/>
    <w:rsid w:val="00437E94"/>
    <w:rsid w:val="00440000"/>
    <w:rsid w:val="00440162"/>
    <w:rsid w:val="0044031B"/>
    <w:rsid w:val="004403DF"/>
    <w:rsid w:val="00440940"/>
    <w:rsid w:val="00440DA6"/>
    <w:rsid w:val="00440DC4"/>
    <w:rsid w:val="00440FF7"/>
    <w:rsid w:val="004411AB"/>
    <w:rsid w:val="004414D6"/>
    <w:rsid w:val="00441625"/>
    <w:rsid w:val="00441F45"/>
    <w:rsid w:val="0044210F"/>
    <w:rsid w:val="004424AD"/>
    <w:rsid w:val="0044280E"/>
    <w:rsid w:val="00442CA3"/>
    <w:rsid w:val="00442D6B"/>
    <w:rsid w:val="00442FE3"/>
    <w:rsid w:val="004431BB"/>
    <w:rsid w:val="004438DC"/>
    <w:rsid w:val="00443F25"/>
    <w:rsid w:val="004446F3"/>
    <w:rsid w:val="00444D9A"/>
    <w:rsid w:val="0044519E"/>
    <w:rsid w:val="004452AF"/>
    <w:rsid w:val="00445554"/>
    <w:rsid w:val="00446099"/>
    <w:rsid w:val="0044615A"/>
    <w:rsid w:val="0044647E"/>
    <w:rsid w:val="00446720"/>
    <w:rsid w:val="00446E4A"/>
    <w:rsid w:val="0044721A"/>
    <w:rsid w:val="004477BF"/>
    <w:rsid w:val="0044786A"/>
    <w:rsid w:val="00447F52"/>
    <w:rsid w:val="00450050"/>
    <w:rsid w:val="0045013B"/>
    <w:rsid w:val="00450275"/>
    <w:rsid w:val="00450759"/>
    <w:rsid w:val="00450DEC"/>
    <w:rsid w:val="00450E75"/>
    <w:rsid w:val="00450FD2"/>
    <w:rsid w:val="00450FD4"/>
    <w:rsid w:val="00451056"/>
    <w:rsid w:val="004516D0"/>
    <w:rsid w:val="00451B78"/>
    <w:rsid w:val="00451DD4"/>
    <w:rsid w:val="0045238C"/>
    <w:rsid w:val="004523B1"/>
    <w:rsid w:val="0045291F"/>
    <w:rsid w:val="00452C21"/>
    <w:rsid w:val="00452C52"/>
    <w:rsid w:val="00453249"/>
    <w:rsid w:val="004532CE"/>
    <w:rsid w:val="00453CBA"/>
    <w:rsid w:val="00453D4E"/>
    <w:rsid w:val="00453E2A"/>
    <w:rsid w:val="00454192"/>
    <w:rsid w:val="00454394"/>
    <w:rsid w:val="00454D2B"/>
    <w:rsid w:val="00454F99"/>
    <w:rsid w:val="004551A2"/>
    <w:rsid w:val="004552D1"/>
    <w:rsid w:val="00455450"/>
    <w:rsid w:val="004555DD"/>
    <w:rsid w:val="00455D87"/>
    <w:rsid w:val="00455E57"/>
    <w:rsid w:val="0045654E"/>
    <w:rsid w:val="00456828"/>
    <w:rsid w:val="0045724A"/>
    <w:rsid w:val="004572AA"/>
    <w:rsid w:val="00457BE6"/>
    <w:rsid w:val="00457CA9"/>
    <w:rsid w:val="00457CAF"/>
    <w:rsid w:val="00457E9C"/>
    <w:rsid w:val="00460000"/>
    <w:rsid w:val="00460002"/>
    <w:rsid w:val="00460087"/>
    <w:rsid w:val="00460109"/>
    <w:rsid w:val="0046019C"/>
    <w:rsid w:val="0046023D"/>
    <w:rsid w:val="00460526"/>
    <w:rsid w:val="004605BA"/>
    <w:rsid w:val="004607CC"/>
    <w:rsid w:val="00461386"/>
    <w:rsid w:val="0046173B"/>
    <w:rsid w:val="00461B47"/>
    <w:rsid w:val="00461C99"/>
    <w:rsid w:val="00461D15"/>
    <w:rsid w:val="00461F75"/>
    <w:rsid w:val="00462107"/>
    <w:rsid w:val="004622C6"/>
    <w:rsid w:val="0046240C"/>
    <w:rsid w:val="00462A58"/>
    <w:rsid w:val="00462DFD"/>
    <w:rsid w:val="00463200"/>
    <w:rsid w:val="0046328C"/>
    <w:rsid w:val="0046389C"/>
    <w:rsid w:val="00463E1A"/>
    <w:rsid w:val="00463F39"/>
    <w:rsid w:val="00463FB8"/>
    <w:rsid w:val="00464530"/>
    <w:rsid w:val="0046478F"/>
    <w:rsid w:val="0046490D"/>
    <w:rsid w:val="00464BF8"/>
    <w:rsid w:val="00464FF4"/>
    <w:rsid w:val="00465CD0"/>
    <w:rsid w:val="00465E39"/>
    <w:rsid w:val="00466CCE"/>
    <w:rsid w:val="0046720D"/>
    <w:rsid w:val="004672FB"/>
    <w:rsid w:val="004675BA"/>
    <w:rsid w:val="0046774C"/>
    <w:rsid w:val="004701B4"/>
    <w:rsid w:val="004704C6"/>
    <w:rsid w:val="004706BA"/>
    <w:rsid w:val="004710D0"/>
    <w:rsid w:val="004711C1"/>
    <w:rsid w:val="00471220"/>
    <w:rsid w:val="00471E56"/>
    <w:rsid w:val="00471E70"/>
    <w:rsid w:val="00473324"/>
    <w:rsid w:val="0047347E"/>
    <w:rsid w:val="00473512"/>
    <w:rsid w:val="004736BF"/>
    <w:rsid w:val="004736D1"/>
    <w:rsid w:val="00473BBE"/>
    <w:rsid w:val="00473C14"/>
    <w:rsid w:val="00473FB2"/>
    <w:rsid w:val="004740CC"/>
    <w:rsid w:val="0047486C"/>
    <w:rsid w:val="004749C9"/>
    <w:rsid w:val="00474D67"/>
    <w:rsid w:val="00475785"/>
    <w:rsid w:val="004760F6"/>
    <w:rsid w:val="004765BA"/>
    <w:rsid w:val="00476D3A"/>
    <w:rsid w:val="004775E8"/>
    <w:rsid w:val="00477C5D"/>
    <w:rsid w:val="00477C8C"/>
    <w:rsid w:val="00477E18"/>
    <w:rsid w:val="00477FC0"/>
    <w:rsid w:val="0048012D"/>
    <w:rsid w:val="00480972"/>
    <w:rsid w:val="00480A8F"/>
    <w:rsid w:val="00480B22"/>
    <w:rsid w:val="00480C80"/>
    <w:rsid w:val="00480C97"/>
    <w:rsid w:val="00480DC5"/>
    <w:rsid w:val="0048122C"/>
    <w:rsid w:val="004812A0"/>
    <w:rsid w:val="00481DFB"/>
    <w:rsid w:val="00481EE9"/>
    <w:rsid w:val="0048231A"/>
    <w:rsid w:val="004827B0"/>
    <w:rsid w:val="00482D8B"/>
    <w:rsid w:val="00482DD8"/>
    <w:rsid w:val="00482E87"/>
    <w:rsid w:val="00482F96"/>
    <w:rsid w:val="004834D0"/>
    <w:rsid w:val="004836A7"/>
    <w:rsid w:val="0048384B"/>
    <w:rsid w:val="00483FEF"/>
    <w:rsid w:val="004840E7"/>
    <w:rsid w:val="00484391"/>
    <w:rsid w:val="004846AC"/>
    <w:rsid w:val="00484A94"/>
    <w:rsid w:val="0048534F"/>
    <w:rsid w:val="0048585D"/>
    <w:rsid w:val="00485A89"/>
    <w:rsid w:val="00486490"/>
    <w:rsid w:val="00486AD9"/>
    <w:rsid w:val="00486BCF"/>
    <w:rsid w:val="00486CCF"/>
    <w:rsid w:val="0048748F"/>
    <w:rsid w:val="00487BBD"/>
    <w:rsid w:val="00487DE4"/>
    <w:rsid w:val="00487EF5"/>
    <w:rsid w:val="00490086"/>
    <w:rsid w:val="004902D0"/>
    <w:rsid w:val="004902F8"/>
    <w:rsid w:val="004904BA"/>
    <w:rsid w:val="0049076F"/>
    <w:rsid w:val="004908EC"/>
    <w:rsid w:val="00490E7D"/>
    <w:rsid w:val="00490FC3"/>
    <w:rsid w:val="0049101A"/>
    <w:rsid w:val="00491495"/>
    <w:rsid w:val="00492017"/>
    <w:rsid w:val="0049210B"/>
    <w:rsid w:val="00492207"/>
    <w:rsid w:val="0049290B"/>
    <w:rsid w:val="00492B1C"/>
    <w:rsid w:val="00493053"/>
    <w:rsid w:val="004930A1"/>
    <w:rsid w:val="00493520"/>
    <w:rsid w:val="004936B7"/>
    <w:rsid w:val="00493D86"/>
    <w:rsid w:val="00493FFB"/>
    <w:rsid w:val="004941C7"/>
    <w:rsid w:val="00494784"/>
    <w:rsid w:val="004950F2"/>
    <w:rsid w:val="004953E0"/>
    <w:rsid w:val="00495630"/>
    <w:rsid w:val="00495B93"/>
    <w:rsid w:val="00495D33"/>
    <w:rsid w:val="00495D3D"/>
    <w:rsid w:val="00496090"/>
    <w:rsid w:val="00496101"/>
    <w:rsid w:val="0049687C"/>
    <w:rsid w:val="004968BF"/>
    <w:rsid w:val="00496907"/>
    <w:rsid w:val="00496A73"/>
    <w:rsid w:val="00496BD2"/>
    <w:rsid w:val="00496C10"/>
    <w:rsid w:val="00496E19"/>
    <w:rsid w:val="0049755A"/>
    <w:rsid w:val="004977FB"/>
    <w:rsid w:val="00497D10"/>
    <w:rsid w:val="004A016A"/>
    <w:rsid w:val="004A04B7"/>
    <w:rsid w:val="004A0529"/>
    <w:rsid w:val="004A0549"/>
    <w:rsid w:val="004A08F8"/>
    <w:rsid w:val="004A0977"/>
    <w:rsid w:val="004A0AB2"/>
    <w:rsid w:val="004A0BBA"/>
    <w:rsid w:val="004A124A"/>
    <w:rsid w:val="004A1392"/>
    <w:rsid w:val="004A1BE0"/>
    <w:rsid w:val="004A1CC0"/>
    <w:rsid w:val="004A1E2D"/>
    <w:rsid w:val="004A204D"/>
    <w:rsid w:val="004A2099"/>
    <w:rsid w:val="004A28A9"/>
    <w:rsid w:val="004A2990"/>
    <w:rsid w:val="004A2ACA"/>
    <w:rsid w:val="004A2B25"/>
    <w:rsid w:val="004A2C8E"/>
    <w:rsid w:val="004A2E84"/>
    <w:rsid w:val="004A3026"/>
    <w:rsid w:val="004A3175"/>
    <w:rsid w:val="004A322B"/>
    <w:rsid w:val="004A35AC"/>
    <w:rsid w:val="004A362A"/>
    <w:rsid w:val="004A3B43"/>
    <w:rsid w:val="004A3FA6"/>
    <w:rsid w:val="004A43AC"/>
    <w:rsid w:val="004A462A"/>
    <w:rsid w:val="004A463D"/>
    <w:rsid w:val="004A4B1B"/>
    <w:rsid w:val="004A4CBB"/>
    <w:rsid w:val="004A50B4"/>
    <w:rsid w:val="004A512F"/>
    <w:rsid w:val="004A60CD"/>
    <w:rsid w:val="004A6506"/>
    <w:rsid w:val="004A6E83"/>
    <w:rsid w:val="004A752C"/>
    <w:rsid w:val="004A7B0B"/>
    <w:rsid w:val="004B0778"/>
    <w:rsid w:val="004B07E6"/>
    <w:rsid w:val="004B092F"/>
    <w:rsid w:val="004B098C"/>
    <w:rsid w:val="004B1689"/>
    <w:rsid w:val="004B17C4"/>
    <w:rsid w:val="004B19B7"/>
    <w:rsid w:val="004B1FC1"/>
    <w:rsid w:val="004B20B1"/>
    <w:rsid w:val="004B2948"/>
    <w:rsid w:val="004B2F34"/>
    <w:rsid w:val="004B3FAA"/>
    <w:rsid w:val="004B451B"/>
    <w:rsid w:val="004B4605"/>
    <w:rsid w:val="004B46FC"/>
    <w:rsid w:val="004B4751"/>
    <w:rsid w:val="004B4763"/>
    <w:rsid w:val="004B4A46"/>
    <w:rsid w:val="004B4A60"/>
    <w:rsid w:val="004B4A6E"/>
    <w:rsid w:val="004B4A77"/>
    <w:rsid w:val="004B5A52"/>
    <w:rsid w:val="004B5A63"/>
    <w:rsid w:val="004B5D88"/>
    <w:rsid w:val="004B622B"/>
    <w:rsid w:val="004B62B2"/>
    <w:rsid w:val="004B675C"/>
    <w:rsid w:val="004B695A"/>
    <w:rsid w:val="004B6B79"/>
    <w:rsid w:val="004B6E5D"/>
    <w:rsid w:val="004B6E9B"/>
    <w:rsid w:val="004B7881"/>
    <w:rsid w:val="004B7B37"/>
    <w:rsid w:val="004B7B8B"/>
    <w:rsid w:val="004B7CBE"/>
    <w:rsid w:val="004C0113"/>
    <w:rsid w:val="004C02B4"/>
    <w:rsid w:val="004C0A39"/>
    <w:rsid w:val="004C1057"/>
    <w:rsid w:val="004C153F"/>
    <w:rsid w:val="004C1BB2"/>
    <w:rsid w:val="004C2147"/>
    <w:rsid w:val="004C296C"/>
    <w:rsid w:val="004C298E"/>
    <w:rsid w:val="004C31D7"/>
    <w:rsid w:val="004C33E0"/>
    <w:rsid w:val="004C37FF"/>
    <w:rsid w:val="004C39B5"/>
    <w:rsid w:val="004C3A1E"/>
    <w:rsid w:val="004C4019"/>
    <w:rsid w:val="004C41E5"/>
    <w:rsid w:val="004C43DF"/>
    <w:rsid w:val="004C456F"/>
    <w:rsid w:val="004C4DB1"/>
    <w:rsid w:val="004C536B"/>
    <w:rsid w:val="004C56A5"/>
    <w:rsid w:val="004C64FD"/>
    <w:rsid w:val="004C67C1"/>
    <w:rsid w:val="004C6A02"/>
    <w:rsid w:val="004C6F0D"/>
    <w:rsid w:val="004C750C"/>
    <w:rsid w:val="004C7713"/>
    <w:rsid w:val="004C7905"/>
    <w:rsid w:val="004C7E63"/>
    <w:rsid w:val="004C7F3A"/>
    <w:rsid w:val="004D0142"/>
    <w:rsid w:val="004D055B"/>
    <w:rsid w:val="004D0A90"/>
    <w:rsid w:val="004D0B0A"/>
    <w:rsid w:val="004D0B47"/>
    <w:rsid w:val="004D1A3D"/>
    <w:rsid w:val="004D1C1A"/>
    <w:rsid w:val="004D1D6F"/>
    <w:rsid w:val="004D1DC9"/>
    <w:rsid w:val="004D20DD"/>
    <w:rsid w:val="004D2442"/>
    <w:rsid w:val="004D2A2E"/>
    <w:rsid w:val="004D2ACA"/>
    <w:rsid w:val="004D2D83"/>
    <w:rsid w:val="004D3412"/>
    <w:rsid w:val="004D3A5D"/>
    <w:rsid w:val="004D3B2F"/>
    <w:rsid w:val="004D3D46"/>
    <w:rsid w:val="004D4903"/>
    <w:rsid w:val="004D4A56"/>
    <w:rsid w:val="004D4B04"/>
    <w:rsid w:val="004D520C"/>
    <w:rsid w:val="004D5983"/>
    <w:rsid w:val="004D61A7"/>
    <w:rsid w:val="004D6431"/>
    <w:rsid w:val="004D64DD"/>
    <w:rsid w:val="004D65AF"/>
    <w:rsid w:val="004D6A4C"/>
    <w:rsid w:val="004D6B5C"/>
    <w:rsid w:val="004D6CAB"/>
    <w:rsid w:val="004D7098"/>
    <w:rsid w:val="004D712E"/>
    <w:rsid w:val="004D72E7"/>
    <w:rsid w:val="004D73DB"/>
    <w:rsid w:val="004D74EF"/>
    <w:rsid w:val="004D755B"/>
    <w:rsid w:val="004D7575"/>
    <w:rsid w:val="004E04C5"/>
    <w:rsid w:val="004E06FC"/>
    <w:rsid w:val="004E0B4B"/>
    <w:rsid w:val="004E0E12"/>
    <w:rsid w:val="004E11A6"/>
    <w:rsid w:val="004E1B7C"/>
    <w:rsid w:val="004E1E0F"/>
    <w:rsid w:val="004E22D6"/>
    <w:rsid w:val="004E2550"/>
    <w:rsid w:val="004E2A76"/>
    <w:rsid w:val="004E3071"/>
    <w:rsid w:val="004E3244"/>
    <w:rsid w:val="004E3689"/>
    <w:rsid w:val="004E36DB"/>
    <w:rsid w:val="004E3CCD"/>
    <w:rsid w:val="004E3DDA"/>
    <w:rsid w:val="004E3FE7"/>
    <w:rsid w:val="004E40A6"/>
    <w:rsid w:val="004E4337"/>
    <w:rsid w:val="004E465C"/>
    <w:rsid w:val="004E4AAE"/>
    <w:rsid w:val="004E5705"/>
    <w:rsid w:val="004E61F4"/>
    <w:rsid w:val="004E6355"/>
    <w:rsid w:val="004E6685"/>
    <w:rsid w:val="004E6CFA"/>
    <w:rsid w:val="004E7349"/>
    <w:rsid w:val="004E759D"/>
    <w:rsid w:val="004E7698"/>
    <w:rsid w:val="004E7778"/>
    <w:rsid w:val="004E7B32"/>
    <w:rsid w:val="004E7E00"/>
    <w:rsid w:val="004F01C8"/>
    <w:rsid w:val="004F0540"/>
    <w:rsid w:val="004F071C"/>
    <w:rsid w:val="004F1CB1"/>
    <w:rsid w:val="004F23D7"/>
    <w:rsid w:val="004F253B"/>
    <w:rsid w:val="004F2DE3"/>
    <w:rsid w:val="004F2EEF"/>
    <w:rsid w:val="004F32D1"/>
    <w:rsid w:val="004F34C8"/>
    <w:rsid w:val="004F3B61"/>
    <w:rsid w:val="004F3E4A"/>
    <w:rsid w:val="004F4604"/>
    <w:rsid w:val="004F47F8"/>
    <w:rsid w:val="004F4BBD"/>
    <w:rsid w:val="004F4C9B"/>
    <w:rsid w:val="004F4E4C"/>
    <w:rsid w:val="004F50EF"/>
    <w:rsid w:val="004F5333"/>
    <w:rsid w:val="004F54AD"/>
    <w:rsid w:val="004F5D8D"/>
    <w:rsid w:val="004F5E34"/>
    <w:rsid w:val="004F65D4"/>
    <w:rsid w:val="004F6788"/>
    <w:rsid w:val="004F6A77"/>
    <w:rsid w:val="004F6EE1"/>
    <w:rsid w:val="004F7285"/>
    <w:rsid w:val="004F7781"/>
    <w:rsid w:val="004F7910"/>
    <w:rsid w:val="004F7CC3"/>
    <w:rsid w:val="004F7CEC"/>
    <w:rsid w:val="005010FF"/>
    <w:rsid w:val="00501497"/>
    <w:rsid w:val="00501857"/>
    <w:rsid w:val="0050187D"/>
    <w:rsid w:val="00501B07"/>
    <w:rsid w:val="00502040"/>
    <w:rsid w:val="00502813"/>
    <w:rsid w:val="00502E68"/>
    <w:rsid w:val="00503519"/>
    <w:rsid w:val="00503940"/>
    <w:rsid w:val="005039A5"/>
    <w:rsid w:val="00504138"/>
    <w:rsid w:val="005041A8"/>
    <w:rsid w:val="0050420F"/>
    <w:rsid w:val="0050422F"/>
    <w:rsid w:val="005044AF"/>
    <w:rsid w:val="00504664"/>
    <w:rsid w:val="005057D3"/>
    <w:rsid w:val="00505A53"/>
    <w:rsid w:val="00505D85"/>
    <w:rsid w:val="005061D3"/>
    <w:rsid w:val="005066F3"/>
    <w:rsid w:val="00506C58"/>
    <w:rsid w:val="0050716C"/>
    <w:rsid w:val="0050759C"/>
    <w:rsid w:val="00507BB7"/>
    <w:rsid w:val="00507BE9"/>
    <w:rsid w:val="00507CC1"/>
    <w:rsid w:val="00507D5E"/>
    <w:rsid w:val="005103C7"/>
    <w:rsid w:val="0051042F"/>
    <w:rsid w:val="00510933"/>
    <w:rsid w:val="00510D7A"/>
    <w:rsid w:val="00511227"/>
    <w:rsid w:val="0051139A"/>
    <w:rsid w:val="00511731"/>
    <w:rsid w:val="00511779"/>
    <w:rsid w:val="005117A9"/>
    <w:rsid w:val="00511C67"/>
    <w:rsid w:val="00511E36"/>
    <w:rsid w:val="00512095"/>
    <w:rsid w:val="00512A54"/>
    <w:rsid w:val="00512BF0"/>
    <w:rsid w:val="00512E10"/>
    <w:rsid w:val="00512E39"/>
    <w:rsid w:val="00513199"/>
    <w:rsid w:val="0051379F"/>
    <w:rsid w:val="005137D2"/>
    <w:rsid w:val="00513873"/>
    <w:rsid w:val="005138B8"/>
    <w:rsid w:val="00513B26"/>
    <w:rsid w:val="00513CA3"/>
    <w:rsid w:val="00513FA8"/>
    <w:rsid w:val="00514055"/>
    <w:rsid w:val="0051432E"/>
    <w:rsid w:val="00514480"/>
    <w:rsid w:val="005147EE"/>
    <w:rsid w:val="00514B6F"/>
    <w:rsid w:val="00514C76"/>
    <w:rsid w:val="00514F4F"/>
    <w:rsid w:val="005150AC"/>
    <w:rsid w:val="0051553D"/>
    <w:rsid w:val="00515548"/>
    <w:rsid w:val="005156C4"/>
    <w:rsid w:val="005157AD"/>
    <w:rsid w:val="00515C72"/>
    <w:rsid w:val="0051603D"/>
    <w:rsid w:val="005160A1"/>
    <w:rsid w:val="00516193"/>
    <w:rsid w:val="005163EF"/>
    <w:rsid w:val="0051685A"/>
    <w:rsid w:val="00516D77"/>
    <w:rsid w:val="005170DE"/>
    <w:rsid w:val="0051725A"/>
    <w:rsid w:val="0051740D"/>
    <w:rsid w:val="005178A0"/>
    <w:rsid w:val="005178BE"/>
    <w:rsid w:val="00520018"/>
    <w:rsid w:val="0052016B"/>
    <w:rsid w:val="00520619"/>
    <w:rsid w:val="00520A77"/>
    <w:rsid w:val="00520D2C"/>
    <w:rsid w:val="00521141"/>
    <w:rsid w:val="00521667"/>
    <w:rsid w:val="005216DF"/>
    <w:rsid w:val="0052171E"/>
    <w:rsid w:val="00521EFB"/>
    <w:rsid w:val="00521F60"/>
    <w:rsid w:val="00521F80"/>
    <w:rsid w:val="0052215F"/>
    <w:rsid w:val="005221C4"/>
    <w:rsid w:val="005223D7"/>
    <w:rsid w:val="00522B93"/>
    <w:rsid w:val="00522BB5"/>
    <w:rsid w:val="00522D6F"/>
    <w:rsid w:val="00522E7F"/>
    <w:rsid w:val="00522E91"/>
    <w:rsid w:val="00522F20"/>
    <w:rsid w:val="00523223"/>
    <w:rsid w:val="00523337"/>
    <w:rsid w:val="00523541"/>
    <w:rsid w:val="00523823"/>
    <w:rsid w:val="00523871"/>
    <w:rsid w:val="00523873"/>
    <w:rsid w:val="00523AE5"/>
    <w:rsid w:val="005242FF"/>
    <w:rsid w:val="0052452C"/>
    <w:rsid w:val="00524B1C"/>
    <w:rsid w:val="00524D54"/>
    <w:rsid w:val="005258C6"/>
    <w:rsid w:val="00525B6C"/>
    <w:rsid w:val="00526563"/>
    <w:rsid w:val="005265DE"/>
    <w:rsid w:val="005265FC"/>
    <w:rsid w:val="00526670"/>
    <w:rsid w:val="0052671D"/>
    <w:rsid w:val="00526A7E"/>
    <w:rsid w:val="005277D7"/>
    <w:rsid w:val="00527B91"/>
    <w:rsid w:val="00527CBC"/>
    <w:rsid w:val="00527E73"/>
    <w:rsid w:val="00527EAC"/>
    <w:rsid w:val="005300F1"/>
    <w:rsid w:val="00530130"/>
    <w:rsid w:val="00530151"/>
    <w:rsid w:val="005309EB"/>
    <w:rsid w:val="00530AA3"/>
    <w:rsid w:val="00530CCB"/>
    <w:rsid w:val="00530F32"/>
    <w:rsid w:val="0053159B"/>
    <w:rsid w:val="00531667"/>
    <w:rsid w:val="0053168F"/>
    <w:rsid w:val="00531718"/>
    <w:rsid w:val="00531846"/>
    <w:rsid w:val="00531B37"/>
    <w:rsid w:val="00531EA2"/>
    <w:rsid w:val="0053204F"/>
    <w:rsid w:val="00532467"/>
    <w:rsid w:val="005324B4"/>
    <w:rsid w:val="00532B10"/>
    <w:rsid w:val="00532E9D"/>
    <w:rsid w:val="0053345E"/>
    <w:rsid w:val="00533469"/>
    <w:rsid w:val="005338B1"/>
    <w:rsid w:val="0053394D"/>
    <w:rsid w:val="00533E77"/>
    <w:rsid w:val="00533EDF"/>
    <w:rsid w:val="005344C3"/>
    <w:rsid w:val="00534511"/>
    <w:rsid w:val="00534522"/>
    <w:rsid w:val="0053457F"/>
    <w:rsid w:val="005345EC"/>
    <w:rsid w:val="00535166"/>
    <w:rsid w:val="0053553D"/>
    <w:rsid w:val="005357C2"/>
    <w:rsid w:val="00535BA0"/>
    <w:rsid w:val="00535F3D"/>
    <w:rsid w:val="005360BE"/>
    <w:rsid w:val="0053627F"/>
    <w:rsid w:val="005367D1"/>
    <w:rsid w:val="005367D7"/>
    <w:rsid w:val="00536C3E"/>
    <w:rsid w:val="00536FB7"/>
    <w:rsid w:val="00537718"/>
    <w:rsid w:val="0053797F"/>
    <w:rsid w:val="00537FCC"/>
    <w:rsid w:val="00540357"/>
    <w:rsid w:val="005408B7"/>
    <w:rsid w:val="00540B08"/>
    <w:rsid w:val="00541361"/>
    <w:rsid w:val="00541DB7"/>
    <w:rsid w:val="005422B8"/>
    <w:rsid w:val="00542443"/>
    <w:rsid w:val="0054325B"/>
    <w:rsid w:val="00543392"/>
    <w:rsid w:val="00543738"/>
    <w:rsid w:val="0054374F"/>
    <w:rsid w:val="00543872"/>
    <w:rsid w:val="00543EAE"/>
    <w:rsid w:val="00544098"/>
    <w:rsid w:val="005440DE"/>
    <w:rsid w:val="00544342"/>
    <w:rsid w:val="0054482F"/>
    <w:rsid w:val="005449F6"/>
    <w:rsid w:val="00544FA2"/>
    <w:rsid w:val="00545164"/>
    <w:rsid w:val="005451AD"/>
    <w:rsid w:val="00545929"/>
    <w:rsid w:val="00545B16"/>
    <w:rsid w:val="00545B1D"/>
    <w:rsid w:val="00545B55"/>
    <w:rsid w:val="00546C40"/>
    <w:rsid w:val="00546F99"/>
    <w:rsid w:val="00547612"/>
    <w:rsid w:val="0054790C"/>
    <w:rsid w:val="005502E7"/>
    <w:rsid w:val="00550376"/>
    <w:rsid w:val="005505F4"/>
    <w:rsid w:val="005507F1"/>
    <w:rsid w:val="00550C3B"/>
    <w:rsid w:val="00550D1A"/>
    <w:rsid w:val="00551242"/>
    <w:rsid w:val="00551A1A"/>
    <w:rsid w:val="00551BA1"/>
    <w:rsid w:val="00551C5F"/>
    <w:rsid w:val="00552057"/>
    <w:rsid w:val="005520CE"/>
    <w:rsid w:val="005521F5"/>
    <w:rsid w:val="005522AC"/>
    <w:rsid w:val="005525AC"/>
    <w:rsid w:val="00552631"/>
    <w:rsid w:val="005526DA"/>
    <w:rsid w:val="005527B6"/>
    <w:rsid w:val="00552FAD"/>
    <w:rsid w:val="005532D8"/>
    <w:rsid w:val="00553673"/>
    <w:rsid w:val="005536C5"/>
    <w:rsid w:val="00553749"/>
    <w:rsid w:val="00553885"/>
    <w:rsid w:val="00553A3E"/>
    <w:rsid w:val="00553CF3"/>
    <w:rsid w:val="00553E15"/>
    <w:rsid w:val="00553FBB"/>
    <w:rsid w:val="0055445C"/>
    <w:rsid w:val="00554476"/>
    <w:rsid w:val="005544A3"/>
    <w:rsid w:val="005549E0"/>
    <w:rsid w:val="00554D29"/>
    <w:rsid w:val="00554EB5"/>
    <w:rsid w:val="005558BE"/>
    <w:rsid w:val="00555DF1"/>
    <w:rsid w:val="00555E7D"/>
    <w:rsid w:val="0055616C"/>
    <w:rsid w:val="0055669B"/>
    <w:rsid w:val="00556960"/>
    <w:rsid w:val="005570EE"/>
    <w:rsid w:val="005571B5"/>
    <w:rsid w:val="00557989"/>
    <w:rsid w:val="005579F9"/>
    <w:rsid w:val="00557AE5"/>
    <w:rsid w:val="00557DE4"/>
    <w:rsid w:val="00557F5E"/>
    <w:rsid w:val="005601C5"/>
    <w:rsid w:val="0056085B"/>
    <w:rsid w:val="00560932"/>
    <w:rsid w:val="00560A0A"/>
    <w:rsid w:val="00560ECC"/>
    <w:rsid w:val="005610CC"/>
    <w:rsid w:val="0056146E"/>
    <w:rsid w:val="00561696"/>
    <w:rsid w:val="00561C82"/>
    <w:rsid w:val="00561DCE"/>
    <w:rsid w:val="0056219A"/>
    <w:rsid w:val="0056219E"/>
    <w:rsid w:val="00562274"/>
    <w:rsid w:val="005623BA"/>
    <w:rsid w:val="005625C8"/>
    <w:rsid w:val="0056268C"/>
    <w:rsid w:val="005626EB"/>
    <w:rsid w:val="00562E38"/>
    <w:rsid w:val="00563223"/>
    <w:rsid w:val="005638BC"/>
    <w:rsid w:val="005638F9"/>
    <w:rsid w:val="00563CF7"/>
    <w:rsid w:val="00563D00"/>
    <w:rsid w:val="00563F65"/>
    <w:rsid w:val="00564009"/>
    <w:rsid w:val="0056409D"/>
    <w:rsid w:val="0056450B"/>
    <w:rsid w:val="00565326"/>
    <w:rsid w:val="0056574C"/>
    <w:rsid w:val="00565A16"/>
    <w:rsid w:val="005664ED"/>
    <w:rsid w:val="005665CF"/>
    <w:rsid w:val="00566FF3"/>
    <w:rsid w:val="005671AA"/>
    <w:rsid w:val="00567455"/>
    <w:rsid w:val="005676A8"/>
    <w:rsid w:val="00567717"/>
    <w:rsid w:val="00567A46"/>
    <w:rsid w:val="00567A99"/>
    <w:rsid w:val="00567D08"/>
    <w:rsid w:val="00567D41"/>
    <w:rsid w:val="00567D82"/>
    <w:rsid w:val="00567E57"/>
    <w:rsid w:val="005701C8"/>
    <w:rsid w:val="0057022E"/>
    <w:rsid w:val="00570C0A"/>
    <w:rsid w:val="005712FA"/>
    <w:rsid w:val="00571703"/>
    <w:rsid w:val="00571A72"/>
    <w:rsid w:val="00571B8C"/>
    <w:rsid w:val="00571D80"/>
    <w:rsid w:val="00571DB5"/>
    <w:rsid w:val="00571EC3"/>
    <w:rsid w:val="005724F5"/>
    <w:rsid w:val="00572C16"/>
    <w:rsid w:val="0057307A"/>
    <w:rsid w:val="005730AA"/>
    <w:rsid w:val="005731B3"/>
    <w:rsid w:val="005736F0"/>
    <w:rsid w:val="00573AF3"/>
    <w:rsid w:val="00573D3F"/>
    <w:rsid w:val="00573D8C"/>
    <w:rsid w:val="00573EFF"/>
    <w:rsid w:val="005740FB"/>
    <w:rsid w:val="00574D29"/>
    <w:rsid w:val="00574E17"/>
    <w:rsid w:val="00575807"/>
    <w:rsid w:val="005759CC"/>
    <w:rsid w:val="00575FC7"/>
    <w:rsid w:val="00576379"/>
    <w:rsid w:val="005764DD"/>
    <w:rsid w:val="00576C10"/>
    <w:rsid w:val="00576E40"/>
    <w:rsid w:val="00577152"/>
    <w:rsid w:val="00577AF2"/>
    <w:rsid w:val="00577CBD"/>
    <w:rsid w:val="00577CF9"/>
    <w:rsid w:val="00577D7C"/>
    <w:rsid w:val="00580357"/>
    <w:rsid w:val="00580A1B"/>
    <w:rsid w:val="0058144F"/>
    <w:rsid w:val="005816AC"/>
    <w:rsid w:val="00581949"/>
    <w:rsid w:val="00581AD8"/>
    <w:rsid w:val="00581FC1"/>
    <w:rsid w:val="005824BA"/>
    <w:rsid w:val="00582633"/>
    <w:rsid w:val="005827B6"/>
    <w:rsid w:val="005829F2"/>
    <w:rsid w:val="00582A7B"/>
    <w:rsid w:val="00582BCF"/>
    <w:rsid w:val="00582FB4"/>
    <w:rsid w:val="0058315B"/>
    <w:rsid w:val="00583285"/>
    <w:rsid w:val="0058338A"/>
    <w:rsid w:val="0058347D"/>
    <w:rsid w:val="005837F2"/>
    <w:rsid w:val="0058412F"/>
    <w:rsid w:val="005841AC"/>
    <w:rsid w:val="005841F8"/>
    <w:rsid w:val="00584BD8"/>
    <w:rsid w:val="00584DED"/>
    <w:rsid w:val="00585279"/>
    <w:rsid w:val="00585761"/>
    <w:rsid w:val="00585A60"/>
    <w:rsid w:val="0058602C"/>
    <w:rsid w:val="0058648E"/>
    <w:rsid w:val="005865D5"/>
    <w:rsid w:val="00586971"/>
    <w:rsid w:val="00586DAF"/>
    <w:rsid w:val="00587218"/>
    <w:rsid w:val="0058791C"/>
    <w:rsid w:val="00587A86"/>
    <w:rsid w:val="005900B1"/>
    <w:rsid w:val="00590316"/>
    <w:rsid w:val="00590F5A"/>
    <w:rsid w:val="00590FD4"/>
    <w:rsid w:val="00591175"/>
    <w:rsid w:val="0059135D"/>
    <w:rsid w:val="00591490"/>
    <w:rsid w:val="005920B3"/>
    <w:rsid w:val="00592280"/>
    <w:rsid w:val="005924F7"/>
    <w:rsid w:val="00592572"/>
    <w:rsid w:val="00592628"/>
    <w:rsid w:val="00592D1D"/>
    <w:rsid w:val="00592D56"/>
    <w:rsid w:val="00593528"/>
    <w:rsid w:val="00593EFC"/>
    <w:rsid w:val="0059409F"/>
    <w:rsid w:val="0059430C"/>
    <w:rsid w:val="005943A7"/>
    <w:rsid w:val="0059469D"/>
    <w:rsid w:val="00594815"/>
    <w:rsid w:val="005948A8"/>
    <w:rsid w:val="00594C1B"/>
    <w:rsid w:val="00594CB1"/>
    <w:rsid w:val="00594DF5"/>
    <w:rsid w:val="00594E08"/>
    <w:rsid w:val="00594E9C"/>
    <w:rsid w:val="00595138"/>
    <w:rsid w:val="00595235"/>
    <w:rsid w:val="00595252"/>
    <w:rsid w:val="0059568C"/>
    <w:rsid w:val="005957CD"/>
    <w:rsid w:val="00595C58"/>
    <w:rsid w:val="00595C8C"/>
    <w:rsid w:val="00595F02"/>
    <w:rsid w:val="00596258"/>
    <w:rsid w:val="00596CA8"/>
    <w:rsid w:val="00596E86"/>
    <w:rsid w:val="0059706A"/>
    <w:rsid w:val="0059706E"/>
    <w:rsid w:val="00597389"/>
    <w:rsid w:val="00597C1B"/>
    <w:rsid w:val="00597D2B"/>
    <w:rsid w:val="005A0721"/>
    <w:rsid w:val="005A0A99"/>
    <w:rsid w:val="005A0C69"/>
    <w:rsid w:val="005A14DB"/>
    <w:rsid w:val="005A18C4"/>
    <w:rsid w:val="005A193F"/>
    <w:rsid w:val="005A1A23"/>
    <w:rsid w:val="005A1A63"/>
    <w:rsid w:val="005A1EB6"/>
    <w:rsid w:val="005A1FC4"/>
    <w:rsid w:val="005A245A"/>
    <w:rsid w:val="005A2D9E"/>
    <w:rsid w:val="005A2FE5"/>
    <w:rsid w:val="005A399A"/>
    <w:rsid w:val="005A3C44"/>
    <w:rsid w:val="005A4078"/>
    <w:rsid w:val="005A4198"/>
    <w:rsid w:val="005A41A9"/>
    <w:rsid w:val="005A43CB"/>
    <w:rsid w:val="005A466C"/>
    <w:rsid w:val="005A4D0E"/>
    <w:rsid w:val="005A4D84"/>
    <w:rsid w:val="005A5732"/>
    <w:rsid w:val="005A598C"/>
    <w:rsid w:val="005A59CF"/>
    <w:rsid w:val="005A59FD"/>
    <w:rsid w:val="005A5C5A"/>
    <w:rsid w:val="005A5DAB"/>
    <w:rsid w:val="005A5DDB"/>
    <w:rsid w:val="005A6399"/>
    <w:rsid w:val="005A654C"/>
    <w:rsid w:val="005A65E0"/>
    <w:rsid w:val="005A67F3"/>
    <w:rsid w:val="005A6E4D"/>
    <w:rsid w:val="005A703D"/>
    <w:rsid w:val="005A7479"/>
    <w:rsid w:val="005A7D64"/>
    <w:rsid w:val="005A7D99"/>
    <w:rsid w:val="005B01C4"/>
    <w:rsid w:val="005B07BA"/>
    <w:rsid w:val="005B088E"/>
    <w:rsid w:val="005B0C5A"/>
    <w:rsid w:val="005B169E"/>
    <w:rsid w:val="005B1714"/>
    <w:rsid w:val="005B186C"/>
    <w:rsid w:val="005B1DA9"/>
    <w:rsid w:val="005B1DDE"/>
    <w:rsid w:val="005B1E0E"/>
    <w:rsid w:val="005B263A"/>
    <w:rsid w:val="005B2CD4"/>
    <w:rsid w:val="005B2D15"/>
    <w:rsid w:val="005B3417"/>
    <w:rsid w:val="005B3443"/>
    <w:rsid w:val="005B3C61"/>
    <w:rsid w:val="005B3F17"/>
    <w:rsid w:val="005B40C6"/>
    <w:rsid w:val="005B4E2C"/>
    <w:rsid w:val="005B51E0"/>
    <w:rsid w:val="005B53E6"/>
    <w:rsid w:val="005B5572"/>
    <w:rsid w:val="005B5B85"/>
    <w:rsid w:val="005B6190"/>
    <w:rsid w:val="005B6258"/>
    <w:rsid w:val="005B65A6"/>
    <w:rsid w:val="005B6CCA"/>
    <w:rsid w:val="005B6FE3"/>
    <w:rsid w:val="005B715D"/>
    <w:rsid w:val="005B7179"/>
    <w:rsid w:val="005B7768"/>
    <w:rsid w:val="005B7AB1"/>
    <w:rsid w:val="005B7E1E"/>
    <w:rsid w:val="005C0008"/>
    <w:rsid w:val="005C0C59"/>
    <w:rsid w:val="005C0DB7"/>
    <w:rsid w:val="005C0F68"/>
    <w:rsid w:val="005C1020"/>
    <w:rsid w:val="005C10CF"/>
    <w:rsid w:val="005C1241"/>
    <w:rsid w:val="005C140A"/>
    <w:rsid w:val="005C14B2"/>
    <w:rsid w:val="005C14CE"/>
    <w:rsid w:val="005C1507"/>
    <w:rsid w:val="005C1778"/>
    <w:rsid w:val="005C1A08"/>
    <w:rsid w:val="005C1D9F"/>
    <w:rsid w:val="005C2116"/>
    <w:rsid w:val="005C22B7"/>
    <w:rsid w:val="005C2A81"/>
    <w:rsid w:val="005C2BCB"/>
    <w:rsid w:val="005C3343"/>
    <w:rsid w:val="005C3973"/>
    <w:rsid w:val="005C456B"/>
    <w:rsid w:val="005C4CA0"/>
    <w:rsid w:val="005C4E98"/>
    <w:rsid w:val="005C5B58"/>
    <w:rsid w:val="005C5F91"/>
    <w:rsid w:val="005C6087"/>
    <w:rsid w:val="005C61FF"/>
    <w:rsid w:val="005C6359"/>
    <w:rsid w:val="005C68DA"/>
    <w:rsid w:val="005C694E"/>
    <w:rsid w:val="005C6B5F"/>
    <w:rsid w:val="005C6DA2"/>
    <w:rsid w:val="005C75B0"/>
    <w:rsid w:val="005C78B7"/>
    <w:rsid w:val="005C7B9C"/>
    <w:rsid w:val="005D0422"/>
    <w:rsid w:val="005D0614"/>
    <w:rsid w:val="005D0921"/>
    <w:rsid w:val="005D09E5"/>
    <w:rsid w:val="005D0A72"/>
    <w:rsid w:val="005D0B3D"/>
    <w:rsid w:val="005D0C6B"/>
    <w:rsid w:val="005D11DB"/>
    <w:rsid w:val="005D1439"/>
    <w:rsid w:val="005D16B3"/>
    <w:rsid w:val="005D1713"/>
    <w:rsid w:val="005D1B49"/>
    <w:rsid w:val="005D1C39"/>
    <w:rsid w:val="005D2709"/>
    <w:rsid w:val="005D27B8"/>
    <w:rsid w:val="005D2803"/>
    <w:rsid w:val="005D2A94"/>
    <w:rsid w:val="005D2C53"/>
    <w:rsid w:val="005D2D81"/>
    <w:rsid w:val="005D2FFE"/>
    <w:rsid w:val="005D3479"/>
    <w:rsid w:val="005D35D5"/>
    <w:rsid w:val="005D3B51"/>
    <w:rsid w:val="005D4172"/>
    <w:rsid w:val="005D46D4"/>
    <w:rsid w:val="005D4ADF"/>
    <w:rsid w:val="005D4B2D"/>
    <w:rsid w:val="005D4D64"/>
    <w:rsid w:val="005D53B3"/>
    <w:rsid w:val="005D586D"/>
    <w:rsid w:val="005D58D5"/>
    <w:rsid w:val="005D5A38"/>
    <w:rsid w:val="005D5F28"/>
    <w:rsid w:val="005D63D5"/>
    <w:rsid w:val="005D6576"/>
    <w:rsid w:val="005D6779"/>
    <w:rsid w:val="005D68AA"/>
    <w:rsid w:val="005D741E"/>
    <w:rsid w:val="005D7B47"/>
    <w:rsid w:val="005D7F99"/>
    <w:rsid w:val="005E0282"/>
    <w:rsid w:val="005E1072"/>
    <w:rsid w:val="005E130B"/>
    <w:rsid w:val="005E13DC"/>
    <w:rsid w:val="005E192B"/>
    <w:rsid w:val="005E1E45"/>
    <w:rsid w:val="005E2AA6"/>
    <w:rsid w:val="005E2EEF"/>
    <w:rsid w:val="005E32E9"/>
    <w:rsid w:val="005E367F"/>
    <w:rsid w:val="005E3942"/>
    <w:rsid w:val="005E3E8D"/>
    <w:rsid w:val="005E3FCB"/>
    <w:rsid w:val="005E40C1"/>
    <w:rsid w:val="005E41BB"/>
    <w:rsid w:val="005E476C"/>
    <w:rsid w:val="005E4CA4"/>
    <w:rsid w:val="005E4CEC"/>
    <w:rsid w:val="005E4E83"/>
    <w:rsid w:val="005E4EE1"/>
    <w:rsid w:val="005E525A"/>
    <w:rsid w:val="005E537A"/>
    <w:rsid w:val="005E545B"/>
    <w:rsid w:val="005E5499"/>
    <w:rsid w:val="005E55B4"/>
    <w:rsid w:val="005E5824"/>
    <w:rsid w:val="005E5DD0"/>
    <w:rsid w:val="005E5E38"/>
    <w:rsid w:val="005E60B0"/>
    <w:rsid w:val="005E6305"/>
    <w:rsid w:val="005E68BA"/>
    <w:rsid w:val="005E6932"/>
    <w:rsid w:val="005E6AB4"/>
    <w:rsid w:val="005E7168"/>
    <w:rsid w:val="005E7170"/>
    <w:rsid w:val="005E72B8"/>
    <w:rsid w:val="005E76E4"/>
    <w:rsid w:val="005E796A"/>
    <w:rsid w:val="005E7C7E"/>
    <w:rsid w:val="005E7E53"/>
    <w:rsid w:val="005E7EEE"/>
    <w:rsid w:val="005E7F1F"/>
    <w:rsid w:val="005F02D1"/>
    <w:rsid w:val="005F0C99"/>
    <w:rsid w:val="005F0F1F"/>
    <w:rsid w:val="005F2350"/>
    <w:rsid w:val="005F23CE"/>
    <w:rsid w:val="005F256F"/>
    <w:rsid w:val="005F28EC"/>
    <w:rsid w:val="005F29F0"/>
    <w:rsid w:val="005F2B3C"/>
    <w:rsid w:val="005F2B94"/>
    <w:rsid w:val="005F2D5D"/>
    <w:rsid w:val="005F2DB9"/>
    <w:rsid w:val="005F2E55"/>
    <w:rsid w:val="005F3056"/>
    <w:rsid w:val="005F3102"/>
    <w:rsid w:val="005F39E1"/>
    <w:rsid w:val="005F3B4F"/>
    <w:rsid w:val="005F3F37"/>
    <w:rsid w:val="005F439D"/>
    <w:rsid w:val="005F4551"/>
    <w:rsid w:val="005F4B3D"/>
    <w:rsid w:val="005F4CDE"/>
    <w:rsid w:val="005F4F82"/>
    <w:rsid w:val="005F5208"/>
    <w:rsid w:val="005F539A"/>
    <w:rsid w:val="005F5E3D"/>
    <w:rsid w:val="005F659D"/>
    <w:rsid w:val="005F6888"/>
    <w:rsid w:val="005F6BFA"/>
    <w:rsid w:val="005F6D71"/>
    <w:rsid w:val="005F6D80"/>
    <w:rsid w:val="005F6E12"/>
    <w:rsid w:val="005F6E76"/>
    <w:rsid w:val="005F6F4D"/>
    <w:rsid w:val="005F79F0"/>
    <w:rsid w:val="005F7DC1"/>
    <w:rsid w:val="006001A6"/>
    <w:rsid w:val="00600351"/>
    <w:rsid w:val="0060064F"/>
    <w:rsid w:val="006008FE"/>
    <w:rsid w:val="00600D56"/>
    <w:rsid w:val="00600DEE"/>
    <w:rsid w:val="00601FAB"/>
    <w:rsid w:val="006024D9"/>
    <w:rsid w:val="0060259A"/>
    <w:rsid w:val="006028A8"/>
    <w:rsid w:val="00602B8A"/>
    <w:rsid w:val="00602BFA"/>
    <w:rsid w:val="00602D8F"/>
    <w:rsid w:val="00602F05"/>
    <w:rsid w:val="00603011"/>
    <w:rsid w:val="006039C8"/>
    <w:rsid w:val="00603A2D"/>
    <w:rsid w:val="00603A59"/>
    <w:rsid w:val="00603BA3"/>
    <w:rsid w:val="00603EF5"/>
    <w:rsid w:val="00603FD3"/>
    <w:rsid w:val="00604134"/>
    <w:rsid w:val="0060420D"/>
    <w:rsid w:val="00604271"/>
    <w:rsid w:val="006043CA"/>
    <w:rsid w:val="006049A2"/>
    <w:rsid w:val="006055BD"/>
    <w:rsid w:val="00605622"/>
    <w:rsid w:val="0060576F"/>
    <w:rsid w:val="00605C8F"/>
    <w:rsid w:val="00605DFC"/>
    <w:rsid w:val="00606083"/>
    <w:rsid w:val="00606184"/>
    <w:rsid w:val="00607331"/>
    <w:rsid w:val="0060759F"/>
    <w:rsid w:val="00607C9E"/>
    <w:rsid w:val="00607CD6"/>
    <w:rsid w:val="006103DE"/>
    <w:rsid w:val="006108C9"/>
    <w:rsid w:val="00610F12"/>
    <w:rsid w:val="006111F0"/>
    <w:rsid w:val="006116A6"/>
    <w:rsid w:val="00612115"/>
    <w:rsid w:val="00612318"/>
    <w:rsid w:val="006123B0"/>
    <w:rsid w:val="00612437"/>
    <w:rsid w:val="006126E2"/>
    <w:rsid w:val="00612ECA"/>
    <w:rsid w:val="006130C0"/>
    <w:rsid w:val="006130EE"/>
    <w:rsid w:val="0061315B"/>
    <w:rsid w:val="00613188"/>
    <w:rsid w:val="00613205"/>
    <w:rsid w:val="00613435"/>
    <w:rsid w:val="0061347C"/>
    <w:rsid w:val="006134FC"/>
    <w:rsid w:val="006136FE"/>
    <w:rsid w:val="006137D1"/>
    <w:rsid w:val="00613BCF"/>
    <w:rsid w:val="00613C32"/>
    <w:rsid w:val="0061403A"/>
    <w:rsid w:val="006143F5"/>
    <w:rsid w:val="00614F5C"/>
    <w:rsid w:val="00615A14"/>
    <w:rsid w:val="00615C7C"/>
    <w:rsid w:val="00615F33"/>
    <w:rsid w:val="0061601E"/>
    <w:rsid w:val="00616110"/>
    <w:rsid w:val="006161FA"/>
    <w:rsid w:val="00616367"/>
    <w:rsid w:val="006166F1"/>
    <w:rsid w:val="0061751C"/>
    <w:rsid w:val="0061790A"/>
    <w:rsid w:val="00617AEE"/>
    <w:rsid w:val="00617C2E"/>
    <w:rsid w:val="00620298"/>
    <w:rsid w:val="006202C9"/>
    <w:rsid w:val="0062050F"/>
    <w:rsid w:val="00620ECE"/>
    <w:rsid w:val="00621287"/>
    <w:rsid w:val="006213DF"/>
    <w:rsid w:val="00621B7F"/>
    <w:rsid w:val="00621D06"/>
    <w:rsid w:val="00621FE7"/>
    <w:rsid w:val="006225B9"/>
    <w:rsid w:val="00622BE2"/>
    <w:rsid w:val="00622DC9"/>
    <w:rsid w:val="00623068"/>
    <w:rsid w:val="00623949"/>
    <w:rsid w:val="00623C38"/>
    <w:rsid w:val="00623C90"/>
    <w:rsid w:val="00623FAA"/>
    <w:rsid w:val="00624288"/>
    <w:rsid w:val="00624331"/>
    <w:rsid w:val="006245E8"/>
    <w:rsid w:val="00624829"/>
    <w:rsid w:val="00624CBA"/>
    <w:rsid w:val="0062515A"/>
    <w:rsid w:val="00625425"/>
    <w:rsid w:val="00625480"/>
    <w:rsid w:val="0062567C"/>
    <w:rsid w:val="006258D8"/>
    <w:rsid w:val="00625CE2"/>
    <w:rsid w:val="006260ED"/>
    <w:rsid w:val="006261C1"/>
    <w:rsid w:val="00626584"/>
    <w:rsid w:val="00626733"/>
    <w:rsid w:val="00626A11"/>
    <w:rsid w:val="00627061"/>
    <w:rsid w:val="00627090"/>
    <w:rsid w:val="006270E4"/>
    <w:rsid w:val="0062748A"/>
    <w:rsid w:val="0062774F"/>
    <w:rsid w:val="00627AA9"/>
    <w:rsid w:val="00627B68"/>
    <w:rsid w:val="00627D09"/>
    <w:rsid w:val="00627D38"/>
    <w:rsid w:val="00630247"/>
    <w:rsid w:val="00630255"/>
    <w:rsid w:val="00630EA8"/>
    <w:rsid w:val="00631163"/>
    <w:rsid w:val="00631243"/>
    <w:rsid w:val="00631F51"/>
    <w:rsid w:val="0063222B"/>
    <w:rsid w:val="00632452"/>
    <w:rsid w:val="0063275B"/>
    <w:rsid w:val="00632B9C"/>
    <w:rsid w:val="00632DF1"/>
    <w:rsid w:val="00632FAC"/>
    <w:rsid w:val="006335C5"/>
    <w:rsid w:val="0063362D"/>
    <w:rsid w:val="00633730"/>
    <w:rsid w:val="00634223"/>
    <w:rsid w:val="00634332"/>
    <w:rsid w:val="00634391"/>
    <w:rsid w:val="006346FC"/>
    <w:rsid w:val="00634A1D"/>
    <w:rsid w:val="006350C3"/>
    <w:rsid w:val="00635370"/>
    <w:rsid w:val="00635598"/>
    <w:rsid w:val="0063574F"/>
    <w:rsid w:val="00635CEF"/>
    <w:rsid w:val="00635D62"/>
    <w:rsid w:val="00635F32"/>
    <w:rsid w:val="00636257"/>
    <w:rsid w:val="0063637C"/>
    <w:rsid w:val="0063656D"/>
    <w:rsid w:val="00636DA9"/>
    <w:rsid w:val="0063734D"/>
    <w:rsid w:val="006376E7"/>
    <w:rsid w:val="00637A13"/>
    <w:rsid w:val="00637C9F"/>
    <w:rsid w:val="0064016E"/>
    <w:rsid w:val="006402FA"/>
    <w:rsid w:val="00640307"/>
    <w:rsid w:val="00640693"/>
    <w:rsid w:val="00640819"/>
    <w:rsid w:val="00640907"/>
    <w:rsid w:val="00640BF0"/>
    <w:rsid w:val="00640C66"/>
    <w:rsid w:val="0064101F"/>
    <w:rsid w:val="00641612"/>
    <w:rsid w:val="00641C92"/>
    <w:rsid w:val="00642087"/>
    <w:rsid w:val="00642457"/>
    <w:rsid w:val="00642F21"/>
    <w:rsid w:val="0064322E"/>
    <w:rsid w:val="006435B2"/>
    <w:rsid w:val="0064361E"/>
    <w:rsid w:val="00643816"/>
    <w:rsid w:val="006439C0"/>
    <w:rsid w:val="00643E76"/>
    <w:rsid w:val="006440FC"/>
    <w:rsid w:val="006447AC"/>
    <w:rsid w:val="00644903"/>
    <w:rsid w:val="00644C7B"/>
    <w:rsid w:val="00644F82"/>
    <w:rsid w:val="00645353"/>
    <w:rsid w:val="00645963"/>
    <w:rsid w:val="006459A1"/>
    <w:rsid w:val="00645BCE"/>
    <w:rsid w:val="0064608C"/>
    <w:rsid w:val="00646915"/>
    <w:rsid w:val="00646B74"/>
    <w:rsid w:val="00646DC8"/>
    <w:rsid w:val="0064712A"/>
    <w:rsid w:val="00647236"/>
    <w:rsid w:val="00647C39"/>
    <w:rsid w:val="00647EA1"/>
    <w:rsid w:val="006505BC"/>
    <w:rsid w:val="006506B0"/>
    <w:rsid w:val="00650C80"/>
    <w:rsid w:val="00650F84"/>
    <w:rsid w:val="00651C38"/>
    <w:rsid w:val="00651CDC"/>
    <w:rsid w:val="0065246D"/>
    <w:rsid w:val="006526DA"/>
    <w:rsid w:val="00652767"/>
    <w:rsid w:val="006527CF"/>
    <w:rsid w:val="0065299B"/>
    <w:rsid w:val="00652B9B"/>
    <w:rsid w:val="00652CFC"/>
    <w:rsid w:val="006530CC"/>
    <w:rsid w:val="00653213"/>
    <w:rsid w:val="0065380F"/>
    <w:rsid w:val="006538C7"/>
    <w:rsid w:val="006539D5"/>
    <w:rsid w:val="00653DCE"/>
    <w:rsid w:val="0065400F"/>
    <w:rsid w:val="006547FD"/>
    <w:rsid w:val="00654ABE"/>
    <w:rsid w:val="00655281"/>
    <w:rsid w:val="006558B6"/>
    <w:rsid w:val="006558C9"/>
    <w:rsid w:val="00655A19"/>
    <w:rsid w:val="00655AE3"/>
    <w:rsid w:val="00656381"/>
    <w:rsid w:val="006566F8"/>
    <w:rsid w:val="0065708B"/>
    <w:rsid w:val="006603FC"/>
    <w:rsid w:val="006605F8"/>
    <w:rsid w:val="006606D6"/>
    <w:rsid w:val="0066070F"/>
    <w:rsid w:val="006607BC"/>
    <w:rsid w:val="006611DE"/>
    <w:rsid w:val="0066161D"/>
    <w:rsid w:val="00661861"/>
    <w:rsid w:val="00661CA8"/>
    <w:rsid w:val="006621DC"/>
    <w:rsid w:val="0066246C"/>
    <w:rsid w:val="006624E5"/>
    <w:rsid w:val="006628CC"/>
    <w:rsid w:val="00662B8E"/>
    <w:rsid w:val="006630A1"/>
    <w:rsid w:val="006631C7"/>
    <w:rsid w:val="00663772"/>
    <w:rsid w:val="00663F80"/>
    <w:rsid w:val="0066413B"/>
    <w:rsid w:val="00664211"/>
    <w:rsid w:val="006647E8"/>
    <w:rsid w:val="006658F6"/>
    <w:rsid w:val="00665FE6"/>
    <w:rsid w:val="0066606E"/>
    <w:rsid w:val="00666159"/>
    <w:rsid w:val="006669ED"/>
    <w:rsid w:val="00666C2A"/>
    <w:rsid w:val="00666F49"/>
    <w:rsid w:val="00670413"/>
    <w:rsid w:val="006704DE"/>
    <w:rsid w:val="00670C18"/>
    <w:rsid w:val="00670C5C"/>
    <w:rsid w:val="00670E8F"/>
    <w:rsid w:val="00670FDC"/>
    <w:rsid w:val="00671561"/>
    <w:rsid w:val="00671B0D"/>
    <w:rsid w:val="00672179"/>
    <w:rsid w:val="00672282"/>
    <w:rsid w:val="00672418"/>
    <w:rsid w:val="00672C77"/>
    <w:rsid w:val="00672DC8"/>
    <w:rsid w:val="00673040"/>
    <w:rsid w:val="006731D0"/>
    <w:rsid w:val="00673277"/>
    <w:rsid w:val="00673C8E"/>
    <w:rsid w:val="006745C1"/>
    <w:rsid w:val="00674A80"/>
    <w:rsid w:val="00674F4A"/>
    <w:rsid w:val="0067511A"/>
    <w:rsid w:val="00675363"/>
    <w:rsid w:val="00675821"/>
    <w:rsid w:val="00675C63"/>
    <w:rsid w:val="00675ED8"/>
    <w:rsid w:val="00675FF5"/>
    <w:rsid w:val="006761B2"/>
    <w:rsid w:val="006762A0"/>
    <w:rsid w:val="006762DF"/>
    <w:rsid w:val="006765A6"/>
    <w:rsid w:val="006766C2"/>
    <w:rsid w:val="006767C2"/>
    <w:rsid w:val="00676C3B"/>
    <w:rsid w:val="00676C6F"/>
    <w:rsid w:val="00676F35"/>
    <w:rsid w:val="0067701E"/>
    <w:rsid w:val="0067707F"/>
    <w:rsid w:val="00677395"/>
    <w:rsid w:val="00677920"/>
    <w:rsid w:val="00677B18"/>
    <w:rsid w:val="00677B70"/>
    <w:rsid w:val="00677CC7"/>
    <w:rsid w:val="00677D71"/>
    <w:rsid w:val="006809D5"/>
    <w:rsid w:val="006813DB"/>
    <w:rsid w:val="006815D0"/>
    <w:rsid w:val="00681F90"/>
    <w:rsid w:val="006822C4"/>
    <w:rsid w:val="00682D44"/>
    <w:rsid w:val="00683002"/>
    <w:rsid w:val="0068359D"/>
    <w:rsid w:val="00683720"/>
    <w:rsid w:val="00684316"/>
    <w:rsid w:val="0068478B"/>
    <w:rsid w:val="00684A93"/>
    <w:rsid w:val="00684CC8"/>
    <w:rsid w:val="00685888"/>
    <w:rsid w:val="00685A6E"/>
    <w:rsid w:val="00685A9D"/>
    <w:rsid w:val="00685CF5"/>
    <w:rsid w:val="0068622E"/>
    <w:rsid w:val="00686359"/>
    <w:rsid w:val="006864C2"/>
    <w:rsid w:val="00686704"/>
    <w:rsid w:val="0068688D"/>
    <w:rsid w:val="00686CCD"/>
    <w:rsid w:val="00686CDB"/>
    <w:rsid w:val="00686E1B"/>
    <w:rsid w:val="006870BF"/>
    <w:rsid w:val="00687441"/>
    <w:rsid w:val="00687998"/>
    <w:rsid w:val="00687E0B"/>
    <w:rsid w:val="00690D8D"/>
    <w:rsid w:val="00690D90"/>
    <w:rsid w:val="00690E8B"/>
    <w:rsid w:val="00690EEC"/>
    <w:rsid w:val="006913F7"/>
    <w:rsid w:val="00691D7D"/>
    <w:rsid w:val="00692201"/>
    <w:rsid w:val="00692307"/>
    <w:rsid w:val="00692579"/>
    <w:rsid w:val="00692AE8"/>
    <w:rsid w:val="00692CB9"/>
    <w:rsid w:val="00692DA5"/>
    <w:rsid w:val="00693B91"/>
    <w:rsid w:val="00693DB5"/>
    <w:rsid w:val="00694310"/>
    <w:rsid w:val="00694536"/>
    <w:rsid w:val="006945F3"/>
    <w:rsid w:val="00694BF2"/>
    <w:rsid w:val="00694D37"/>
    <w:rsid w:val="0069525C"/>
    <w:rsid w:val="006957BA"/>
    <w:rsid w:val="00695BA9"/>
    <w:rsid w:val="00695D4D"/>
    <w:rsid w:val="00695D90"/>
    <w:rsid w:val="00696CCD"/>
    <w:rsid w:val="00696FDF"/>
    <w:rsid w:val="00697105"/>
    <w:rsid w:val="00697116"/>
    <w:rsid w:val="0069711F"/>
    <w:rsid w:val="006971DD"/>
    <w:rsid w:val="0069795B"/>
    <w:rsid w:val="006A0126"/>
    <w:rsid w:val="006A05FB"/>
    <w:rsid w:val="006A06F2"/>
    <w:rsid w:val="006A0DEA"/>
    <w:rsid w:val="006A11C7"/>
    <w:rsid w:val="006A124E"/>
    <w:rsid w:val="006A1494"/>
    <w:rsid w:val="006A18D2"/>
    <w:rsid w:val="006A19DC"/>
    <w:rsid w:val="006A1ADB"/>
    <w:rsid w:val="006A1DE3"/>
    <w:rsid w:val="006A2282"/>
    <w:rsid w:val="006A2322"/>
    <w:rsid w:val="006A2401"/>
    <w:rsid w:val="006A2719"/>
    <w:rsid w:val="006A27DA"/>
    <w:rsid w:val="006A28A8"/>
    <w:rsid w:val="006A2A1F"/>
    <w:rsid w:val="006A2E23"/>
    <w:rsid w:val="006A40B1"/>
    <w:rsid w:val="006A47AF"/>
    <w:rsid w:val="006A4888"/>
    <w:rsid w:val="006A49DD"/>
    <w:rsid w:val="006A4D57"/>
    <w:rsid w:val="006A4FE9"/>
    <w:rsid w:val="006A5D3F"/>
    <w:rsid w:val="006A5DFB"/>
    <w:rsid w:val="006A6298"/>
    <w:rsid w:val="006A636B"/>
    <w:rsid w:val="006A66A5"/>
    <w:rsid w:val="006A6815"/>
    <w:rsid w:val="006A68EF"/>
    <w:rsid w:val="006A6943"/>
    <w:rsid w:val="006A7293"/>
    <w:rsid w:val="006A7ABA"/>
    <w:rsid w:val="006A7B8A"/>
    <w:rsid w:val="006B0374"/>
    <w:rsid w:val="006B0800"/>
    <w:rsid w:val="006B101D"/>
    <w:rsid w:val="006B1223"/>
    <w:rsid w:val="006B13E0"/>
    <w:rsid w:val="006B157F"/>
    <w:rsid w:val="006B1859"/>
    <w:rsid w:val="006B1ADB"/>
    <w:rsid w:val="006B2360"/>
    <w:rsid w:val="006B266B"/>
    <w:rsid w:val="006B27BC"/>
    <w:rsid w:val="006B293A"/>
    <w:rsid w:val="006B2A6A"/>
    <w:rsid w:val="006B2B05"/>
    <w:rsid w:val="006B343C"/>
    <w:rsid w:val="006B3454"/>
    <w:rsid w:val="006B34F4"/>
    <w:rsid w:val="006B362B"/>
    <w:rsid w:val="006B380B"/>
    <w:rsid w:val="006B3D2A"/>
    <w:rsid w:val="006B3D49"/>
    <w:rsid w:val="006B4470"/>
    <w:rsid w:val="006B499F"/>
    <w:rsid w:val="006B4A0B"/>
    <w:rsid w:val="006B4A1D"/>
    <w:rsid w:val="006B57FE"/>
    <w:rsid w:val="006B5D40"/>
    <w:rsid w:val="006B5F2D"/>
    <w:rsid w:val="006B5F67"/>
    <w:rsid w:val="006B654E"/>
    <w:rsid w:val="006B6C0D"/>
    <w:rsid w:val="006B6DC2"/>
    <w:rsid w:val="006B73F8"/>
    <w:rsid w:val="006B75CE"/>
    <w:rsid w:val="006C0034"/>
    <w:rsid w:val="006C052D"/>
    <w:rsid w:val="006C0547"/>
    <w:rsid w:val="006C0BD1"/>
    <w:rsid w:val="006C0C6B"/>
    <w:rsid w:val="006C1090"/>
    <w:rsid w:val="006C1188"/>
    <w:rsid w:val="006C1252"/>
    <w:rsid w:val="006C166A"/>
    <w:rsid w:val="006C1B0F"/>
    <w:rsid w:val="006C223B"/>
    <w:rsid w:val="006C24CF"/>
    <w:rsid w:val="006C254C"/>
    <w:rsid w:val="006C271F"/>
    <w:rsid w:val="006C285E"/>
    <w:rsid w:val="006C2898"/>
    <w:rsid w:val="006C2AEE"/>
    <w:rsid w:val="006C2BBC"/>
    <w:rsid w:val="006C304E"/>
    <w:rsid w:val="006C3075"/>
    <w:rsid w:val="006C3151"/>
    <w:rsid w:val="006C393E"/>
    <w:rsid w:val="006C3DDB"/>
    <w:rsid w:val="006C420C"/>
    <w:rsid w:val="006C451E"/>
    <w:rsid w:val="006C45A4"/>
    <w:rsid w:val="006C4A3E"/>
    <w:rsid w:val="006C555F"/>
    <w:rsid w:val="006C57C2"/>
    <w:rsid w:val="006C5D76"/>
    <w:rsid w:val="006C604B"/>
    <w:rsid w:val="006C6182"/>
    <w:rsid w:val="006C637B"/>
    <w:rsid w:val="006C661F"/>
    <w:rsid w:val="006C6801"/>
    <w:rsid w:val="006C69C8"/>
    <w:rsid w:val="006C6CBA"/>
    <w:rsid w:val="006C6D9F"/>
    <w:rsid w:val="006C7204"/>
    <w:rsid w:val="006C756F"/>
    <w:rsid w:val="006C77BB"/>
    <w:rsid w:val="006C78DE"/>
    <w:rsid w:val="006C7C89"/>
    <w:rsid w:val="006C7D31"/>
    <w:rsid w:val="006D001D"/>
    <w:rsid w:val="006D079A"/>
    <w:rsid w:val="006D07B2"/>
    <w:rsid w:val="006D0A14"/>
    <w:rsid w:val="006D0B14"/>
    <w:rsid w:val="006D0F45"/>
    <w:rsid w:val="006D110E"/>
    <w:rsid w:val="006D1129"/>
    <w:rsid w:val="006D19E0"/>
    <w:rsid w:val="006D1B08"/>
    <w:rsid w:val="006D1FE6"/>
    <w:rsid w:val="006D1FEA"/>
    <w:rsid w:val="006D277C"/>
    <w:rsid w:val="006D2DE2"/>
    <w:rsid w:val="006D387D"/>
    <w:rsid w:val="006D38B6"/>
    <w:rsid w:val="006D3CDF"/>
    <w:rsid w:val="006D3CE9"/>
    <w:rsid w:val="006D3F76"/>
    <w:rsid w:val="006D400B"/>
    <w:rsid w:val="006D4394"/>
    <w:rsid w:val="006D43F8"/>
    <w:rsid w:val="006D44D9"/>
    <w:rsid w:val="006D4CA7"/>
    <w:rsid w:val="006D549C"/>
    <w:rsid w:val="006D57AB"/>
    <w:rsid w:val="006D5B3C"/>
    <w:rsid w:val="006D5D0F"/>
    <w:rsid w:val="006D5FEB"/>
    <w:rsid w:val="006D60FF"/>
    <w:rsid w:val="006D6440"/>
    <w:rsid w:val="006D6A49"/>
    <w:rsid w:val="006D6AB1"/>
    <w:rsid w:val="006D6E18"/>
    <w:rsid w:val="006D6F50"/>
    <w:rsid w:val="006D6F58"/>
    <w:rsid w:val="006D713D"/>
    <w:rsid w:val="006D7254"/>
    <w:rsid w:val="006D72D5"/>
    <w:rsid w:val="006D735A"/>
    <w:rsid w:val="006D73B7"/>
    <w:rsid w:val="006D75F8"/>
    <w:rsid w:val="006D77ED"/>
    <w:rsid w:val="006D7BD3"/>
    <w:rsid w:val="006D7CCB"/>
    <w:rsid w:val="006E02F2"/>
    <w:rsid w:val="006E02F4"/>
    <w:rsid w:val="006E03A2"/>
    <w:rsid w:val="006E05A2"/>
    <w:rsid w:val="006E0867"/>
    <w:rsid w:val="006E0B09"/>
    <w:rsid w:val="006E115B"/>
    <w:rsid w:val="006E1233"/>
    <w:rsid w:val="006E13D2"/>
    <w:rsid w:val="006E17D0"/>
    <w:rsid w:val="006E1914"/>
    <w:rsid w:val="006E1AB7"/>
    <w:rsid w:val="006E1B98"/>
    <w:rsid w:val="006E1DE0"/>
    <w:rsid w:val="006E1F17"/>
    <w:rsid w:val="006E23C2"/>
    <w:rsid w:val="006E240E"/>
    <w:rsid w:val="006E2F4C"/>
    <w:rsid w:val="006E33C6"/>
    <w:rsid w:val="006E36C1"/>
    <w:rsid w:val="006E3BC6"/>
    <w:rsid w:val="006E4203"/>
    <w:rsid w:val="006E4225"/>
    <w:rsid w:val="006E4373"/>
    <w:rsid w:val="006E4BFC"/>
    <w:rsid w:val="006E4C25"/>
    <w:rsid w:val="006E4F10"/>
    <w:rsid w:val="006E4F9E"/>
    <w:rsid w:val="006E50AB"/>
    <w:rsid w:val="006E5965"/>
    <w:rsid w:val="006E5A1A"/>
    <w:rsid w:val="006E5B15"/>
    <w:rsid w:val="006E5E17"/>
    <w:rsid w:val="006E6338"/>
    <w:rsid w:val="006E71C2"/>
    <w:rsid w:val="006E737C"/>
    <w:rsid w:val="006E769C"/>
    <w:rsid w:val="006E7ACA"/>
    <w:rsid w:val="006E7B24"/>
    <w:rsid w:val="006E7B52"/>
    <w:rsid w:val="006E7C33"/>
    <w:rsid w:val="006E7D54"/>
    <w:rsid w:val="006E7D59"/>
    <w:rsid w:val="006E7F20"/>
    <w:rsid w:val="006F0306"/>
    <w:rsid w:val="006F07FE"/>
    <w:rsid w:val="006F08A1"/>
    <w:rsid w:val="006F0E51"/>
    <w:rsid w:val="006F0E7E"/>
    <w:rsid w:val="006F0EE9"/>
    <w:rsid w:val="006F0FB4"/>
    <w:rsid w:val="006F1015"/>
    <w:rsid w:val="006F123C"/>
    <w:rsid w:val="006F1397"/>
    <w:rsid w:val="006F13C4"/>
    <w:rsid w:val="006F1AC0"/>
    <w:rsid w:val="006F1C9C"/>
    <w:rsid w:val="006F1D4C"/>
    <w:rsid w:val="006F1F33"/>
    <w:rsid w:val="006F2799"/>
    <w:rsid w:val="006F29F3"/>
    <w:rsid w:val="006F2A7C"/>
    <w:rsid w:val="006F2B22"/>
    <w:rsid w:val="006F347A"/>
    <w:rsid w:val="006F361C"/>
    <w:rsid w:val="006F375F"/>
    <w:rsid w:val="006F392B"/>
    <w:rsid w:val="006F41DE"/>
    <w:rsid w:val="006F4584"/>
    <w:rsid w:val="006F46E4"/>
    <w:rsid w:val="006F4890"/>
    <w:rsid w:val="006F4C2D"/>
    <w:rsid w:val="006F4F07"/>
    <w:rsid w:val="006F4F08"/>
    <w:rsid w:val="006F50A9"/>
    <w:rsid w:val="006F51FA"/>
    <w:rsid w:val="006F53BF"/>
    <w:rsid w:val="006F5566"/>
    <w:rsid w:val="006F5806"/>
    <w:rsid w:val="006F5C12"/>
    <w:rsid w:val="006F6397"/>
    <w:rsid w:val="006F688A"/>
    <w:rsid w:val="006F6DBB"/>
    <w:rsid w:val="006F7740"/>
    <w:rsid w:val="006F7A8E"/>
    <w:rsid w:val="006F7EB8"/>
    <w:rsid w:val="006F7F16"/>
    <w:rsid w:val="007003C5"/>
    <w:rsid w:val="007005B9"/>
    <w:rsid w:val="00700683"/>
    <w:rsid w:val="0070073F"/>
    <w:rsid w:val="007009A1"/>
    <w:rsid w:val="007009A6"/>
    <w:rsid w:val="00700A0F"/>
    <w:rsid w:val="007012F7"/>
    <w:rsid w:val="007016D9"/>
    <w:rsid w:val="0070221C"/>
    <w:rsid w:val="007022E1"/>
    <w:rsid w:val="0070300C"/>
    <w:rsid w:val="007030C3"/>
    <w:rsid w:val="007031E0"/>
    <w:rsid w:val="00703931"/>
    <w:rsid w:val="00703BFB"/>
    <w:rsid w:val="00703C8D"/>
    <w:rsid w:val="00703EF9"/>
    <w:rsid w:val="007040EB"/>
    <w:rsid w:val="0070415F"/>
    <w:rsid w:val="007048EF"/>
    <w:rsid w:val="0070507B"/>
    <w:rsid w:val="00705179"/>
    <w:rsid w:val="007051C5"/>
    <w:rsid w:val="007057A0"/>
    <w:rsid w:val="00705A90"/>
    <w:rsid w:val="00706296"/>
    <w:rsid w:val="007063F4"/>
    <w:rsid w:val="00706577"/>
    <w:rsid w:val="007068CD"/>
    <w:rsid w:val="007068E6"/>
    <w:rsid w:val="00706AB1"/>
    <w:rsid w:val="00706F1E"/>
    <w:rsid w:val="007076C3"/>
    <w:rsid w:val="00707AFE"/>
    <w:rsid w:val="00707B2E"/>
    <w:rsid w:val="00710818"/>
    <w:rsid w:val="0071090D"/>
    <w:rsid w:val="00710ACF"/>
    <w:rsid w:val="00710B93"/>
    <w:rsid w:val="00710F35"/>
    <w:rsid w:val="007111FA"/>
    <w:rsid w:val="0071179B"/>
    <w:rsid w:val="00711B3D"/>
    <w:rsid w:val="00711FA0"/>
    <w:rsid w:val="007121BE"/>
    <w:rsid w:val="00712593"/>
    <w:rsid w:val="00712DC3"/>
    <w:rsid w:val="00712EA1"/>
    <w:rsid w:val="00713449"/>
    <w:rsid w:val="00713745"/>
    <w:rsid w:val="00713D3C"/>
    <w:rsid w:val="00714862"/>
    <w:rsid w:val="00714EE2"/>
    <w:rsid w:val="0071532E"/>
    <w:rsid w:val="00716000"/>
    <w:rsid w:val="00716BCC"/>
    <w:rsid w:val="00716CE0"/>
    <w:rsid w:val="00716FB9"/>
    <w:rsid w:val="0071707C"/>
    <w:rsid w:val="00717707"/>
    <w:rsid w:val="007203F0"/>
    <w:rsid w:val="007204A3"/>
    <w:rsid w:val="0072057C"/>
    <w:rsid w:val="007209B3"/>
    <w:rsid w:val="00720E82"/>
    <w:rsid w:val="007212FE"/>
    <w:rsid w:val="0072152B"/>
    <w:rsid w:val="00722054"/>
    <w:rsid w:val="0072212D"/>
    <w:rsid w:val="007224EB"/>
    <w:rsid w:val="007227D3"/>
    <w:rsid w:val="007228C0"/>
    <w:rsid w:val="00722D83"/>
    <w:rsid w:val="00723410"/>
    <w:rsid w:val="0072347F"/>
    <w:rsid w:val="007237D9"/>
    <w:rsid w:val="00723B23"/>
    <w:rsid w:val="00723BE1"/>
    <w:rsid w:val="007244C8"/>
    <w:rsid w:val="00724507"/>
    <w:rsid w:val="00725243"/>
    <w:rsid w:val="0072539B"/>
    <w:rsid w:val="007255BA"/>
    <w:rsid w:val="0072575B"/>
    <w:rsid w:val="00725810"/>
    <w:rsid w:val="00725829"/>
    <w:rsid w:val="00725844"/>
    <w:rsid w:val="00725D2D"/>
    <w:rsid w:val="00725FDC"/>
    <w:rsid w:val="007260F2"/>
    <w:rsid w:val="007263BA"/>
    <w:rsid w:val="00726559"/>
    <w:rsid w:val="00726757"/>
    <w:rsid w:val="00726868"/>
    <w:rsid w:val="0072698B"/>
    <w:rsid w:val="00726EEB"/>
    <w:rsid w:val="007270D9"/>
    <w:rsid w:val="00727249"/>
    <w:rsid w:val="0072732C"/>
    <w:rsid w:val="00727D60"/>
    <w:rsid w:val="007304C4"/>
    <w:rsid w:val="00730A6D"/>
    <w:rsid w:val="00730BA6"/>
    <w:rsid w:val="00730BC9"/>
    <w:rsid w:val="00730D67"/>
    <w:rsid w:val="00731A07"/>
    <w:rsid w:val="007321D9"/>
    <w:rsid w:val="00732385"/>
    <w:rsid w:val="00732922"/>
    <w:rsid w:val="00732BDF"/>
    <w:rsid w:val="00733052"/>
    <w:rsid w:val="00733B29"/>
    <w:rsid w:val="00733F72"/>
    <w:rsid w:val="007340BA"/>
    <w:rsid w:val="0073427F"/>
    <w:rsid w:val="0073451D"/>
    <w:rsid w:val="007348D8"/>
    <w:rsid w:val="007349DE"/>
    <w:rsid w:val="00734D35"/>
    <w:rsid w:val="00734DE6"/>
    <w:rsid w:val="0073528B"/>
    <w:rsid w:val="007352B5"/>
    <w:rsid w:val="007360C8"/>
    <w:rsid w:val="0073643B"/>
    <w:rsid w:val="007369B8"/>
    <w:rsid w:val="007369C5"/>
    <w:rsid w:val="00736C33"/>
    <w:rsid w:val="00736CE0"/>
    <w:rsid w:val="007373FE"/>
    <w:rsid w:val="007378F5"/>
    <w:rsid w:val="007379C9"/>
    <w:rsid w:val="00737D9A"/>
    <w:rsid w:val="00737F12"/>
    <w:rsid w:val="00740410"/>
    <w:rsid w:val="00740799"/>
    <w:rsid w:val="00740C96"/>
    <w:rsid w:val="00741184"/>
    <w:rsid w:val="007411E4"/>
    <w:rsid w:val="0074173D"/>
    <w:rsid w:val="007417F4"/>
    <w:rsid w:val="00741BA0"/>
    <w:rsid w:val="00741BAA"/>
    <w:rsid w:val="00741DB0"/>
    <w:rsid w:val="00741E41"/>
    <w:rsid w:val="00741F0F"/>
    <w:rsid w:val="00742495"/>
    <w:rsid w:val="007424CA"/>
    <w:rsid w:val="007426FE"/>
    <w:rsid w:val="00742DC0"/>
    <w:rsid w:val="00742EC9"/>
    <w:rsid w:val="00742FA8"/>
    <w:rsid w:val="00743473"/>
    <w:rsid w:val="007436B0"/>
    <w:rsid w:val="007437E6"/>
    <w:rsid w:val="00743ACF"/>
    <w:rsid w:val="00743AEE"/>
    <w:rsid w:val="00743DAA"/>
    <w:rsid w:val="00743DB6"/>
    <w:rsid w:val="00745163"/>
    <w:rsid w:val="00745935"/>
    <w:rsid w:val="007459F8"/>
    <w:rsid w:val="00745C4C"/>
    <w:rsid w:val="00745C6C"/>
    <w:rsid w:val="00745C79"/>
    <w:rsid w:val="00746232"/>
    <w:rsid w:val="00746367"/>
    <w:rsid w:val="007467F3"/>
    <w:rsid w:val="00746946"/>
    <w:rsid w:val="00746CFC"/>
    <w:rsid w:val="00746D65"/>
    <w:rsid w:val="00747030"/>
    <w:rsid w:val="00747225"/>
    <w:rsid w:val="00747280"/>
    <w:rsid w:val="0074732E"/>
    <w:rsid w:val="00747488"/>
    <w:rsid w:val="00747B6C"/>
    <w:rsid w:val="00747FF5"/>
    <w:rsid w:val="007502CF"/>
    <w:rsid w:val="007503D7"/>
    <w:rsid w:val="00750619"/>
    <w:rsid w:val="0075080F"/>
    <w:rsid w:val="007509A7"/>
    <w:rsid w:val="007509B6"/>
    <w:rsid w:val="007509C7"/>
    <w:rsid w:val="00750E27"/>
    <w:rsid w:val="0075132D"/>
    <w:rsid w:val="00751AE0"/>
    <w:rsid w:val="00751E78"/>
    <w:rsid w:val="0075200C"/>
    <w:rsid w:val="00752607"/>
    <w:rsid w:val="00752689"/>
    <w:rsid w:val="00752920"/>
    <w:rsid w:val="00752C05"/>
    <w:rsid w:val="00752DF5"/>
    <w:rsid w:val="007532BA"/>
    <w:rsid w:val="0075336C"/>
    <w:rsid w:val="007533CC"/>
    <w:rsid w:val="007535C8"/>
    <w:rsid w:val="0075382C"/>
    <w:rsid w:val="00753CA7"/>
    <w:rsid w:val="00753E65"/>
    <w:rsid w:val="0075425C"/>
    <w:rsid w:val="007545EA"/>
    <w:rsid w:val="007547C9"/>
    <w:rsid w:val="00754C08"/>
    <w:rsid w:val="00754C2E"/>
    <w:rsid w:val="00755074"/>
    <w:rsid w:val="0075553B"/>
    <w:rsid w:val="007555F2"/>
    <w:rsid w:val="00755728"/>
    <w:rsid w:val="007559E4"/>
    <w:rsid w:val="00755B3D"/>
    <w:rsid w:val="00756112"/>
    <w:rsid w:val="007564E9"/>
    <w:rsid w:val="0075707F"/>
    <w:rsid w:val="0075727B"/>
    <w:rsid w:val="007576D3"/>
    <w:rsid w:val="007578A0"/>
    <w:rsid w:val="00757B26"/>
    <w:rsid w:val="00757C04"/>
    <w:rsid w:val="0076041D"/>
    <w:rsid w:val="00760970"/>
    <w:rsid w:val="00760D56"/>
    <w:rsid w:val="00760F45"/>
    <w:rsid w:val="0076141D"/>
    <w:rsid w:val="00761757"/>
    <w:rsid w:val="00762164"/>
    <w:rsid w:val="007621C8"/>
    <w:rsid w:val="00762478"/>
    <w:rsid w:val="00762530"/>
    <w:rsid w:val="00762B39"/>
    <w:rsid w:val="00762F5A"/>
    <w:rsid w:val="00762FAF"/>
    <w:rsid w:val="007630C9"/>
    <w:rsid w:val="00763459"/>
    <w:rsid w:val="007636E9"/>
    <w:rsid w:val="00763CB5"/>
    <w:rsid w:val="00763E60"/>
    <w:rsid w:val="00764316"/>
    <w:rsid w:val="007643C5"/>
    <w:rsid w:val="0076491E"/>
    <w:rsid w:val="00764BB7"/>
    <w:rsid w:val="00764D15"/>
    <w:rsid w:val="00764FF9"/>
    <w:rsid w:val="007653B6"/>
    <w:rsid w:val="0076546F"/>
    <w:rsid w:val="00765837"/>
    <w:rsid w:val="00766082"/>
    <w:rsid w:val="0076663B"/>
    <w:rsid w:val="00766DBC"/>
    <w:rsid w:val="00767130"/>
    <w:rsid w:val="007671B4"/>
    <w:rsid w:val="00767C2F"/>
    <w:rsid w:val="00767D68"/>
    <w:rsid w:val="007713AE"/>
    <w:rsid w:val="007714E3"/>
    <w:rsid w:val="0077152C"/>
    <w:rsid w:val="007715E1"/>
    <w:rsid w:val="0077162E"/>
    <w:rsid w:val="00771BBA"/>
    <w:rsid w:val="00771BE1"/>
    <w:rsid w:val="00771D84"/>
    <w:rsid w:val="00771F06"/>
    <w:rsid w:val="00771FD7"/>
    <w:rsid w:val="00772027"/>
    <w:rsid w:val="007720BC"/>
    <w:rsid w:val="00772259"/>
    <w:rsid w:val="00772BFD"/>
    <w:rsid w:val="00772F91"/>
    <w:rsid w:val="00773088"/>
    <w:rsid w:val="00773CB7"/>
    <w:rsid w:val="00773FC3"/>
    <w:rsid w:val="00774B95"/>
    <w:rsid w:val="00774EC6"/>
    <w:rsid w:val="0077504F"/>
    <w:rsid w:val="00775352"/>
    <w:rsid w:val="007757FC"/>
    <w:rsid w:val="00775BF8"/>
    <w:rsid w:val="00776090"/>
    <w:rsid w:val="00776975"/>
    <w:rsid w:val="0077725F"/>
    <w:rsid w:val="00777874"/>
    <w:rsid w:val="00777F6B"/>
    <w:rsid w:val="00780847"/>
    <w:rsid w:val="00781048"/>
    <w:rsid w:val="007810FE"/>
    <w:rsid w:val="007811B3"/>
    <w:rsid w:val="0078122F"/>
    <w:rsid w:val="0078126F"/>
    <w:rsid w:val="007816D2"/>
    <w:rsid w:val="00781A5D"/>
    <w:rsid w:val="00782358"/>
    <w:rsid w:val="007827B8"/>
    <w:rsid w:val="00782916"/>
    <w:rsid w:val="00782A7B"/>
    <w:rsid w:val="00782AEF"/>
    <w:rsid w:val="00782B91"/>
    <w:rsid w:val="00782F50"/>
    <w:rsid w:val="00783617"/>
    <w:rsid w:val="00783CF3"/>
    <w:rsid w:val="00783FD8"/>
    <w:rsid w:val="0078410A"/>
    <w:rsid w:val="00784555"/>
    <w:rsid w:val="007847F9"/>
    <w:rsid w:val="00784989"/>
    <w:rsid w:val="0078518D"/>
    <w:rsid w:val="00785950"/>
    <w:rsid w:val="00785A69"/>
    <w:rsid w:val="007860B0"/>
    <w:rsid w:val="0078635C"/>
    <w:rsid w:val="00786A8B"/>
    <w:rsid w:val="00786C49"/>
    <w:rsid w:val="00786EFA"/>
    <w:rsid w:val="00786F0A"/>
    <w:rsid w:val="00787544"/>
    <w:rsid w:val="00787648"/>
    <w:rsid w:val="007876D9"/>
    <w:rsid w:val="007877AC"/>
    <w:rsid w:val="007879F3"/>
    <w:rsid w:val="00787E27"/>
    <w:rsid w:val="00787EB9"/>
    <w:rsid w:val="00790114"/>
    <w:rsid w:val="0079017A"/>
    <w:rsid w:val="00790932"/>
    <w:rsid w:val="00790DF6"/>
    <w:rsid w:val="00790FDB"/>
    <w:rsid w:val="00791791"/>
    <w:rsid w:val="0079252B"/>
    <w:rsid w:val="00792965"/>
    <w:rsid w:val="007930A9"/>
    <w:rsid w:val="0079344C"/>
    <w:rsid w:val="00793556"/>
    <w:rsid w:val="00793560"/>
    <w:rsid w:val="0079381A"/>
    <w:rsid w:val="007938A7"/>
    <w:rsid w:val="00793BDE"/>
    <w:rsid w:val="0079415F"/>
    <w:rsid w:val="0079420A"/>
    <w:rsid w:val="007948FB"/>
    <w:rsid w:val="00794BD2"/>
    <w:rsid w:val="00795007"/>
    <w:rsid w:val="007953D1"/>
    <w:rsid w:val="00795CEC"/>
    <w:rsid w:val="00795E46"/>
    <w:rsid w:val="007962BC"/>
    <w:rsid w:val="0079677E"/>
    <w:rsid w:val="00796789"/>
    <w:rsid w:val="00796A00"/>
    <w:rsid w:val="00796BDA"/>
    <w:rsid w:val="00796C40"/>
    <w:rsid w:val="00796CEF"/>
    <w:rsid w:val="00796F44"/>
    <w:rsid w:val="0079798E"/>
    <w:rsid w:val="00797AAD"/>
    <w:rsid w:val="00797D5A"/>
    <w:rsid w:val="007A0055"/>
    <w:rsid w:val="007A0651"/>
    <w:rsid w:val="007A081C"/>
    <w:rsid w:val="007A0C37"/>
    <w:rsid w:val="007A1705"/>
    <w:rsid w:val="007A19DD"/>
    <w:rsid w:val="007A296A"/>
    <w:rsid w:val="007A2B35"/>
    <w:rsid w:val="007A3040"/>
    <w:rsid w:val="007A31ED"/>
    <w:rsid w:val="007A35B8"/>
    <w:rsid w:val="007A3A87"/>
    <w:rsid w:val="007A3EB2"/>
    <w:rsid w:val="007A3F9E"/>
    <w:rsid w:val="007A41B6"/>
    <w:rsid w:val="007A4410"/>
    <w:rsid w:val="007A4C2D"/>
    <w:rsid w:val="007A5275"/>
    <w:rsid w:val="007A5278"/>
    <w:rsid w:val="007A527D"/>
    <w:rsid w:val="007A529B"/>
    <w:rsid w:val="007A556F"/>
    <w:rsid w:val="007A5880"/>
    <w:rsid w:val="007A5EA5"/>
    <w:rsid w:val="007A5EE3"/>
    <w:rsid w:val="007A5F9D"/>
    <w:rsid w:val="007A6239"/>
    <w:rsid w:val="007A69B5"/>
    <w:rsid w:val="007A7AA3"/>
    <w:rsid w:val="007A7C98"/>
    <w:rsid w:val="007A7D7C"/>
    <w:rsid w:val="007B00BD"/>
    <w:rsid w:val="007B0612"/>
    <w:rsid w:val="007B1303"/>
    <w:rsid w:val="007B146C"/>
    <w:rsid w:val="007B1C7A"/>
    <w:rsid w:val="007B1E05"/>
    <w:rsid w:val="007B1FC6"/>
    <w:rsid w:val="007B2066"/>
    <w:rsid w:val="007B22E3"/>
    <w:rsid w:val="007B26B4"/>
    <w:rsid w:val="007B2A89"/>
    <w:rsid w:val="007B2B20"/>
    <w:rsid w:val="007B2DB9"/>
    <w:rsid w:val="007B31E3"/>
    <w:rsid w:val="007B326F"/>
    <w:rsid w:val="007B32AD"/>
    <w:rsid w:val="007B3DE5"/>
    <w:rsid w:val="007B3E82"/>
    <w:rsid w:val="007B44B8"/>
    <w:rsid w:val="007B44D6"/>
    <w:rsid w:val="007B467A"/>
    <w:rsid w:val="007B5134"/>
    <w:rsid w:val="007B56BB"/>
    <w:rsid w:val="007B577F"/>
    <w:rsid w:val="007B5CCD"/>
    <w:rsid w:val="007B5E81"/>
    <w:rsid w:val="007B5FCD"/>
    <w:rsid w:val="007B6048"/>
    <w:rsid w:val="007B608D"/>
    <w:rsid w:val="007B60DF"/>
    <w:rsid w:val="007B650D"/>
    <w:rsid w:val="007B65FA"/>
    <w:rsid w:val="007B6B20"/>
    <w:rsid w:val="007B6CDD"/>
    <w:rsid w:val="007B7B67"/>
    <w:rsid w:val="007B7BC4"/>
    <w:rsid w:val="007C01AA"/>
    <w:rsid w:val="007C0814"/>
    <w:rsid w:val="007C0E39"/>
    <w:rsid w:val="007C103D"/>
    <w:rsid w:val="007C13A9"/>
    <w:rsid w:val="007C1B1D"/>
    <w:rsid w:val="007C1F20"/>
    <w:rsid w:val="007C1F32"/>
    <w:rsid w:val="007C291C"/>
    <w:rsid w:val="007C2EAC"/>
    <w:rsid w:val="007C3543"/>
    <w:rsid w:val="007C366E"/>
    <w:rsid w:val="007C3688"/>
    <w:rsid w:val="007C3A2F"/>
    <w:rsid w:val="007C3EA0"/>
    <w:rsid w:val="007C3EC9"/>
    <w:rsid w:val="007C418F"/>
    <w:rsid w:val="007C4406"/>
    <w:rsid w:val="007C4407"/>
    <w:rsid w:val="007C58D2"/>
    <w:rsid w:val="007C59AF"/>
    <w:rsid w:val="007C5A63"/>
    <w:rsid w:val="007C5A87"/>
    <w:rsid w:val="007C602F"/>
    <w:rsid w:val="007C6403"/>
    <w:rsid w:val="007C64E9"/>
    <w:rsid w:val="007C6FE4"/>
    <w:rsid w:val="007C75CA"/>
    <w:rsid w:val="007C78E2"/>
    <w:rsid w:val="007C7B15"/>
    <w:rsid w:val="007C7C27"/>
    <w:rsid w:val="007C7D7D"/>
    <w:rsid w:val="007D014E"/>
    <w:rsid w:val="007D01FC"/>
    <w:rsid w:val="007D03B5"/>
    <w:rsid w:val="007D07CB"/>
    <w:rsid w:val="007D1071"/>
    <w:rsid w:val="007D11AB"/>
    <w:rsid w:val="007D133A"/>
    <w:rsid w:val="007D1641"/>
    <w:rsid w:val="007D2246"/>
    <w:rsid w:val="007D23CC"/>
    <w:rsid w:val="007D2502"/>
    <w:rsid w:val="007D2594"/>
    <w:rsid w:val="007D2680"/>
    <w:rsid w:val="007D2856"/>
    <w:rsid w:val="007D2CF1"/>
    <w:rsid w:val="007D3205"/>
    <w:rsid w:val="007D3378"/>
    <w:rsid w:val="007D35C9"/>
    <w:rsid w:val="007D35EB"/>
    <w:rsid w:val="007D36B6"/>
    <w:rsid w:val="007D3878"/>
    <w:rsid w:val="007D4359"/>
    <w:rsid w:val="007D46C2"/>
    <w:rsid w:val="007D47C4"/>
    <w:rsid w:val="007D5BCC"/>
    <w:rsid w:val="007D5F96"/>
    <w:rsid w:val="007D5FB1"/>
    <w:rsid w:val="007D66D7"/>
    <w:rsid w:val="007D691A"/>
    <w:rsid w:val="007D6DBE"/>
    <w:rsid w:val="007D76E5"/>
    <w:rsid w:val="007D7838"/>
    <w:rsid w:val="007D7A0D"/>
    <w:rsid w:val="007D7C18"/>
    <w:rsid w:val="007D7CB3"/>
    <w:rsid w:val="007E030D"/>
    <w:rsid w:val="007E07E3"/>
    <w:rsid w:val="007E0B59"/>
    <w:rsid w:val="007E0BD3"/>
    <w:rsid w:val="007E0C4A"/>
    <w:rsid w:val="007E0DCB"/>
    <w:rsid w:val="007E1013"/>
    <w:rsid w:val="007E1295"/>
    <w:rsid w:val="007E1335"/>
    <w:rsid w:val="007E1483"/>
    <w:rsid w:val="007E14EF"/>
    <w:rsid w:val="007E1849"/>
    <w:rsid w:val="007E1D23"/>
    <w:rsid w:val="007E2329"/>
    <w:rsid w:val="007E23AA"/>
    <w:rsid w:val="007E25EF"/>
    <w:rsid w:val="007E283A"/>
    <w:rsid w:val="007E2946"/>
    <w:rsid w:val="007E29AB"/>
    <w:rsid w:val="007E2A07"/>
    <w:rsid w:val="007E2AC3"/>
    <w:rsid w:val="007E2AD5"/>
    <w:rsid w:val="007E3211"/>
    <w:rsid w:val="007E3513"/>
    <w:rsid w:val="007E40E5"/>
    <w:rsid w:val="007E4300"/>
    <w:rsid w:val="007E438B"/>
    <w:rsid w:val="007E43C9"/>
    <w:rsid w:val="007E44A2"/>
    <w:rsid w:val="007E48A0"/>
    <w:rsid w:val="007E4F3D"/>
    <w:rsid w:val="007E5153"/>
    <w:rsid w:val="007E5940"/>
    <w:rsid w:val="007E5C74"/>
    <w:rsid w:val="007E5EC8"/>
    <w:rsid w:val="007E612D"/>
    <w:rsid w:val="007E6432"/>
    <w:rsid w:val="007E660B"/>
    <w:rsid w:val="007E67D4"/>
    <w:rsid w:val="007E6A47"/>
    <w:rsid w:val="007E6C9D"/>
    <w:rsid w:val="007E6CD5"/>
    <w:rsid w:val="007E6E38"/>
    <w:rsid w:val="007E6F62"/>
    <w:rsid w:val="007E715D"/>
    <w:rsid w:val="007E720A"/>
    <w:rsid w:val="007E75B1"/>
    <w:rsid w:val="007E760E"/>
    <w:rsid w:val="007E7682"/>
    <w:rsid w:val="007E7B42"/>
    <w:rsid w:val="007E7BCD"/>
    <w:rsid w:val="007F0037"/>
    <w:rsid w:val="007F020F"/>
    <w:rsid w:val="007F02EA"/>
    <w:rsid w:val="007F0337"/>
    <w:rsid w:val="007F0A37"/>
    <w:rsid w:val="007F0DC6"/>
    <w:rsid w:val="007F0F70"/>
    <w:rsid w:val="007F10DB"/>
    <w:rsid w:val="007F13A0"/>
    <w:rsid w:val="007F16AA"/>
    <w:rsid w:val="007F1E26"/>
    <w:rsid w:val="007F25B1"/>
    <w:rsid w:val="007F2B9E"/>
    <w:rsid w:val="007F3382"/>
    <w:rsid w:val="007F3A6D"/>
    <w:rsid w:val="007F43BE"/>
    <w:rsid w:val="007F466B"/>
    <w:rsid w:val="007F5396"/>
    <w:rsid w:val="007F5B97"/>
    <w:rsid w:val="007F60D0"/>
    <w:rsid w:val="007F68AB"/>
    <w:rsid w:val="007F695E"/>
    <w:rsid w:val="007F6CF6"/>
    <w:rsid w:val="007F71F0"/>
    <w:rsid w:val="007F7CFD"/>
    <w:rsid w:val="00800029"/>
    <w:rsid w:val="00800590"/>
    <w:rsid w:val="00800B7B"/>
    <w:rsid w:val="00800E7A"/>
    <w:rsid w:val="00801589"/>
    <w:rsid w:val="00801C0A"/>
    <w:rsid w:val="00801C43"/>
    <w:rsid w:val="0080250E"/>
    <w:rsid w:val="0080322E"/>
    <w:rsid w:val="00803462"/>
    <w:rsid w:val="008038C4"/>
    <w:rsid w:val="00803AFF"/>
    <w:rsid w:val="00803C18"/>
    <w:rsid w:val="00803D5E"/>
    <w:rsid w:val="00803E19"/>
    <w:rsid w:val="00803EC6"/>
    <w:rsid w:val="00804166"/>
    <w:rsid w:val="00804338"/>
    <w:rsid w:val="0080485A"/>
    <w:rsid w:val="008049BC"/>
    <w:rsid w:val="00804BFD"/>
    <w:rsid w:val="00804E7E"/>
    <w:rsid w:val="008050C4"/>
    <w:rsid w:val="008055FD"/>
    <w:rsid w:val="0080570D"/>
    <w:rsid w:val="00805CD8"/>
    <w:rsid w:val="00805DB2"/>
    <w:rsid w:val="00805EBA"/>
    <w:rsid w:val="008062FC"/>
    <w:rsid w:val="008064C6"/>
    <w:rsid w:val="00806687"/>
    <w:rsid w:val="00806742"/>
    <w:rsid w:val="008069C7"/>
    <w:rsid w:val="008069D9"/>
    <w:rsid w:val="00806AB3"/>
    <w:rsid w:val="0080735F"/>
    <w:rsid w:val="0080742C"/>
    <w:rsid w:val="008074B8"/>
    <w:rsid w:val="00807C0F"/>
    <w:rsid w:val="008106F3"/>
    <w:rsid w:val="00810D41"/>
    <w:rsid w:val="00811692"/>
    <w:rsid w:val="0081188D"/>
    <w:rsid w:val="0081194D"/>
    <w:rsid w:val="0081216A"/>
    <w:rsid w:val="008129C6"/>
    <w:rsid w:val="00812B48"/>
    <w:rsid w:val="00812BA6"/>
    <w:rsid w:val="00812C9C"/>
    <w:rsid w:val="008130CE"/>
    <w:rsid w:val="00813416"/>
    <w:rsid w:val="00813459"/>
    <w:rsid w:val="00813678"/>
    <w:rsid w:val="008140D2"/>
    <w:rsid w:val="00814A35"/>
    <w:rsid w:val="00814ADA"/>
    <w:rsid w:val="00814B55"/>
    <w:rsid w:val="008152A8"/>
    <w:rsid w:val="00815941"/>
    <w:rsid w:val="00815E9C"/>
    <w:rsid w:val="008164CD"/>
    <w:rsid w:val="00816A98"/>
    <w:rsid w:val="00816D1B"/>
    <w:rsid w:val="00816F91"/>
    <w:rsid w:val="0081723D"/>
    <w:rsid w:val="0081751F"/>
    <w:rsid w:val="0081756B"/>
    <w:rsid w:val="0081758C"/>
    <w:rsid w:val="00817598"/>
    <w:rsid w:val="0081762C"/>
    <w:rsid w:val="00817761"/>
    <w:rsid w:val="00817839"/>
    <w:rsid w:val="00817924"/>
    <w:rsid w:val="00817F24"/>
    <w:rsid w:val="008200D0"/>
    <w:rsid w:val="00820439"/>
    <w:rsid w:val="0082113D"/>
    <w:rsid w:val="008212C9"/>
    <w:rsid w:val="008214A6"/>
    <w:rsid w:val="008219A2"/>
    <w:rsid w:val="00821BB2"/>
    <w:rsid w:val="00821BF1"/>
    <w:rsid w:val="00821C09"/>
    <w:rsid w:val="00821E61"/>
    <w:rsid w:val="00822273"/>
    <w:rsid w:val="00822336"/>
    <w:rsid w:val="00822355"/>
    <w:rsid w:val="008223B1"/>
    <w:rsid w:val="00822D91"/>
    <w:rsid w:val="00822E90"/>
    <w:rsid w:val="008231E3"/>
    <w:rsid w:val="00823460"/>
    <w:rsid w:val="008234C3"/>
    <w:rsid w:val="00823671"/>
    <w:rsid w:val="0082373D"/>
    <w:rsid w:val="008239F8"/>
    <w:rsid w:val="00823C31"/>
    <w:rsid w:val="00823EAC"/>
    <w:rsid w:val="00824118"/>
    <w:rsid w:val="00824CEF"/>
    <w:rsid w:val="00824F28"/>
    <w:rsid w:val="00825686"/>
    <w:rsid w:val="008258C0"/>
    <w:rsid w:val="008258E2"/>
    <w:rsid w:val="00825A20"/>
    <w:rsid w:val="00825CF4"/>
    <w:rsid w:val="00825D89"/>
    <w:rsid w:val="00826259"/>
    <w:rsid w:val="00826269"/>
    <w:rsid w:val="008262A8"/>
    <w:rsid w:val="008262B8"/>
    <w:rsid w:val="00826336"/>
    <w:rsid w:val="008268DB"/>
    <w:rsid w:val="00826BC6"/>
    <w:rsid w:val="00826C65"/>
    <w:rsid w:val="0082705C"/>
    <w:rsid w:val="0082714F"/>
    <w:rsid w:val="0082739A"/>
    <w:rsid w:val="00827565"/>
    <w:rsid w:val="00827908"/>
    <w:rsid w:val="00827941"/>
    <w:rsid w:val="00827B34"/>
    <w:rsid w:val="00827D0F"/>
    <w:rsid w:val="00827DCA"/>
    <w:rsid w:val="008300DE"/>
    <w:rsid w:val="00830EE3"/>
    <w:rsid w:val="00830F52"/>
    <w:rsid w:val="008313AA"/>
    <w:rsid w:val="008317B4"/>
    <w:rsid w:val="008317DC"/>
    <w:rsid w:val="008318A5"/>
    <w:rsid w:val="00831B76"/>
    <w:rsid w:val="00831C89"/>
    <w:rsid w:val="00832054"/>
    <w:rsid w:val="00832301"/>
    <w:rsid w:val="00832820"/>
    <w:rsid w:val="00833134"/>
    <w:rsid w:val="00833314"/>
    <w:rsid w:val="008335A5"/>
    <w:rsid w:val="00833670"/>
    <w:rsid w:val="00833AA6"/>
    <w:rsid w:val="00834577"/>
    <w:rsid w:val="008347DC"/>
    <w:rsid w:val="008348F7"/>
    <w:rsid w:val="00834A06"/>
    <w:rsid w:val="00834A2E"/>
    <w:rsid w:val="00834B7A"/>
    <w:rsid w:val="00834C92"/>
    <w:rsid w:val="00834EFB"/>
    <w:rsid w:val="0083518D"/>
    <w:rsid w:val="00835982"/>
    <w:rsid w:val="00835ACA"/>
    <w:rsid w:val="00835B44"/>
    <w:rsid w:val="008361C4"/>
    <w:rsid w:val="00836264"/>
    <w:rsid w:val="008366D5"/>
    <w:rsid w:val="00836CB2"/>
    <w:rsid w:val="0083793B"/>
    <w:rsid w:val="00837B6E"/>
    <w:rsid w:val="00837BC2"/>
    <w:rsid w:val="00840D77"/>
    <w:rsid w:val="00840DEB"/>
    <w:rsid w:val="00840E22"/>
    <w:rsid w:val="00840EED"/>
    <w:rsid w:val="0084102D"/>
    <w:rsid w:val="0084154C"/>
    <w:rsid w:val="00841A63"/>
    <w:rsid w:val="00841C96"/>
    <w:rsid w:val="00841E72"/>
    <w:rsid w:val="00841EDD"/>
    <w:rsid w:val="00841EE1"/>
    <w:rsid w:val="008422A5"/>
    <w:rsid w:val="00842AF7"/>
    <w:rsid w:val="00842B2E"/>
    <w:rsid w:val="00842BDA"/>
    <w:rsid w:val="00842C56"/>
    <w:rsid w:val="00842E10"/>
    <w:rsid w:val="008430A3"/>
    <w:rsid w:val="00843142"/>
    <w:rsid w:val="00843898"/>
    <w:rsid w:val="00843ABF"/>
    <w:rsid w:val="00843F78"/>
    <w:rsid w:val="008443BD"/>
    <w:rsid w:val="0084450B"/>
    <w:rsid w:val="00844642"/>
    <w:rsid w:val="00844857"/>
    <w:rsid w:val="00844AF2"/>
    <w:rsid w:val="00844D5B"/>
    <w:rsid w:val="008463B4"/>
    <w:rsid w:val="008464A4"/>
    <w:rsid w:val="008464DC"/>
    <w:rsid w:val="00846616"/>
    <w:rsid w:val="00846998"/>
    <w:rsid w:val="00846B58"/>
    <w:rsid w:val="00846E5A"/>
    <w:rsid w:val="00846E86"/>
    <w:rsid w:val="00846FB2"/>
    <w:rsid w:val="008470AC"/>
    <w:rsid w:val="00847425"/>
    <w:rsid w:val="00847EFA"/>
    <w:rsid w:val="00850DE5"/>
    <w:rsid w:val="00851299"/>
    <w:rsid w:val="00851658"/>
    <w:rsid w:val="00851686"/>
    <w:rsid w:val="00851DF4"/>
    <w:rsid w:val="0085267D"/>
    <w:rsid w:val="008531A8"/>
    <w:rsid w:val="0085326F"/>
    <w:rsid w:val="00853E5B"/>
    <w:rsid w:val="00853E89"/>
    <w:rsid w:val="008544AD"/>
    <w:rsid w:val="00854A65"/>
    <w:rsid w:val="00854D1E"/>
    <w:rsid w:val="00854D89"/>
    <w:rsid w:val="00854E7D"/>
    <w:rsid w:val="00855229"/>
    <w:rsid w:val="008554E0"/>
    <w:rsid w:val="00855A83"/>
    <w:rsid w:val="00855AE9"/>
    <w:rsid w:val="00856E14"/>
    <w:rsid w:val="00857623"/>
    <w:rsid w:val="008576AB"/>
    <w:rsid w:val="0086000D"/>
    <w:rsid w:val="008600C2"/>
    <w:rsid w:val="0086033A"/>
    <w:rsid w:val="00860476"/>
    <w:rsid w:val="00860872"/>
    <w:rsid w:val="00860A16"/>
    <w:rsid w:val="00860CA7"/>
    <w:rsid w:val="00861492"/>
    <w:rsid w:val="00861E42"/>
    <w:rsid w:val="008623CD"/>
    <w:rsid w:val="008628C0"/>
    <w:rsid w:val="00862946"/>
    <w:rsid w:val="00862EBE"/>
    <w:rsid w:val="00862F15"/>
    <w:rsid w:val="008633AA"/>
    <w:rsid w:val="008634E8"/>
    <w:rsid w:val="00863B26"/>
    <w:rsid w:val="00864441"/>
    <w:rsid w:val="00864C80"/>
    <w:rsid w:val="00864F98"/>
    <w:rsid w:val="00865244"/>
    <w:rsid w:val="00865586"/>
    <w:rsid w:val="008658C7"/>
    <w:rsid w:val="00865CC6"/>
    <w:rsid w:val="008662F5"/>
    <w:rsid w:val="008663E1"/>
    <w:rsid w:val="008663F7"/>
    <w:rsid w:val="00866546"/>
    <w:rsid w:val="008671DB"/>
    <w:rsid w:val="00867317"/>
    <w:rsid w:val="008676B5"/>
    <w:rsid w:val="00867B5E"/>
    <w:rsid w:val="00867F9B"/>
    <w:rsid w:val="0087000E"/>
    <w:rsid w:val="00870241"/>
    <w:rsid w:val="00870433"/>
    <w:rsid w:val="008704B4"/>
    <w:rsid w:val="00870673"/>
    <w:rsid w:val="00870959"/>
    <w:rsid w:val="00870BD0"/>
    <w:rsid w:val="00870F8A"/>
    <w:rsid w:val="008710AC"/>
    <w:rsid w:val="008718D1"/>
    <w:rsid w:val="00871E2A"/>
    <w:rsid w:val="00872587"/>
    <w:rsid w:val="00872898"/>
    <w:rsid w:val="008728A8"/>
    <w:rsid w:val="00872BB8"/>
    <w:rsid w:val="00872BF0"/>
    <w:rsid w:val="00872E45"/>
    <w:rsid w:val="00872E70"/>
    <w:rsid w:val="008730F8"/>
    <w:rsid w:val="00873160"/>
    <w:rsid w:val="008733D9"/>
    <w:rsid w:val="00873453"/>
    <w:rsid w:val="00874504"/>
    <w:rsid w:val="008746BF"/>
    <w:rsid w:val="008748B0"/>
    <w:rsid w:val="008749CD"/>
    <w:rsid w:val="00874A90"/>
    <w:rsid w:val="00875105"/>
    <w:rsid w:val="0087632A"/>
    <w:rsid w:val="008764D9"/>
    <w:rsid w:val="00876542"/>
    <w:rsid w:val="00876AAD"/>
    <w:rsid w:val="00876AD2"/>
    <w:rsid w:val="00876DAA"/>
    <w:rsid w:val="0087752D"/>
    <w:rsid w:val="00877656"/>
    <w:rsid w:val="008776C8"/>
    <w:rsid w:val="008776FC"/>
    <w:rsid w:val="008777FE"/>
    <w:rsid w:val="00877CD9"/>
    <w:rsid w:val="00877D5F"/>
    <w:rsid w:val="008802C6"/>
    <w:rsid w:val="008806E1"/>
    <w:rsid w:val="008811BD"/>
    <w:rsid w:val="0088123B"/>
    <w:rsid w:val="0088128D"/>
    <w:rsid w:val="00881583"/>
    <w:rsid w:val="00881E65"/>
    <w:rsid w:val="00882929"/>
    <w:rsid w:val="00882ECD"/>
    <w:rsid w:val="00883038"/>
    <w:rsid w:val="008843CD"/>
    <w:rsid w:val="00884622"/>
    <w:rsid w:val="00884737"/>
    <w:rsid w:val="00884CF9"/>
    <w:rsid w:val="00884EB3"/>
    <w:rsid w:val="00885B1F"/>
    <w:rsid w:val="00885F4C"/>
    <w:rsid w:val="008863E2"/>
    <w:rsid w:val="008863FD"/>
    <w:rsid w:val="008869A9"/>
    <w:rsid w:val="00886B8E"/>
    <w:rsid w:val="00886C0D"/>
    <w:rsid w:val="00887314"/>
    <w:rsid w:val="00887342"/>
    <w:rsid w:val="008877F0"/>
    <w:rsid w:val="00887851"/>
    <w:rsid w:val="00887A97"/>
    <w:rsid w:val="00887C5A"/>
    <w:rsid w:val="00887CD8"/>
    <w:rsid w:val="00887D09"/>
    <w:rsid w:val="00887F09"/>
    <w:rsid w:val="008901A5"/>
    <w:rsid w:val="008901B8"/>
    <w:rsid w:val="00890241"/>
    <w:rsid w:val="008909C2"/>
    <w:rsid w:val="00890BA8"/>
    <w:rsid w:val="00890D6C"/>
    <w:rsid w:val="00890FE3"/>
    <w:rsid w:val="00891850"/>
    <w:rsid w:val="008919CE"/>
    <w:rsid w:val="00891F7D"/>
    <w:rsid w:val="00891F92"/>
    <w:rsid w:val="00893371"/>
    <w:rsid w:val="0089391E"/>
    <w:rsid w:val="00893B6B"/>
    <w:rsid w:val="00893BC4"/>
    <w:rsid w:val="00893E2D"/>
    <w:rsid w:val="0089440A"/>
    <w:rsid w:val="008945AA"/>
    <w:rsid w:val="00894D6C"/>
    <w:rsid w:val="00894DF1"/>
    <w:rsid w:val="00894FF1"/>
    <w:rsid w:val="00895082"/>
    <w:rsid w:val="0089521F"/>
    <w:rsid w:val="00895249"/>
    <w:rsid w:val="008952C1"/>
    <w:rsid w:val="00895EC3"/>
    <w:rsid w:val="008963FE"/>
    <w:rsid w:val="0089652A"/>
    <w:rsid w:val="00896660"/>
    <w:rsid w:val="008967ED"/>
    <w:rsid w:val="008968B9"/>
    <w:rsid w:val="008969C2"/>
    <w:rsid w:val="00896E66"/>
    <w:rsid w:val="00896E71"/>
    <w:rsid w:val="008972D9"/>
    <w:rsid w:val="0089731B"/>
    <w:rsid w:val="008974E8"/>
    <w:rsid w:val="00897D82"/>
    <w:rsid w:val="008A02F8"/>
    <w:rsid w:val="008A0550"/>
    <w:rsid w:val="008A092A"/>
    <w:rsid w:val="008A0CDC"/>
    <w:rsid w:val="008A13B9"/>
    <w:rsid w:val="008A1656"/>
    <w:rsid w:val="008A1878"/>
    <w:rsid w:val="008A18D4"/>
    <w:rsid w:val="008A1994"/>
    <w:rsid w:val="008A1D0F"/>
    <w:rsid w:val="008A1F4B"/>
    <w:rsid w:val="008A2215"/>
    <w:rsid w:val="008A2264"/>
    <w:rsid w:val="008A24BA"/>
    <w:rsid w:val="008A2808"/>
    <w:rsid w:val="008A304A"/>
    <w:rsid w:val="008A310F"/>
    <w:rsid w:val="008A3309"/>
    <w:rsid w:val="008A3465"/>
    <w:rsid w:val="008A35D0"/>
    <w:rsid w:val="008A3BD9"/>
    <w:rsid w:val="008A40AC"/>
    <w:rsid w:val="008A46B1"/>
    <w:rsid w:val="008A4735"/>
    <w:rsid w:val="008A4867"/>
    <w:rsid w:val="008A49CD"/>
    <w:rsid w:val="008A4ABC"/>
    <w:rsid w:val="008A4C01"/>
    <w:rsid w:val="008A4D79"/>
    <w:rsid w:val="008A57B1"/>
    <w:rsid w:val="008A58C5"/>
    <w:rsid w:val="008A58DC"/>
    <w:rsid w:val="008A58FC"/>
    <w:rsid w:val="008A5BE0"/>
    <w:rsid w:val="008A668C"/>
    <w:rsid w:val="008A6EAC"/>
    <w:rsid w:val="008A71BC"/>
    <w:rsid w:val="008A7343"/>
    <w:rsid w:val="008A7A73"/>
    <w:rsid w:val="008A7D15"/>
    <w:rsid w:val="008A7D72"/>
    <w:rsid w:val="008B06B1"/>
    <w:rsid w:val="008B0827"/>
    <w:rsid w:val="008B09E6"/>
    <w:rsid w:val="008B0FE9"/>
    <w:rsid w:val="008B259D"/>
    <w:rsid w:val="008B2833"/>
    <w:rsid w:val="008B292D"/>
    <w:rsid w:val="008B2D77"/>
    <w:rsid w:val="008B309A"/>
    <w:rsid w:val="008B345C"/>
    <w:rsid w:val="008B3566"/>
    <w:rsid w:val="008B3686"/>
    <w:rsid w:val="008B3717"/>
    <w:rsid w:val="008B37D0"/>
    <w:rsid w:val="008B3A3F"/>
    <w:rsid w:val="008B4736"/>
    <w:rsid w:val="008B47F8"/>
    <w:rsid w:val="008B4814"/>
    <w:rsid w:val="008B4A7D"/>
    <w:rsid w:val="008B4B78"/>
    <w:rsid w:val="008B4D9B"/>
    <w:rsid w:val="008B530D"/>
    <w:rsid w:val="008B5331"/>
    <w:rsid w:val="008B5443"/>
    <w:rsid w:val="008B560E"/>
    <w:rsid w:val="008B5A43"/>
    <w:rsid w:val="008B5B23"/>
    <w:rsid w:val="008B61AD"/>
    <w:rsid w:val="008B696F"/>
    <w:rsid w:val="008B6B31"/>
    <w:rsid w:val="008B74E1"/>
    <w:rsid w:val="008C0295"/>
    <w:rsid w:val="008C0E6E"/>
    <w:rsid w:val="008C0F18"/>
    <w:rsid w:val="008C1406"/>
    <w:rsid w:val="008C1C35"/>
    <w:rsid w:val="008C1FCB"/>
    <w:rsid w:val="008C24DC"/>
    <w:rsid w:val="008C2ACF"/>
    <w:rsid w:val="008C2F9F"/>
    <w:rsid w:val="008C35E9"/>
    <w:rsid w:val="008C373A"/>
    <w:rsid w:val="008C3ABE"/>
    <w:rsid w:val="008C3D0D"/>
    <w:rsid w:val="008C4024"/>
    <w:rsid w:val="008C47F7"/>
    <w:rsid w:val="008C480F"/>
    <w:rsid w:val="008C4891"/>
    <w:rsid w:val="008C4909"/>
    <w:rsid w:val="008C490B"/>
    <w:rsid w:val="008C4AD1"/>
    <w:rsid w:val="008C4B5A"/>
    <w:rsid w:val="008C4FDA"/>
    <w:rsid w:val="008C4FFF"/>
    <w:rsid w:val="008C5910"/>
    <w:rsid w:val="008C5C18"/>
    <w:rsid w:val="008C5C40"/>
    <w:rsid w:val="008C6271"/>
    <w:rsid w:val="008C6288"/>
    <w:rsid w:val="008C62B3"/>
    <w:rsid w:val="008C64C1"/>
    <w:rsid w:val="008C65E4"/>
    <w:rsid w:val="008C6835"/>
    <w:rsid w:val="008C6A24"/>
    <w:rsid w:val="008C754A"/>
    <w:rsid w:val="008C7784"/>
    <w:rsid w:val="008C7DD4"/>
    <w:rsid w:val="008C7E05"/>
    <w:rsid w:val="008C7E3E"/>
    <w:rsid w:val="008C7F08"/>
    <w:rsid w:val="008D02B5"/>
    <w:rsid w:val="008D05CD"/>
    <w:rsid w:val="008D09CE"/>
    <w:rsid w:val="008D0D23"/>
    <w:rsid w:val="008D16F1"/>
    <w:rsid w:val="008D16FA"/>
    <w:rsid w:val="008D1CF6"/>
    <w:rsid w:val="008D208A"/>
    <w:rsid w:val="008D20B3"/>
    <w:rsid w:val="008D24E8"/>
    <w:rsid w:val="008D2AFB"/>
    <w:rsid w:val="008D2CA4"/>
    <w:rsid w:val="008D2FF4"/>
    <w:rsid w:val="008D3724"/>
    <w:rsid w:val="008D3BEB"/>
    <w:rsid w:val="008D40E7"/>
    <w:rsid w:val="008D4B7C"/>
    <w:rsid w:val="008D5076"/>
    <w:rsid w:val="008D50E8"/>
    <w:rsid w:val="008D5153"/>
    <w:rsid w:val="008D5328"/>
    <w:rsid w:val="008D53F5"/>
    <w:rsid w:val="008D58D7"/>
    <w:rsid w:val="008D5A89"/>
    <w:rsid w:val="008D5B65"/>
    <w:rsid w:val="008D62DA"/>
    <w:rsid w:val="008D639A"/>
    <w:rsid w:val="008D6864"/>
    <w:rsid w:val="008D6D2E"/>
    <w:rsid w:val="008D721E"/>
    <w:rsid w:val="008D746B"/>
    <w:rsid w:val="008D782D"/>
    <w:rsid w:val="008D79D0"/>
    <w:rsid w:val="008D7C38"/>
    <w:rsid w:val="008DA3B1"/>
    <w:rsid w:val="008E0137"/>
    <w:rsid w:val="008E0AF4"/>
    <w:rsid w:val="008E163F"/>
    <w:rsid w:val="008E1EDF"/>
    <w:rsid w:val="008E2109"/>
    <w:rsid w:val="008E21DA"/>
    <w:rsid w:val="008E234A"/>
    <w:rsid w:val="008E24BE"/>
    <w:rsid w:val="008E2648"/>
    <w:rsid w:val="008E26CD"/>
    <w:rsid w:val="008E2816"/>
    <w:rsid w:val="008E2C84"/>
    <w:rsid w:val="008E2F70"/>
    <w:rsid w:val="008E30BB"/>
    <w:rsid w:val="008E3108"/>
    <w:rsid w:val="008E3325"/>
    <w:rsid w:val="008E399D"/>
    <w:rsid w:val="008E4E23"/>
    <w:rsid w:val="008E4E77"/>
    <w:rsid w:val="008E507A"/>
    <w:rsid w:val="008E5411"/>
    <w:rsid w:val="008E54DE"/>
    <w:rsid w:val="008E54E5"/>
    <w:rsid w:val="008E5B6A"/>
    <w:rsid w:val="008E5CFD"/>
    <w:rsid w:val="008E5EA5"/>
    <w:rsid w:val="008E64FE"/>
    <w:rsid w:val="008E673F"/>
    <w:rsid w:val="008E70C2"/>
    <w:rsid w:val="008E7327"/>
    <w:rsid w:val="008E799E"/>
    <w:rsid w:val="008E7AC4"/>
    <w:rsid w:val="008F0166"/>
    <w:rsid w:val="008F03B8"/>
    <w:rsid w:val="008F0AFE"/>
    <w:rsid w:val="008F0E1C"/>
    <w:rsid w:val="008F0E32"/>
    <w:rsid w:val="008F0E97"/>
    <w:rsid w:val="008F1132"/>
    <w:rsid w:val="008F1856"/>
    <w:rsid w:val="008F1E00"/>
    <w:rsid w:val="008F23EF"/>
    <w:rsid w:val="008F25B1"/>
    <w:rsid w:val="008F25DE"/>
    <w:rsid w:val="008F26CB"/>
    <w:rsid w:val="008F2D39"/>
    <w:rsid w:val="008F2F0E"/>
    <w:rsid w:val="008F32FB"/>
    <w:rsid w:val="008F3313"/>
    <w:rsid w:val="008F33A9"/>
    <w:rsid w:val="008F33AF"/>
    <w:rsid w:val="008F33F7"/>
    <w:rsid w:val="008F41E7"/>
    <w:rsid w:val="008F4205"/>
    <w:rsid w:val="008F4389"/>
    <w:rsid w:val="008F4ABF"/>
    <w:rsid w:val="008F4BF1"/>
    <w:rsid w:val="008F4D06"/>
    <w:rsid w:val="008F4D87"/>
    <w:rsid w:val="008F4EAA"/>
    <w:rsid w:val="008F59C4"/>
    <w:rsid w:val="008F5A51"/>
    <w:rsid w:val="008F5F66"/>
    <w:rsid w:val="008F680E"/>
    <w:rsid w:val="008F6AF5"/>
    <w:rsid w:val="008F6C2D"/>
    <w:rsid w:val="008F6F51"/>
    <w:rsid w:val="008F7701"/>
    <w:rsid w:val="008F79AF"/>
    <w:rsid w:val="008F7B4D"/>
    <w:rsid w:val="008F7D77"/>
    <w:rsid w:val="0090006B"/>
    <w:rsid w:val="00900322"/>
    <w:rsid w:val="00900751"/>
    <w:rsid w:val="0090099A"/>
    <w:rsid w:val="00900A4A"/>
    <w:rsid w:val="00900DE5"/>
    <w:rsid w:val="009016B6"/>
    <w:rsid w:val="0090176A"/>
    <w:rsid w:val="00901E18"/>
    <w:rsid w:val="009020D6"/>
    <w:rsid w:val="009020E0"/>
    <w:rsid w:val="00902545"/>
    <w:rsid w:val="0090258D"/>
    <w:rsid w:val="0090290D"/>
    <w:rsid w:val="00902990"/>
    <w:rsid w:val="00902C51"/>
    <w:rsid w:val="00902E37"/>
    <w:rsid w:val="00903652"/>
    <w:rsid w:val="00903BF5"/>
    <w:rsid w:val="00903FFF"/>
    <w:rsid w:val="00904586"/>
    <w:rsid w:val="00904B9D"/>
    <w:rsid w:val="00905236"/>
    <w:rsid w:val="00905263"/>
    <w:rsid w:val="0090546E"/>
    <w:rsid w:val="009054AC"/>
    <w:rsid w:val="00905568"/>
    <w:rsid w:val="0090582E"/>
    <w:rsid w:val="009059CF"/>
    <w:rsid w:val="00905BAC"/>
    <w:rsid w:val="00905CBE"/>
    <w:rsid w:val="009066E1"/>
    <w:rsid w:val="00906A05"/>
    <w:rsid w:val="00906C57"/>
    <w:rsid w:val="00906F18"/>
    <w:rsid w:val="0090703F"/>
    <w:rsid w:val="00907088"/>
    <w:rsid w:val="00907224"/>
    <w:rsid w:val="00907509"/>
    <w:rsid w:val="009079C4"/>
    <w:rsid w:val="00907F35"/>
    <w:rsid w:val="00910777"/>
    <w:rsid w:val="009108C6"/>
    <w:rsid w:val="00910B63"/>
    <w:rsid w:val="009118B8"/>
    <w:rsid w:val="009118C9"/>
    <w:rsid w:val="00911A18"/>
    <w:rsid w:val="00912035"/>
    <w:rsid w:val="009128EA"/>
    <w:rsid w:val="00912B29"/>
    <w:rsid w:val="00912D19"/>
    <w:rsid w:val="00912EE7"/>
    <w:rsid w:val="00913009"/>
    <w:rsid w:val="00913247"/>
    <w:rsid w:val="00913487"/>
    <w:rsid w:val="00913602"/>
    <w:rsid w:val="009139FD"/>
    <w:rsid w:val="00913A32"/>
    <w:rsid w:val="00913DCB"/>
    <w:rsid w:val="0091410A"/>
    <w:rsid w:val="009150CB"/>
    <w:rsid w:val="009151D7"/>
    <w:rsid w:val="00915385"/>
    <w:rsid w:val="00915923"/>
    <w:rsid w:val="00915B7C"/>
    <w:rsid w:val="00915E00"/>
    <w:rsid w:val="009164A8"/>
    <w:rsid w:val="00916A61"/>
    <w:rsid w:val="00916A6E"/>
    <w:rsid w:val="00916E6A"/>
    <w:rsid w:val="0091702E"/>
    <w:rsid w:val="00917227"/>
    <w:rsid w:val="00917398"/>
    <w:rsid w:val="009179E5"/>
    <w:rsid w:val="00920490"/>
    <w:rsid w:val="009206B7"/>
    <w:rsid w:val="00920AE2"/>
    <w:rsid w:val="00920B9B"/>
    <w:rsid w:val="00920EAD"/>
    <w:rsid w:val="00920FAB"/>
    <w:rsid w:val="0092155C"/>
    <w:rsid w:val="00921D1C"/>
    <w:rsid w:val="00921D6E"/>
    <w:rsid w:val="00921FB7"/>
    <w:rsid w:val="009220CC"/>
    <w:rsid w:val="0092235E"/>
    <w:rsid w:val="0092256A"/>
    <w:rsid w:val="00922593"/>
    <w:rsid w:val="00922AC9"/>
    <w:rsid w:val="00922CCF"/>
    <w:rsid w:val="00922E55"/>
    <w:rsid w:val="00923938"/>
    <w:rsid w:val="00923982"/>
    <w:rsid w:val="009239E4"/>
    <w:rsid w:val="00924215"/>
    <w:rsid w:val="009244C7"/>
    <w:rsid w:val="00924978"/>
    <w:rsid w:val="00924D28"/>
    <w:rsid w:val="00924EC2"/>
    <w:rsid w:val="009250B8"/>
    <w:rsid w:val="009250D4"/>
    <w:rsid w:val="00925577"/>
    <w:rsid w:val="00925B01"/>
    <w:rsid w:val="00926766"/>
    <w:rsid w:val="009268C4"/>
    <w:rsid w:val="00927170"/>
    <w:rsid w:val="009277DA"/>
    <w:rsid w:val="009278BF"/>
    <w:rsid w:val="00927D65"/>
    <w:rsid w:val="009309F2"/>
    <w:rsid w:val="00931053"/>
    <w:rsid w:val="009312B5"/>
    <w:rsid w:val="009313D8"/>
    <w:rsid w:val="00931450"/>
    <w:rsid w:val="0093207F"/>
    <w:rsid w:val="00932500"/>
    <w:rsid w:val="009326B4"/>
    <w:rsid w:val="00932783"/>
    <w:rsid w:val="009329B1"/>
    <w:rsid w:val="009329DD"/>
    <w:rsid w:val="00932C3B"/>
    <w:rsid w:val="00933272"/>
    <w:rsid w:val="0093398C"/>
    <w:rsid w:val="00933A9D"/>
    <w:rsid w:val="00933B48"/>
    <w:rsid w:val="00933C97"/>
    <w:rsid w:val="00933FCF"/>
    <w:rsid w:val="0093403D"/>
    <w:rsid w:val="0093486D"/>
    <w:rsid w:val="009348DF"/>
    <w:rsid w:val="009353CF"/>
    <w:rsid w:val="00935566"/>
    <w:rsid w:val="0093578B"/>
    <w:rsid w:val="009358E2"/>
    <w:rsid w:val="00935ABF"/>
    <w:rsid w:val="00936011"/>
    <w:rsid w:val="00936790"/>
    <w:rsid w:val="009367FD"/>
    <w:rsid w:val="00936B04"/>
    <w:rsid w:val="00936E42"/>
    <w:rsid w:val="0093700E"/>
    <w:rsid w:val="0093720B"/>
    <w:rsid w:val="0093722C"/>
    <w:rsid w:val="00937B4A"/>
    <w:rsid w:val="00937CD4"/>
    <w:rsid w:val="00937E23"/>
    <w:rsid w:val="0094025B"/>
    <w:rsid w:val="00940354"/>
    <w:rsid w:val="009404C7"/>
    <w:rsid w:val="00940699"/>
    <w:rsid w:val="009407B0"/>
    <w:rsid w:val="009408C4"/>
    <w:rsid w:val="00940A76"/>
    <w:rsid w:val="00940BFB"/>
    <w:rsid w:val="00940FD4"/>
    <w:rsid w:val="0094105F"/>
    <w:rsid w:val="00941FA1"/>
    <w:rsid w:val="0094204F"/>
    <w:rsid w:val="00942530"/>
    <w:rsid w:val="00942877"/>
    <w:rsid w:val="00942CF7"/>
    <w:rsid w:val="00942CFC"/>
    <w:rsid w:val="00943584"/>
    <w:rsid w:val="009435C6"/>
    <w:rsid w:val="00943642"/>
    <w:rsid w:val="00943747"/>
    <w:rsid w:val="0094405F"/>
    <w:rsid w:val="009445D1"/>
    <w:rsid w:val="009448D6"/>
    <w:rsid w:val="00944B39"/>
    <w:rsid w:val="0094503E"/>
    <w:rsid w:val="00945112"/>
    <w:rsid w:val="00945126"/>
    <w:rsid w:val="00945638"/>
    <w:rsid w:val="0094578F"/>
    <w:rsid w:val="00945D8A"/>
    <w:rsid w:val="0094602E"/>
    <w:rsid w:val="00946278"/>
    <w:rsid w:val="00946283"/>
    <w:rsid w:val="0094673F"/>
    <w:rsid w:val="00946A17"/>
    <w:rsid w:val="00946C48"/>
    <w:rsid w:val="00946D8B"/>
    <w:rsid w:val="00947090"/>
    <w:rsid w:val="009470FD"/>
    <w:rsid w:val="00947A1C"/>
    <w:rsid w:val="00947F9B"/>
    <w:rsid w:val="00947FD3"/>
    <w:rsid w:val="0095029D"/>
    <w:rsid w:val="00950AB8"/>
    <w:rsid w:val="00951604"/>
    <w:rsid w:val="009524E1"/>
    <w:rsid w:val="00952758"/>
    <w:rsid w:val="0095290B"/>
    <w:rsid w:val="009529FB"/>
    <w:rsid w:val="00952A88"/>
    <w:rsid w:val="00952C29"/>
    <w:rsid w:val="00952CFA"/>
    <w:rsid w:val="00952D78"/>
    <w:rsid w:val="00952EB6"/>
    <w:rsid w:val="00952F95"/>
    <w:rsid w:val="009534FD"/>
    <w:rsid w:val="00953710"/>
    <w:rsid w:val="00953874"/>
    <w:rsid w:val="00953890"/>
    <w:rsid w:val="0095393B"/>
    <w:rsid w:val="00953E4B"/>
    <w:rsid w:val="00954263"/>
    <w:rsid w:val="00954387"/>
    <w:rsid w:val="009545DB"/>
    <w:rsid w:val="0095499E"/>
    <w:rsid w:val="00954A04"/>
    <w:rsid w:val="00954B6F"/>
    <w:rsid w:val="00954F38"/>
    <w:rsid w:val="0095564C"/>
    <w:rsid w:val="0095576E"/>
    <w:rsid w:val="00955B61"/>
    <w:rsid w:val="00955D71"/>
    <w:rsid w:val="00955E6C"/>
    <w:rsid w:val="009561E3"/>
    <w:rsid w:val="00956250"/>
    <w:rsid w:val="0095628F"/>
    <w:rsid w:val="00956502"/>
    <w:rsid w:val="00956947"/>
    <w:rsid w:val="009569E2"/>
    <w:rsid w:val="00956A0A"/>
    <w:rsid w:val="00956E56"/>
    <w:rsid w:val="0095705B"/>
    <w:rsid w:val="0095719C"/>
    <w:rsid w:val="009573D6"/>
    <w:rsid w:val="00957BBF"/>
    <w:rsid w:val="00957D47"/>
    <w:rsid w:val="00957E58"/>
    <w:rsid w:val="00960100"/>
    <w:rsid w:val="00960116"/>
    <w:rsid w:val="0096028E"/>
    <w:rsid w:val="00960687"/>
    <w:rsid w:val="00960766"/>
    <w:rsid w:val="00960F69"/>
    <w:rsid w:val="00960FF6"/>
    <w:rsid w:val="0096111E"/>
    <w:rsid w:val="009615F8"/>
    <w:rsid w:val="0096163F"/>
    <w:rsid w:val="00961713"/>
    <w:rsid w:val="00961939"/>
    <w:rsid w:val="00961B2C"/>
    <w:rsid w:val="00961E70"/>
    <w:rsid w:val="00962083"/>
    <w:rsid w:val="009621C8"/>
    <w:rsid w:val="0096266A"/>
    <w:rsid w:val="00962717"/>
    <w:rsid w:val="00962767"/>
    <w:rsid w:val="009627B8"/>
    <w:rsid w:val="00962895"/>
    <w:rsid w:val="00962BCA"/>
    <w:rsid w:val="00962E6D"/>
    <w:rsid w:val="00962F8B"/>
    <w:rsid w:val="0096306F"/>
    <w:rsid w:val="00963328"/>
    <w:rsid w:val="0096360A"/>
    <w:rsid w:val="0096392E"/>
    <w:rsid w:val="00963E53"/>
    <w:rsid w:val="00963F06"/>
    <w:rsid w:val="009644D0"/>
    <w:rsid w:val="00964541"/>
    <w:rsid w:val="00964B1D"/>
    <w:rsid w:val="009655FD"/>
    <w:rsid w:val="0096564E"/>
    <w:rsid w:val="00965EB7"/>
    <w:rsid w:val="009660F0"/>
    <w:rsid w:val="009666C7"/>
    <w:rsid w:val="00966A19"/>
    <w:rsid w:val="00966AE4"/>
    <w:rsid w:val="00966F3C"/>
    <w:rsid w:val="009670FD"/>
    <w:rsid w:val="00967131"/>
    <w:rsid w:val="00967164"/>
    <w:rsid w:val="009674A9"/>
    <w:rsid w:val="009675E4"/>
    <w:rsid w:val="009676F0"/>
    <w:rsid w:val="00967C20"/>
    <w:rsid w:val="00967ECF"/>
    <w:rsid w:val="009700D2"/>
    <w:rsid w:val="009700E0"/>
    <w:rsid w:val="00970298"/>
    <w:rsid w:val="009703D5"/>
    <w:rsid w:val="00970BA9"/>
    <w:rsid w:val="00970F13"/>
    <w:rsid w:val="00971211"/>
    <w:rsid w:val="00971561"/>
    <w:rsid w:val="009716C6"/>
    <w:rsid w:val="00971913"/>
    <w:rsid w:val="00972342"/>
    <w:rsid w:val="0097247B"/>
    <w:rsid w:val="00973466"/>
    <w:rsid w:val="009735E4"/>
    <w:rsid w:val="0097374A"/>
    <w:rsid w:val="00973767"/>
    <w:rsid w:val="00973942"/>
    <w:rsid w:val="00973992"/>
    <w:rsid w:val="00973B87"/>
    <w:rsid w:val="00974BED"/>
    <w:rsid w:val="00975522"/>
    <w:rsid w:val="009755C4"/>
    <w:rsid w:val="00975732"/>
    <w:rsid w:val="00975F64"/>
    <w:rsid w:val="009769AC"/>
    <w:rsid w:val="00976BE4"/>
    <w:rsid w:val="00976EED"/>
    <w:rsid w:val="009770FC"/>
    <w:rsid w:val="00977306"/>
    <w:rsid w:val="00977582"/>
    <w:rsid w:val="009776D5"/>
    <w:rsid w:val="00977B9D"/>
    <w:rsid w:val="00977C41"/>
    <w:rsid w:val="009800FF"/>
    <w:rsid w:val="00980375"/>
    <w:rsid w:val="0098057F"/>
    <w:rsid w:val="0098108A"/>
    <w:rsid w:val="0098112C"/>
    <w:rsid w:val="00981564"/>
    <w:rsid w:val="00981805"/>
    <w:rsid w:val="00981BF6"/>
    <w:rsid w:val="00981C6B"/>
    <w:rsid w:val="0098218B"/>
    <w:rsid w:val="0098292B"/>
    <w:rsid w:val="00982C67"/>
    <w:rsid w:val="009831A1"/>
    <w:rsid w:val="009836CC"/>
    <w:rsid w:val="009837D3"/>
    <w:rsid w:val="0098390E"/>
    <w:rsid w:val="009839DA"/>
    <w:rsid w:val="00983B9A"/>
    <w:rsid w:val="0098443B"/>
    <w:rsid w:val="00984580"/>
    <w:rsid w:val="00984613"/>
    <w:rsid w:val="009858BD"/>
    <w:rsid w:val="00985952"/>
    <w:rsid w:val="00985FAD"/>
    <w:rsid w:val="00986220"/>
    <w:rsid w:val="009862A3"/>
    <w:rsid w:val="0098640C"/>
    <w:rsid w:val="0098677E"/>
    <w:rsid w:val="00986C15"/>
    <w:rsid w:val="00986DFA"/>
    <w:rsid w:val="009875C7"/>
    <w:rsid w:val="00987C6B"/>
    <w:rsid w:val="00987D97"/>
    <w:rsid w:val="00990012"/>
    <w:rsid w:val="00990122"/>
    <w:rsid w:val="0099022B"/>
    <w:rsid w:val="00990356"/>
    <w:rsid w:val="009907F1"/>
    <w:rsid w:val="00990995"/>
    <w:rsid w:val="00991363"/>
    <w:rsid w:val="00991528"/>
    <w:rsid w:val="00991843"/>
    <w:rsid w:val="00991CBC"/>
    <w:rsid w:val="00992200"/>
    <w:rsid w:val="009922B6"/>
    <w:rsid w:val="009922C4"/>
    <w:rsid w:val="0099234D"/>
    <w:rsid w:val="0099256D"/>
    <w:rsid w:val="009928FC"/>
    <w:rsid w:val="00992E07"/>
    <w:rsid w:val="00992E40"/>
    <w:rsid w:val="00993150"/>
    <w:rsid w:val="009934BD"/>
    <w:rsid w:val="009935A4"/>
    <w:rsid w:val="00993C1A"/>
    <w:rsid w:val="00994534"/>
    <w:rsid w:val="0099494D"/>
    <w:rsid w:val="00994EE8"/>
    <w:rsid w:val="0099500F"/>
    <w:rsid w:val="0099544E"/>
    <w:rsid w:val="0099589C"/>
    <w:rsid w:val="009958A7"/>
    <w:rsid w:val="0099592B"/>
    <w:rsid w:val="00995D5C"/>
    <w:rsid w:val="0099601F"/>
    <w:rsid w:val="00996A02"/>
    <w:rsid w:val="0099701D"/>
    <w:rsid w:val="009976CF"/>
    <w:rsid w:val="0099784B"/>
    <w:rsid w:val="00997B27"/>
    <w:rsid w:val="00997DC5"/>
    <w:rsid w:val="00997ECD"/>
    <w:rsid w:val="009A04E8"/>
    <w:rsid w:val="009A05B7"/>
    <w:rsid w:val="009A0814"/>
    <w:rsid w:val="009A081A"/>
    <w:rsid w:val="009A0C5C"/>
    <w:rsid w:val="009A106C"/>
    <w:rsid w:val="009A11B5"/>
    <w:rsid w:val="009A1228"/>
    <w:rsid w:val="009A1385"/>
    <w:rsid w:val="009A1B2E"/>
    <w:rsid w:val="009A1CB2"/>
    <w:rsid w:val="009A1CCC"/>
    <w:rsid w:val="009A1D93"/>
    <w:rsid w:val="009A1E0B"/>
    <w:rsid w:val="009A1E92"/>
    <w:rsid w:val="009A2017"/>
    <w:rsid w:val="009A244F"/>
    <w:rsid w:val="009A27B6"/>
    <w:rsid w:val="009A3018"/>
    <w:rsid w:val="009A3B14"/>
    <w:rsid w:val="009A3D4F"/>
    <w:rsid w:val="009A3D55"/>
    <w:rsid w:val="009A3F89"/>
    <w:rsid w:val="009A466F"/>
    <w:rsid w:val="009A4835"/>
    <w:rsid w:val="009A4D54"/>
    <w:rsid w:val="009A503E"/>
    <w:rsid w:val="009A5131"/>
    <w:rsid w:val="009A553F"/>
    <w:rsid w:val="009A564C"/>
    <w:rsid w:val="009A59FC"/>
    <w:rsid w:val="009A5B3A"/>
    <w:rsid w:val="009A5E1E"/>
    <w:rsid w:val="009A5F0E"/>
    <w:rsid w:val="009A61EA"/>
    <w:rsid w:val="009A6289"/>
    <w:rsid w:val="009A6638"/>
    <w:rsid w:val="009A764A"/>
    <w:rsid w:val="009A7697"/>
    <w:rsid w:val="009A7806"/>
    <w:rsid w:val="009A7970"/>
    <w:rsid w:val="009A7CFD"/>
    <w:rsid w:val="009A7F84"/>
    <w:rsid w:val="009AA0DA"/>
    <w:rsid w:val="009B015D"/>
    <w:rsid w:val="009B079C"/>
    <w:rsid w:val="009B0D67"/>
    <w:rsid w:val="009B117E"/>
    <w:rsid w:val="009B1A91"/>
    <w:rsid w:val="009B1ACD"/>
    <w:rsid w:val="009B1B30"/>
    <w:rsid w:val="009B20A4"/>
    <w:rsid w:val="009B2189"/>
    <w:rsid w:val="009B2223"/>
    <w:rsid w:val="009B225A"/>
    <w:rsid w:val="009B2DF1"/>
    <w:rsid w:val="009B328B"/>
    <w:rsid w:val="009B328F"/>
    <w:rsid w:val="009B34D4"/>
    <w:rsid w:val="009B46A9"/>
    <w:rsid w:val="009B4A2A"/>
    <w:rsid w:val="009B4E02"/>
    <w:rsid w:val="009B4ED2"/>
    <w:rsid w:val="009B53D0"/>
    <w:rsid w:val="009B541B"/>
    <w:rsid w:val="009B5773"/>
    <w:rsid w:val="009B5E5D"/>
    <w:rsid w:val="009B614B"/>
    <w:rsid w:val="009B615F"/>
    <w:rsid w:val="009B69EC"/>
    <w:rsid w:val="009B6CB5"/>
    <w:rsid w:val="009B71A2"/>
    <w:rsid w:val="009B72FD"/>
    <w:rsid w:val="009B74B1"/>
    <w:rsid w:val="009C0595"/>
    <w:rsid w:val="009C0A38"/>
    <w:rsid w:val="009C0C0B"/>
    <w:rsid w:val="009C132E"/>
    <w:rsid w:val="009C13A8"/>
    <w:rsid w:val="009C13C4"/>
    <w:rsid w:val="009C1411"/>
    <w:rsid w:val="009C1935"/>
    <w:rsid w:val="009C1FF7"/>
    <w:rsid w:val="009C217A"/>
    <w:rsid w:val="009C2231"/>
    <w:rsid w:val="009C2C44"/>
    <w:rsid w:val="009C2F46"/>
    <w:rsid w:val="009C3257"/>
    <w:rsid w:val="009C38FE"/>
    <w:rsid w:val="009C4134"/>
    <w:rsid w:val="009C4E41"/>
    <w:rsid w:val="009C51FB"/>
    <w:rsid w:val="009C52A9"/>
    <w:rsid w:val="009C565A"/>
    <w:rsid w:val="009C59CE"/>
    <w:rsid w:val="009C6742"/>
    <w:rsid w:val="009C6A43"/>
    <w:rsid w:val="009C6A6C"/>
    <w:rsid w:val="009C7285"/>
    <w:rsid w:val="009C753E"/>
    <w:rsid w:val="009C782E"/>
    <w:rsid w:val="009C7954"/>
    <w:rsid w:val="009C7DB0"/>
    <w:rsid w:val="009C7FF1"/>
    <w:rsid w:val="009D00D6"/>
    <w:rsid w:val="009D0952"/>
    <w:rsid w:val="009D0A53"/>
    <w:rsid w:val="009D0BC7"/>
    <w:rsid w:val="009D0C61"/>
    <w:rsid w:val="009D0C85"/>
    <w:rsid w:val="009D0CC9"/>
    <w:rsid w:val="009D0D31"/>
    <w:rsid w:val="009D0D7E"/>
    <w:rsid w:val="009D0F8B"/>
    <w:rsid w:val="009D1288"/>
    <w:rsid w:val="009D15B1"/>
    <w:rsid w:val="009D1AE2"/>
    <w:rsid w:val="009D1D56"/>
    <w:rsid w:val="009D1D96"/>
    <w:rsid w:val="009D2014"/>
    <w:rsid w:val="009D20C4"/>
    <w:rsid w:val="009D2493"/>
    <w:rsid w:val="009D2568"/>
    <w:rsid w:val="009D27CE"/>
    <w:rsid w:val="009D2CDC"/>
    <w:rsid w:val="009D39E4"/>
    <w:rsid w:val="009D3AD5"/>
    <w:rsid w:val="009D454F"/>
    <w:rsid w:val="009D4935"/>
    <w:rsid w:val="009D4C18"/>
    <w:rsid w:val="009D53D0"/>
    <w:rsid w:val="009D5A44"/>
    <w:rsid w:val="009D60E4"/>
    <w:rsid w:val="009D61CB"/>
    <w:rsid w:val="009D6E5C"/>
    <w:rsid w:val="009D72AE"/>
    <w:rsid w:val="009E0056"/>
    <w:rsid w:val="009E0443"/>
    <w:rsid w:val="009E0597"/>
    <w:rsid w:val="009E072E"/>
    <w:rsid w:val="009E0D57"/>
    <w:rsid w:val="009E1125"/>
    <w:rsid w:val="009E1126"/>
    <w:rsid w:val="009E14A9"/>
    <w:rsid w:val="009E1D35"/>
    <w:rsid w:val="009E1E5A"/>
    <w:rsid w:val="009E211B"/>
    <w:rsid w:val="009E24ED"/>
    <w:rsid w:val="009E26E9"/>
    <w:rsid w:val="009E2CBF"/>
    <w:rsid w:val="009E3327"/>
    <w:rsid w:val="009E3835"/>
    <w:rsid w:val="009E4558"/>
    <w:rsid w:val="009E49B3"/>
    <w:rsid w:val="009E4D45"/>
    <w:rsid w:val="009E4D84"/>
    <w:rsid w:val="009E4E0B"/>
    <w:rsid w:val="009E5171"/>
    <w:rsid w:val="009E590D"/>
    <w:rsid w:val="009E5D2A"/>
    <w:rsid w:val="009E5D5D"/>
    <w:rsid w:val="009E6159"/>
    <w:rsid w:val="009E64BE"/>
    <w:rsid w:val="009E6A04"/>
    <w:rsid w:val="009E6C65"/>
    <w:rsid w:val="009E6D03"/>
    <w:rsid w:val="009E700F"/>
    <w:rsid w:val="009F06D6"/>
    <w:rsid w:val="009F098A"/>
    <w:rsid w:val="009F09C9"/>
    <w:rsid w:val="009F1253"/>
    <w:rsid w:val="009F1D30"/>
    <w:rsid w:val="009F1E30"/>
    <w:rsid w:val="009F20B6"/>
    <w:rsid w:val="009F23CB"/>
    <w:rsid w:val="009F2707"/>
    <w:rsid w:val="009F28C6"/>
    <w:rsid w:val="009F2AF6"/>
    <w:rsid w:val="009F2F3B"/>
    <w:rsid w:val="009F30BC"/>
    <w:rsid w:val="009F34A3"/>
    <w:rsid w:val="009F41F3"/>
    <w:rsid w:val="009F471F"/>
    <w:rsid w:val="009F56AA"/>
    <w:rsid w:val="009F58C6"/>
    <w:rsid w:val="009F5A8B"/>
    <w:rsid w:val="009F5B99"/>
    <w:rsid w:val="009F63E8"/>
    <w:rsid w:val="009F6909"/>
    <w:rsid w:val="009F6F0A"/>
    <w:rsid w:val="009F7389"/>
    <w:rsid w:val="009F74F6"/>
    <w:rsid w:val="00A0036A"/>
    <w:rsid w:val="00A009EF"/>
    <w:rsid w:val="00A00BA4"/>
    <w:rsid w:val="00A00BF2"/>
    <w:rsid w:val="00A012A1"/>
    <w:rsid w:val="00A01870"/>
    <w:rsid w:val="00A01D21"/>
    <w:rsid w:val="00A023BC"/>
    <w:rsid w:val="00A023D5"/>
    <w:rsid w:val="00A02A53"/>
    <w:rsid w:val="00A02CDB"/>
    <w:rsid w:val="00A02DA9"/>
    <w:rsid w:val="00A02F91"/>
    <w:rsid w:val="00A031DF"/>
    <w:rsid w:val="00A033F7"/>
    <w:rsid w:val="00A03E6A"/>
    <w:rsid w:val="00A04127"/>
    <w:rsid w:val="00A041F7"/>
    <w:rsid w:val="00A04794"/>
    <w:rsid w:val="00A048A7"/>
    <w:rsid w:val="00A054C7"/>
    <w:rsid w:val="00A055D9"/>
    <w:rsid w:val="00A062FB"/>
    <w:rsid w:val="00A06443"/>
    <w:rsid w:val="00A06610"/>
    <w:rsid w:val="00A067C8"/>
    <w:rsid w:val="00A06ADC"/>
    <w:rsid w:val="00A07AA3"/>
    <w:rsid w:val="00A07D96"/>
    <w:rsid w:val="00A10640"/>
    <w:rsid w:val="00A106F4"/>
    <w:rsid w:val="00A10703"/>
    <w:rsid w:val="00A10AE9"/>
    <w:rsid w:val="00A10DCC"/>
    <w:rsid w:val="00A11023"/>
    <w:rsid w:val="00A1109E"/>
    <w:rsid w:val="00A111C7"/>
    <w:rsid w:val="00A11A9D"/>
    <w:rsid w:val="00A11D82"/>
    <w:rsid w:val="00A12133"/>
    <w:rsid w:val="00A121ED"/>
    <w:rsid w:val="00A126B4"/>
    <w:rsid w:val="00A12A88"/>
    <w:rsid w:val="00A12C57"/>
    <w:rsid w:val="00A12F8D"/>
    <w:rsid w:val="00A132C3"/>
    <w:rsid w:val="00A13318"/>
    <w:rsid w:val="00A13874"/>
    <w:rsid w:val="00A14089"/>
    <w:rsid w:val="00A1445B"/>
    <w:rsid w:val="00A145B2"/>
    <w:rsid w:val="00A14875"/>
    <w:rsid w:val="00A1493A"/>
    <w:rsid w:val="00A149BD"/>
    <w:rsid w:val="00A14D62"/>
    <w:rsid w:val="00A15341"/>
    <w:rsid w:val="00A157AD"/>
    <w:rsid w:val="00A158D0"/>
    <w:rsid w:val="00A15C6D"/>
    <w:rsid w:val="00A16502"/>
    <w:rsid w:val="00A16519"/>
    <w:rsid w:val="00A1709A"/>
    <w:rsid w:val="00A1731C"/>
    <w:rsid w:val="00A176BB"/>
    <w:rsid w:val="00A17852"/>
    <w:rsid w:val="00A17A05"/>
    <w:rsid w:val="00A202B0"/>
    <w:rsid w:val="00A208EF"/>
    <w:rsid w:val="00A20A15"/>
    <w:rsid w:val="00A20ABA"/>
    <w:rsid w:val="00A20C27"/>
    <w:rsid w:val="00A21088"/>
    <w:rsid w:val="00A21206"/>
    <w:rsid w:val="00A21392"/>
    <w:rsid w:val="00A2146A"/>
    <w:rsid w:val="00A21A05"/>
    <w:rsid w:val="00A21E6E"/>
    <w:rsid w:val="00A220A7"/>
    <w:rsid w:val="00A226C2"/>
    <w:rsid w:val="00A227DA"/>
    <w:rsid w:val="00A22809"/>
    <w:rsid w:val="00A228B3"/>
    <w:rsid w:val="00A22FC3"/>
    <w:rsid w:val="00A2304C"/>
    <w:rsid w:val="00A230AA"/>
    <w:rsid w:val="00A23211"/>
    <w:rsid w:val="00A23399"/>
    <w:rsid w:val="00A2340A"/>
    <w:rsid w:val="00A2342B"/>
    <w:rsid w:val="00A235C7"/>
    <w:rsid w:val="00A2375D"/>
    <w:rsid w:val="00A23A45"/>
    <w:rsid w:val="00A23C3E"/>
    <w:rsid w:val="00A23E9C"/>
    <w:rsid w:val="00A24561"/>
    <w:rsid w:val="00A24723"/>
    <w:rsid w:val="00A24E65"/>
    <w:rsid w:val="00A24F49"/>
    <w:rsid w:val="00A24FD1"/>
    <w:rsid w:val="00A24FD3"/>
    <w:rsid w:val="00A252DC"/>
    <w:rsid w:val="00A258E5"/>
    <w:rsid w:val="00A25EB9"/>
    <w:rsid w:val="00A25FD1"/>
    <w:rsid w:val="00A265F6"/>
    <w:rsid w:val="00A2667A"/>
    <w:rsid w:val="00A26784"/>
    <w:rsid w:val="00A271F8"/>
    <w:rsid w:val="00A2777C"/>
    <w:rsid w:val="00A27BEF"/>
    <w:rsid w:val="00A27C21"/>
    <w:rsid w:val="00A300B8"/>
    <w:rsid w:val="00A30A57"/>
    <w:rsid w:val="00A30B1D"/>
    <w:rsid w:val="00A30B30"/>
    <w:rsid w:val="00A30C23"/>
    <w:rsid w:val="00A30F05"/>
    <w:rsid w:val="00A31AC3"/>
    <w:rsid w:val="00A31AC9"/>
    <w:rsid w:val="00A31E6B"/>
    <w:rsid w:val="00A3208F"/>
    <w:rsid w:val="00A321AE"/>
    <w:rsid w:val="00A32550"/>
    <w:rsid w:val="00A33829"/>
    <w:rsid w:val="00A339D6"/>
    <w:rsid w:val="00A33C3F"/>
    <w:rsid w:val="00A3476A"/>
    <w:rsid w:val="00A349C4"/>
    <w:rsid w:val="00A34B2A"/>
    <w:rsid w:val="00A35006"/>
    <w:rsid w:val="00A354F5"/>
    <w:rsid w:val="00A35755"/>
    <w:rsid w:val="00A35A39"/>
    <w:rsid w:val="00A35D14"/>
    <w:rsid w:val="00A35E7F"/>
    <w:rsid w:val="00A36146"/>
    <w:rsid w:val="00A362B7"/>
    <w:rsid w:val="00A3631D"/>
    <w:rsid w:val="00A363B1"/>
    <w:rsid w:val="00A3682D"/>
    <w:rsid w:val="00A36867"/>
    <w:rsid w:val="00A36BC7"/>
    <w:rsid w:val="00A370A0"/>
    <w:rsid w:val="00A370B2"/>
    <w:rsid w:val="00A3711E"/>
    <w:rsid w:val="00A37301"/>
    <w:rsid w:val="00A37352"/>
    <w:rsid w:val="00A37A1A"/>
    <w:rsid w:val="00A37CD6"/>
    <w:rsid w:val="00A37ECD"/>
    <w:rsid w:val="00A400E5"/>
    <w:rsid w:val="00A40496"/>
    <w:rsid w:val="00A4069C"/>
    <w:rsid w:val="00A408AA"/>
    <w:rsid w:val="00A409CD"/>
    <w:rsid w:val="00A40B22"/>
    <w:rsid w:val="00A40BB6"/>
    <w:rsid w:val="00A40BF5"/>
    <w:rsid w:val="00A40DC9"/>
    <w:rsid w:val="00A411A7"/>
    <w:rsid w:val="00A413A8"/>
    <w:rsid w:val="00A4154C"/>
    <w:rsid w:val="00A41766"/>
    <w:rsid w:val="00A4213C"/>
    <w:rsid w:val="00A4227D"/>
    <w:rsid w:val="00A422AF"/>
    <w:rsid w:val="00A422BF"/>
    <w:rsid w:val="00A42DF8"/>
    <w:rsid w:val="00A4304E"/>
    <w:rsid w:val="00A43664"/>
    <w:rsid w:val="00A43DE4"/>
    <w:rsid w:val="00A44294"/>
    <w:rsid w:val="00A444AD"/>
    <w:rsid w:val="00A445C6"/>
    <w:rsid w:val="00A446D2"/>
    <w:rsid w:val="00A447FA"/>
    <w:rsid w:val="00A44F59"/>
    <w:rsid w:val="00A44FF0"/>
    <w:rsid w:val="00A45757"/>
    <w:rsid w:val="00A45B60"/>
    <w:rsid w:val="00A45C28"/>
    <w:rsid w:val="00A45F10"/>
    <w:rsid w:val="00A463BF"/>
    <w:rsid w:val="00A469F9"/>
    <w:rsid w:val="00A46B40"/>
    <w:rsid w:val="00A46BE9"/>
    <w:rsid w:val="00A46DD7"/>
    <w:rsid w:val="00A47176"/>
    <w:rsid w:val="00A47396"/>
    <w:rsid w:val="00A4771E"/>
    <w:rsid w:val="00A47778"/>
    <w:rsid w:val="00A47AFF"/>
    <w:rsid w:val="00A47B08"/>
    <w:rsid w:val="00A501B4"/>
    <w:rsid w:val="00A50487"/>
    <w:rsid w:val="00A50568"/>
    <w:rsid w:val="00A50C51"/>
    <w:rsid w:val="00A50FB2"/>
    <w:rsid w:val="00A51448"/>
    <w:rsid w:val="00A5199F"/>
    <w:rsid w:val="00A51EB0"/>
    <w:rsid w:val="00A51F0A"/>
    <w:rsid w:val="00A5238C"/>
    <w:rsid w:val="00A528EB"/>
    <w:rsid w:val="00A52999"/>
    <w:rsid w:val="00A52F22"/>
    <w:rsid w:val="00A531F7"/>
    <w:rsid w:val="00A535BB"/>
    <w:rsid w:val="00A53787"/>
    <w:rsid w:val="00A53F76"/>
    <w:rsid w:val="00A54156"/>
    <w:rsid w:val="00A5423D"/>
    <w:rsid w:val="00A543C5"/>
    <w:rsid w:val="00A54635"/>
    <w:rsid w:val="00A550A7"/>
    <w:rsid w:val="00A55601"/>
    <w:rsid w:val="00A55634"/>
    <w:rsid w:val="00A55BDF"/>
    <w:rsid w:val="00A55C89"/>
    <w:rsid w:val="00A55DC9"/>
    <w:rsid w:val="00A55E0A"/>
    <w:rsid w:val="00A55F37"/>
    <w:rsid w:val="00A56163"/>
    <w:rsid w:val="00A5625F"/>
    <w:rsid w:val="00A56462"/>
    <w:rsid w:val="00A56CF1"/>
    <w:rsid w:val="00A5722D"/>
    <w:rsid w:val="00A57F34"/>
    <w:rsid w:val="00A57FB9"/>
    <w:rsid w:val="00A6004F"/>
    <w:rsid w:val="00A603FD"/>
    <w:rsid w:val="00A6079F"/>
    <w:rsid w:val="00A607EC"/>
    <w:rsid w:val="00A60A9B"/>
    <w:rsid w:val="00A60AF2"/>
    <w:rsid w:val="00A60DF3"/>
    <w:rsid w:val="00A60E45"/>
    <w:rsid w:val="00A614B2"/>
    <w:rsid w:val="00A6154D"/>
    <w:rsid w:val="00A6182C"/>
    <w:rsid w:val="00A61A9B"/>
    <w:rsid w:val="00A61B29"/>
    <w:rsid w:val="00A61C3A"/>
    <w:rsid w:val="00A61DC9"/>
    <w:rsid w:val="00A61F78"/>
    <w:rsid w:val="00A620C6"/>
    <w:rsid w:val="00A62864"/>
    <w:rsid w:val="00A62F2F"/>
    <w:rsid w:val="00A63AF0"/>
    <w:rsid w:val="00A63F7E"/>
    <w:rsid w:val="00A642D2"/>
    <w:rsid w:val="00A645F3"/>
    <w:rsid w:val="00A648E7"/>
    <w:rsid w:val="00A64B69"/>
    <w:rsid w:val="00A64DF6"/>
    <w:rsid w:val="00A65099"/>
    <w:rsid w:val="00A65207"/>
    <w:rsid w:val="00A6521A"/>
    <w:rsid w:val="00A652B3"/>
    <w:rsid w:val="00A6634A"/>
    <w:rsid w:val="00A667A2"/>
    <w:rsid w:val="00A6684A"/>
    <w:rsid w:val="00A66C45"/>
    <w:rsid w:val="00A66D26"/>
    <w:rsid w:val="00A66DDE"/>
    <w:rsid w:val="00A66F42"/>
    <w:rsid w:val="00A6774E"/>
    <w:rsid w:val="00A67A1E"/>
    <w:rsid w:val="00A67D55"/>
    <w:rsid w:val="00A700A6"/>
    <w:rsid w:val="00A70C19"/>
    <w:rsid w:val="00A70D02"/>
    <w:rsid w:val="00A70FFB"/>
    <w:rsid w:val="00A719A0"/>
    <w:rsid w:val="00A71A07"/>
    <w:rsid w:val="00A71B9C"/>
    <w:rsid w:val="00A72CA6"/>
    <w:rsid w:val="00A73727"/>
    <w:rsid w:val="00A7377C"/>
    <w:rsid w:val="00A739C4"/>
    <w:rsid w:val="00A746C8"/>
    <w:rsid w:val="00A748E8"/>
    <w:rsid w:val="00A74961"/>
    <w:rsid w:val="00A74CE5"/>
    <w:rsid w:val="00A74EFE"/>
    <w:rsid w:val="00A75249"/>
    <w:rsid w:val="00A756C1"/>
    <w:rsid w:val="00A757E8"/>
    <w:rsid w:val="00A75A29"/>
    <w:rsid w:val="00A75BF8"/>
    <w:rsid w:val="00A75F45"/>
    <w:rsid w:val="00A75F74"/>
    <w:rsid w:val="00A76060"/>
    <w:rsid w:val="00A76C0D"/>
    <w:rsid w:val="00A76D9A"/>
    <w:rsid w:val="00A77188"/>
    <w:rsid w:val="00A773E0"/>
    <w:rsid w:val="00A77933"/>
    <w:rsid w:val="00A77DB2"/>
    <w:rsid w:val="00A77F11"/>
    <w:rsid w:val="00A77FAD"/>
    <w:rsid w:val="00A80024"/>
    <w:rsid w:val="00A8014B"/>
    <w:rsid w:val="00A80362"/>
    <w:rsid w:val="00A8054D"/>
    <w:rsid w:val="00A80924"/>
    <w:rsid w:val="00A80A34"/>
    <w:rsid w:val="00A80A58"/>
    <w:rsid w:val="00A80C18"/>
    <w:rsid w:val="00A80D61"/>
    <w:rsid w:val="00A80D94"/>
    <w:rsid w:val="00A81065"/>
    <w:rsid w:val="00A81328"/>
    <w:rsid w:val="00A81368"/>
    <w:rsid w:val="00A81778"/>
    <w:rsid w:val="00A81DD4"/>
    <w:rsid w:val="00A82189"/>
    <w:rsid w:val="00A8231C"/>
    <w:rsid w:val="00A82618"/>
    <w:rsid w:val="00A8265C"/>
    <w:rsid w:val="00A827E5"/>
    <w:rsid w:val="00A8281F"/>
    <w:rsid w:val="00A82EF3"/>
    <w:rsid w:val="00A8317C"/>
    <w:rsid w:val="00A83313"/>
    <w:rsid w:val="00A83955"/>
    <w:rsid w:val="00A83956"/>
    <w:rsid w:val="00A83A29"/>
    <w:rsid w:val="00A83C17"/>
    <w:rsid w:val="00A83EC6"/>
    <w:rsid w:val="00A84250"/>
    <w:rsid w:val="00A844E9"/>
    <w:rsid w:val="00A84779"/>
    <w:rsid w:val="00A847B3"/>
    <w:rsid w:val="00A848FC"/>
    <w:rsid w:val="00A84ACE"/>
    <w:rsid w:val="00A85304"/>
    <w:rsid w:val="00A853D4"/>
    <w:rsid w:val="00A85A76"/>
    <w:rsid w:val="00A85A92"/>
    <w:rsid w:val="00A85AB0"/>
    <w:rsid w:val="00A85DBD"/>
    <w:rsid w:val="00A8614A"/>
    <w:rsid w:val="00A8616C"/>
    <w:rsid w:val="00A86358"/>
    <w:rsid w:val="00A86B00"/>
    <w:rsid w:val="00A86C84"/>
    <w:rsid w:val="00A86F08"/>
    <w:rsid w:val="00A870AC"/>
    <w:rsid w:val="00A8744F"/>
    <w:rsid w:val="00A87FA4"/>
    <w:rsid w:val="00A87FD7"/>
    <w:rsid w:val="00A90040"/>
    <w:rsid w:val="00A90122"/>
    <w:rsid w:val="00A902D2"/>
    <w:rsid w:val="00A90D4E"/>
    <w:rsid w:val="00A91639"/>
    <w:rsid w:val="00A916EB"/>
    <w:rsid w:val="00A917F7"/>
    <w:rsid w:val="00A91D91"/>
    <w:rsid w:val="00A92C9A"/>
    <w:rsid w:val="00A93095"/>
    <w:rsid w:val="00A93171"/>
    <w:rsid w:val="00A93279"/>
    <w:rsid w:val="00A936C2"/>
    <w:rsid w:val="00A9382A"/>
    <w:rsid w:val="00A93D53"/>
    <w:rsid w:val="00A93EC9"/>
    <w:rsid w:val="00A94293"/>
    <w:rsid w:val="00A94542"/>
    <w:rsid w:val="00A94A3A"/>
    <w:rsid w:val="00A951AF"/>
    <w:rsid w:val="00A959EB"/>
    <w:rsid w:val="00A96150"/>
    <w:rsid w:val="00A9625D"/>
    <w:rsid w:val="00A966C4"/>
    <w:rsid w:val="00A96791"/>
    <w:rsid w:val="00A96BEE"/>
    <w:rsid w:val="00A97274"/>
    <w:rsid w:val="00A97A0D"/>
    <w:rsid w:val="00A97B54"/>
    <w:rsid w:val="00A97BFE"/>
    <w:rsid w:val="00A97CAC"/>
    <w:rsid w:val="00AA0082"/>
    <w:rsid w:val="00AA0167"/>
    <w:rsid w:val="00AA025F"/>
    <w:rsid w:val="00AA0324"/>
    <w:rsid w:val="00AA03A3"/>
    <w:rsid w:val="00AA0546"/>
    <w:rsid w:val="00AA0896"/>
    <w:rsid w:val="00AA0906"/>
    <w:rsid w:val="00AA0EDD"/>
    <w:rsid w:val="00AA0F8C"/>
    <w:rsid w:val="00AA0FD9"/>
    <w:rsid w:val="00AA1241"/>
    <w:rsid w:val="00AA1482"/>
    <w:rsid w:val="00AA1580"/>
    <w:rsid w:val="00AA1B70"/>
    <w:rsid w:val="00AA2014"/>
    <w:rsid w:val="00AA2495"/>
    <w:rsid w:val="00AA2499"/>
    <w:rsid w:val="00AA2515"/>
    <w:rsid w:val="00AA290E"/>
    <w:rsid w:val="00AA2DA6"/>
    <w:rsid w:val="00AA367D"/>
    <w:rsid w:val="00AA3D39"/>
    <w:rsid w:val="00AA402B"/>
    <w:rsid w:val="00AA4073"/>
    <w:rsid w:val="00AA4212"/>
    <w:rsid w:val="00AA4613"/>
    <w:rsid w:val="00AA4852"/>
    <w:rsid w:val="00AA48B8"/>
    <w:rsid w:val="00AA4B56"/>
    <w:rsid w:val="00AA51AD"/>
    <w:rsid w:val="00AA5624"/>
    <w:rsid w:val="00AA605E"/>
    <w:rsid w:val="00AA65FD"/>
    <w:rsid w:val="00AA66A6"/>
    <w:rsid w:val="00AA6F07"/>
    <w:rsid w:val="00AA6FD4"/>
    <w:rsid w:val="00AA7020"/>
    <w:rsid w:val="00AA70BE"/>
    <w:rsid w:val="00AA72AF"/>
    <w:rsid w:val="00AA73D9"/>
    <w:rsid w:val="00AA7526"/>
    <w:rsid w:val="00AA7645"/>
    <w:rsid w:val="00AA7685"/>
    <w:rsid w:val="00AA7945"/>
    <w:rsid w:val="00AA7CB4"/>
    <w:rsid w:val="00AB0268"/>
    <w:rsid w:val="00AB042C"/>
    <w:rsid w:val="00AB04BC"/>
    <w:rsid w:val="00AB072C"/>
    <w:rsid w:val="00AB08CC"/>
    <w:rsid w:val="00AB0AC5"/>
    <w:rsid w:val="00AB0D51"/>
    <w:rsid w:val="00AB15DD"/>
    <w:rsid w:val="00AB15E0"/>
    <w:rsid w:val="00AB1F56"/>
    <w:rsid w:val="00AB2469"/>
    <w:rsid w:val="00AB2CE3"/>
    <w:rsid w:val="00AB2CE9"/>
    <w:rsid w:val="00AB3BA7"/>
    <w:rsid w:val="00AB46AB"/>
    <w:rsid w:val="00AB493F"/>
    <w:rsid w:val="00AB4C06"/>
    <w:rsid w:val="00AB4CAA"/>
    <w:rsid w:val="00AB4D7B"/>
    <w:rsid w:val="00AB4E99"/>
    <w:rsid w:val="00AB52E7"/>
    <w:rsid w:val="00AB61B2"/>
    <w:rsid w:val="00AB63F8"/>
    <w:rsid w:val="00AB647D"/>
    <w:rsid w:val="00AB66B8"/>
    <w:rsid w:val="00AB692D"/>
    <w:rsid w:val="00AB6A99"/>
    <w:rsid w:val="00AB6D00"/>
    <w:rsid w:val="00AB739A"/>
    <w:rsid w:val="00AB76B8"/>
    <w:rsid w:val="00AB7832"/>
    <w:rsid w:val="00AB7B61"/>
    <w:rsid w:val="00AB7E44"/>
    <w:rsid w:val="00AC024F"/>
    <w:rsid w:val="00AC061D"/>
    <w:rsid w:val="00AC09D9"/>
    <w:rsid w:val="00AC0D13"/>
    <w:rsid w:val="00AC0ECF"/>
    <w:rsid w:val="00AC0ED5"/>
    <w:rsid w:val="00AC1291"/>
    <w:rsid w:val="00AC1363"/>
    <w:rsid w:val="00AC1C15"/>
    <w:rsid w:val="00AC2052"/>
    <w:rsid w:val="00AC24BE"/>
    <w:rsid w:val="00AC286E"/>
    <w:rsid w:val="00AC2A1B"/>
    <w:rsid w:val="00AC2DD6"/>
    <w:rsid w:val="00AC2F78"/>
    <w:rsid w:val="00AC36BC"/>
    <w:rsid w:val="00AC39B1"/>
    <w:rsid w:val="00AC3F81"/>
    <w:rsid w:val="00AC46E6"/>
    <w:rsid w:val="00AC4711"/>
    <w:rsid w:val="00AC4961"/>
    <w:rsid w:val="00AC51A3"/>
    <w:rsid w:val="00AC527D"/>
    <w:rsid w:val="00AC5665"/>
    <w:rsid w:val="00AC5B6C"/>
    <w:rsid w:val="00AC5C35"/>
    <w:rsid w:val="00AC5DEA"/>
    <w:rsid w:val="00AC6011"/>
    <w:rsid w:val="00AC64CE"/>
    <w:rsid w:val="00AC6A70"/>
    <w:rsid w:val="00AC6A9C"/>
    <w:rsid w:val="00AC6E4A"/>
    <w:rsid w:val="00AC6FEA"/>
    <w:rsid w:val="00AC72F8"/>
    <w:rsid w:val="00AC744F"/>
    <w:rsid w:val="00AC7561"/>
    <w:rsid w:val="00AC768C"/>
    <w:rsid w:val="00AC7E99"/>
    <w:rsid w:val="00AC7F19"/>
    <w:rsid w:val="00AD02F1"/>
    <w:rsid w:val="00AD04F5"/>
    <w:rsid w:val="00AD0686"/>
    <w:rsid w:val="00AD07CA"/>
    <w:rsid w:val="00AD0B7B"/>
    <w:rsid w:val="00AD0D29"/>
    <w:rsid w:val="00AD1622"/>
    <w:rsid w:val="00AD1C22"/>
    <w:rsid w:val="00AD1E1D"/>
    <w:rsid w:val="00AD27DA"/>
    <w:rsid w:val="00AD292D"/>
    <w:rsid w:val="00AD2D93"/>
    <w:rsid w:val="00AD3B96"/>
    <w:rsid w:val="00AD3E1E"/>
    <w:rsid w:val="00AD3FED"/>
    <w:rsid w:val="00AD401E"/>
    <w:rsid w:val="00AD48EA"/>
    <w:rsid w:val="00AD52A8"/>
    <w:rsid w:val="00AD55AF"/>
    <w:rsid w:val="00AD565C"/>
    <w:rsid w:val="00AD5DA3"/>
    <w:rsid w:val="00AD6534"/>
    <w:rsid w:val="00AD6A6B"/>
    <w:rsid w:val="00AD6BFD"/>
    <w:rsid w:val="00AD6CBC"/>
    <w:rsid w:val="00AD6E84"/>
    <w:rsid w:val="00AD6F20"/>
    <w:rsid w:val="00AD7024"/>
    <w:rsid w:val="00AD74C6"/>
    <w:rsid w:val="00AD785A"/>
    <w:rsid w:val="00AD7A27"/>
    <w:rsid w:val="00AD7E49"/>
    <w:rsid w:val="00AE0658"/>
    <w:rsid w:val="00AE0C27"/>
    <w:rsid w:val="00AE0D80"/>
    <w:rsid w:val="00AE16AF"/>
    <w:rsid w:val="00AE1D28"/>
    <w:rsid w:val="00AE1E5D"/>
    <w:rsid w:val="00AE205B"/>
    <w:rsid w:val="00AE2204"/>
    <w:rsid w:val="00AE2CE6"/>
    <w:rsid w:val="00AE2E7E"/>
    <w:rsid w:val="00AE2EE2"/>
    <w:rsid w:val="00AE300F"/>
    <w:rsid w:val="00AE3256"/>
    <w:rsid w:val="00AE35B4"/>
    <w:rsid w:val="00AE4067"/>
    <w:rsid w:val="00AE43EF"/>
    <w:rsid w:val="00AE4B61"/>
    <w:rsid w:val="00AE4FD9"/>
    <w:rsid w:val="00AE51EE"/>
    <w:rsid w:val="00AE55AA"/>
    <w:rsid w:val="00AE5B51"/>
    <w:rsid w:val="00AE5C2F"/>
    <w:rsid w:val="00AE5C92"/>
    <w:rsid w:val="00AE5EB3"/>
    <w:rsid w:val="00AE6576"/>
    <w:rsid w:val="00AE65DB"/>
    <w:rsid w:val="00AE681C"/>
    <w:rsid w:val="00AE70C8"/>
    <w:rsid w:val="00AE70F0"/>
    <w:rsid w:val="00AE723E"/>
    <w:rsid w:val="00AE75D1"/>
    <w:rsid w:val="00AE77D6"/>
    <w:rsid w:val="00AE7824"/>
    <w:rsid w:val="00AE7E7A"/>
    <w:rsid w:val="00AF0073"/>
    <w:rsid w:val="00AF0184"/>
    <w:rsid w:val="00AF0475"/>
    <w:rsid w:val="00AF0738"/>
    <w:rsid w:val="00AF07D4"/>
    <w:rsid w:val="00AF09EB"/>
    <w:rsid w:val="00AF0DBE"/>
    <w:rsid w:val="00AF0EBF"/>
    <w:rsid w:val="00AF0F00"/>
    <w:rsid w:val="00AF0F35"/>
    <w:rsid w:val="00AF1533"/>
    <w:rsid w:val="00AF1625"/>
    <w:rsid w:val="00AF1991"/>
    <w:rsid w:val="00AF1AEB"/>
    <w:rsid w:val="00AF1D58"/>
    <w:rsid w:val="00AF1EC4"/>
    <w:rsid w:val="00AF206E"/>
    <w:rsid w:val="00AF2273"/>
    <w:rsid w:val="00AF22B6"/>
    <w:rsid w:val="00AF25FE"/>
    <w:rsid w:val="00AF2B44"/>
    <w:rsid w:val="00AF2E7D"/>
    <w:rsid w:val="00AF31DA"/>
    <w:rsid w:val="00AF3415"/>
    <w:rsid w:val="00AF39E1"/>
    <w:rsid w:val="00AF3BCF"/>
    <w:rsid w:val="00AF3C9F"/>
    <w:rsid w:val="00AF3FD6"/>
    <w:rsid w:val="00AF4047"/>
    <w:rsid w:val="00AF4809"/>
    <w:rsid w:val="00AF4A31"/>
    <w:rsid w:val="00AF4B52"/>
    <w:rsid w:val="00AF541B"/>
    <w:rsid w:val="00AF6024"/>
    <w:rsid w:val="00AF6216"/>
    <w:rsid w:val="00AF627D"/>
    <w:rsid w:val="00AF6541"/>
    <w:rsid w:val="00AF6C6A"/>
    <w:rsid w:val="00AF6D9E"/>
    <w:rsid w:val="00AF6F4F"/>
    <w:rsid w:val="00AF6FB7"/>
    <w:rsid w:val="00AF7770"/>
    <w:rsid w:val="00AF7780"/>
    <w:rsid w:val="00AF7C48"/>
    <w:rsid w:val="00AF7CEC"/>
    <w:rsid w:val="00AF7D9B"/>
    <w:rsid w:val="00B001B6"/>
    <w:rsid w:val="00B0034E"/>
    <w:rsid w:val="00B00487"/>
    <w:rsid w:val="00B00E2F"/>
    <w:rsid w:val="00B01339"/>
    <w:rsid w:val="00B0156F"/>
    <w:rsid w:val="00B01FD4"/>
    <w:rsid w:val="00B02E02"/>
    <w:rsid w:val="00B02E62"/>
    <w:rsid w:val="00B033C0"/>
    <w:rsid w:val="00B0360C"/>
    <w:rsid w:val="00B03802"/>
    <w:rsid w:val="00B038D2"/>
    <w:rsid w:val="00B03BC4"/>
    <w:rsid w:val="00B03D58"/>
    <w:rsid w:val="00B05245"/>
    <w:rsid w:val="00B05556"/>
    <w:rsid w:val="00B0592E"/>
    <w:rsid w:val="00B06600"/>
    <w:rsid w:val="00B06635"/>
    <w:rsid w:val="00B06989"/>
    <w:rsid w:val="00B06A5C"/>
    <w:rsid w:val="00B06A5F"/>
    <w:rsid w:val="00B06B86"/>
    <w:rsid w:val="00B06C41"/>
    <w:rsid w:val="00B0715B"/>
    <w:rsid w:val="00B0721F"/>
    <w:rsid w:val="00B0731F"/>
    <w:rsid w:val="00B07527"/>
    <w:rsid w:val="00B0777F"/>
    <w:rsid w:val="00B07922"/>
    <w:rsid w:val="00B10155"/>
    <w:rsid w:val="00B1038B"/>
    <w:rsid w:val="00B1074E"/>
    <w:rsid w:val="00B10DA8"/>
    <w:rsid w:val="00B111E5"/>
    <w:rsid w:val="00B112EB"/>
    <w:rsid w:val="00B113EE"/>
    <w:rsid w:val="00B1155D"/>
    <w:rsid w:val="00B11806"/>
    <w:rsid w:val="00B11A97"/>
    <w:rsid w:val="00B11B92"/>
    <w:rsid w:val="00B11F33"/>
    <w:rsid w:val="00B11FEB"/>
    <w:rsid w:val="00B12657"/>
    <w:rsid w:val="00B128EE"/>
    <w:rsid w:val="00B12B2A"/>
    <w:rsid w:val="00B12CAC"/>
    <w:rsid w:val="00B12D43"/>
    <w:rsid w:val="00B13193"/>
    <w:rsid w:val="00B13277"/>
    <w:rsid w:val="00B13822"/>
    <w:rsid w:val="00B1390D"/>
    <w:rsid w:val="00B13CDA"/>
    <w:rsid w:val="00B13DCA"/>
    <w:rsid w:val="00B1486C"/>
    <w:rsid w:val="00B14A6B"/>
    <w:rsid w:val="00B14ED7"/>
    <w:rsid w:val="00B14F96"/>
    <w:rsid w:val="00B1541D"/>
    <w:rsid w:val="00B15617"/>
    <w:rsid w:val="00B1563C"/>
    <w:rsid w:val="00B157AD"/>
    <w:rsid w:val="00B16286"/>
    <w:rsid w:val="00B16D8A"/>
    <w:rsid w:val="00B16DF2"/>
    <w:rsid w:val="00B16EB5"/>
    <w:rsid w:val="00B173A3"/>
    <w:rsid w:val="00B17C38"/>
    <w:rsid w:val="00B17D2C"/>
    <w:rsid w:val="00B2055A"/>
    <w:rsid w:val="00B206EB"/>
    <w:rsid w:val="00B207D8"/>
    <w:rsid w:val="00B209FD"/>
    <w:rsid w:val="00B20B05"/>
    <w:rsid w:val="00B20EE7"/>
    <w:rsid w:val="00B2116D"/>
    <w:rsid w:val="00B21273"/>
    <w:rsid w:val="00B21281"/>
    <w:rsid w:val="00B212F5"/>
    <w:rsid w:val="00B212FD"/>
    <w:rsid w:val="00B2134C"/>
    <w:rsid w:val="00B2179F"/>
    <w:rsid w:val="00B22357"/>
    <w:rsid w:val="00B226B7"/>
    <w:rsid w:val="00B22744"/>
    <w:rsid w:val="00B22AAC"/>
    <w:rsid w:val="00B2395C"/>
    <w:rsid w:val="00B244A6"/>
    <w:rsid w:val="00B2486F"/>
    <w:rsid w:val="00B248F6"/>
    <w:rsid w:val="00B24F28"/>
    <w:rsid w:val="00B25CEB"/>
    <w:rsid w:val="00B26149"/>
    <w:rsid w:val="00B26342"/>
    <w:rsid w:val="00B2651D"/>
    <w:rsid w:val="00B26558"/>
    <w:rsid w:val="00B26D6D"/>
    <w:rsid w:val="00B27A91"/>
    <w:rsid w:val="00B27D41"/>
    <w:rsid w:val="00B27DD8"/>
    <w:rsid w:val="00B27EF4"/>
    <w:rsid w:val="00B30C81"/>
    <w:rsid w:val="00B3180D"/>
    <w:rsid w:val="00B3181B"/>
    <w:rsid w:val="00B31851"/>
    <w:rsid w:val="00B31B17"/>
    <w:rsid w:val="00B3258E"/>
    <w:rsid w:val="00B336BC"/>
    <w:rsid w:val="00B3391E"/>
    <w:rsid w:val="00B33E75"/>
    <w:rsid w:val="00B34186"/>
    <w:rsid w:val="00B342D8"/>
    <w:rsid w:val="00B34CE8"/>
    <w:rsid w:val="00B35140"/>
    <w:rsid w:val="00B355D3"/>
    <w:rsid w:val="00B3562E"/>
    <w:rsid w:val="00B3569B"/>
    <w:rsid w:val="00B3569D"/>
    <w:rsid w:val="00B35BB1"/>
    <w:rsid w:val="00B35CF1"/>
    <w:rsid w:val="00B35EC9"/>
    <w:rsid w:val="00B35FB8"/>
    <w:rsid w:val="00B3641C"/>
    <w:rsid w:val="00B36958"/>
    <w:rsid w:val="00B369A2"/>
    <w:rsid w:val="00B36C2B"/>
    <w:rsid w:val="00B36C60"/>
    <w:rsid w:val="00B374A5"/>
    <w:rsid w:val="00B37A7C"/>
    <w:rsid w:val="00B37DB4"/>
    <w:rsid w:val="00B4026B"/>
    <w:rsid w:val="00B40CF4"/>
    <w:rsid w:val="00B416F6"/>
    <w:rsid w:val="00B41820"/>
    <w:rsid w:val="00B419A1"/>
    <w:rsid w:val="00B41A7E"/>
    <w:rsid w:val="00B41D80"/>
    <w:rsid w:val="00B41F26"/>
    <w:rsid w:val="00B422BD"/>
    <w:rsid w:val="00B426DE"/>
    <w:rsid w:val="00B42D06"/>
    <w:rsid w:val="00B42E7A"/>
    <w:rsid w:val="00B42F4F"/>
    <w:rsid w:val="00B4325D"/>
    <w:rsid w:val="00B43763"/>
    <w:rsid w:val="00B43ABB"/>
    <w:rsid w:val="00B43B00"/>
    <w:rsid w:val="00B43EC6"/>
    <w:rsid w:val="00B43FC9"/>
    <w:rsid w:val="00B4496A"/>
    <w:rsid w:val="00B449FA"/>
    <w:rsid w:val="00B44AAA"/>
    <w:rsid w:val="00B45745"/>
    <w:rsid w:val="00B45975"/>
    <w:rsid w:val="00B45B71"/>
    <w:rsid w:val="00B46206"/>
    <w:rsid w:val="00B46943"/>
    <w:rsid w:val="00B4697E"/>
    <w:rsid w:val="00B46D9B"/>
    <w:rsid w:val="00B47049"/>
    <w:rsid w:val="00B47537"/>
    <w:rsid w:val="00B475BC"/>
    <w:rsid w:val="00B47741"/>
    <w:rsid w:val="00B477D6"/>
    <w:rsid w:val="00B47B80"/>
    <w:rsid w:val="00B47CEF"/>
    <w:rsid w:val="00B50191"/>
    <w:rsid w:val="00B5077F"/>
    <w:rsid w:val="00B50B06"/>
    <w:rsid w:val="00B510DF"/>
    <w:rsid w:val="00B52957"/>
    <w:rsid w:val="00B529BE"/>
    <w:rsid w:val="00B52AA1"/>
    <w:rsid w:val="00B52B60"/>
    <w:rsid w:val="00B52E77"/>
    <w:rsid w:val="00B52F9F"/>
    <w:rsid w:val="00B5360F"/>
    <w:rsid w:val="00B53FA9"/>
    <w:rsid w:val="00B53FE0"/>
    <w:rsid w:val="00B5463B"/>
    <w:rsid w:val="00B54669"/>
    <w:rsid w:val="00B54755"/>
    <w:rsid w:val="00B54775"/>
    <w:rsid w:val="00B54A1C"/>
    <w:rsid w:val="00B54ED5"/>
    <w:rsid w:val="00B55122"/>
    <w:rsid w:val="00B5533B"/>
    <w:rsid w:val="00B55978"/>
    <w:rsid w:val="00B55EC6"/>
    <w:rsid w:val="00B560F6"/>
    <w:rsid w:val="00B561C3"/>
    <w:rsid w:val="00B563BB"/>
    <w:rsid w:val="00B564F5"/>
    <w:rsid w:val="00B5651D"/>
    <w:rsid w:val="00B5689C"/>
    <w:rsid w:val="00B56AA6"/>
    <w:rsid w:val="00B5722B"/>
    <w:rsid w:val="00B57633"/>
    <w:rsid w:val="00B60326"/>
    <w:rsid w:val="00B60686"/>
    <w:rsid w:val="00B60898"/>
    <w:rsid w:val="00B60C3F"/>
    <w:rsid w:val="00B60CFA"/>
    <w:rsid w:val="00B6120D"/>
    <w:rsid w:val="00B615B3"/>
    <w:rsid w:val="00B618C7"/>
    <w:rsid w:val="00B61D75"/>
    <w:rsid w:val="00B62091"/>
    <w:rsid w:val="00B62462"/>
    <w:rsid w:val="00B6264B"/>
    <w:rsid w:val="00B62DA7"/>
    <w:rsid w:val="00B63102"/>
    <w:rsid w:val="00B63186"/>
    <w:rsid w:val="00B6368F"/>
    <w:rsid w:val="00B637C1"/>
    <w:rsid w:val="00B63C67"/>
    <w:rsid w:val="00B641D8"/>
    <w:rsid w:val="00B64242"/>
    <w:rsid w:val="00B649B3"/>
    <w:rsid w:val="00B64CE3"/>
    <w:rsid w:val="00B64E4A"/>
    <w:rsid w:val="00B6544F"/>
    <w:rsid w:val="00B65711"/>
    <w:rsid w:val="00B65863"/>
    <w:rsid w:val="00B65A5E"/>
    <w:rsid w:val="00B66514"/>
    <w:rsid w:val="00B6694F"/>
    <w:rsid w:val="00B66DA7"/>
    <w:rsid w:val="00B66E06"/>
    <w:rsid w:val="00B66EC1"/>
    <w:rsid w:val="00B6744D"/>
    <w:rsid w:val="00B67513"/>
    <w:rsid w:val="00B679A4"/>
    <w:rsid w:val="00B67A32"/>
    <w:rsid w:val="00B67C39"/>
    <w:rsid w:val="00B67CD9"/>
    <w:rsid w:val="00B67D73"/>
    <w:rsid w:val="00B7059F"/>
    <w:rsid w:val="00B71189"/>
    <w:rsid w:val="00B716FE"/>
    <w:rsid w:val="00B71B96"/>
    <w:rsid w:val="00B723E1"/>
    <w:rsid w:val="00B7260F"/>
    <w:rsid w:val="00B72F3D"/>
    <w:rsid w:val="00B7320D"/>
    <w:rsid w:val="00B73695"/>
    <w:rsid w:val="00B73A92"/>
    <w:rsid w:val="00B7438C"/>
    <w:rsid w:val="00B7456C"/>
    <w:rsid w:val="00B74A04"/>
    <w:rsid w:val="00B74A98"/>
    <w:rsid w:val="00B7507D"/>
    <w:rsid w:val="00B7558A"/>
    <w:rsid w:val="00B755C0"/>
    <w:rsid w:val="00B75C6D"/>
    <w:rsid w:val="00B75F55"/>
    <w:rsid w:val="00B76224"/>
    <w:rsid w:val="00B7689E"/>
    <w:rsid w:val="00B76A28"/>
    <w:rsid w:val="00B76A79"/>
    <w:rsid w:val="00B77121"/>
    <w:rsid w:val="00B7735F"/>
    <w:rsid w:val="00B77516"/>
    <w:rsid w:val="00B77785"/>
    <w:rsid w:val="00B77FB6"/>
    <w:rsid w:val="00B80385"/>
    <w:rsid w:val="00B8039A"/>
    <w:rsid w:val="00B8063A"/>
    <w:rsid w:val="00B80C68"/>
    <w:rsid w:val="00B80E98"/>
    <w:rsid w:val="00B810A1"/>
    <w:rsid w:val="00B81136"/>
    <w:rsid w:val="00B811EA"/>
    <w:rsid w:val="00B8134F"/>
    <w:rsid w:val="00B81352"/>
    <w:rsid w:val="00B81AC6"/>
    <w:rsid w:val="00B81FE5"/>
    <w:rsid w:val="00B822B4"/>
    <w:rsid w:val="00B828A8"/>
    <w:rsid w:val="00B82F2B"/>
    <w:rsid w:val="00B830B5"/>
    <w:rsid w:val="00B830DB"/>
    <w:rsid w:val="00B83254"/>
    <w:rsid w:val="00B83394"/>
    <w:rsid w:val="00B839E7"/>
    <w:rsid w:val="00B83D19"/>
    <w:rsid w:val="00B8402B"/>
    <w:rsid w:val="00B841B1"/>
    <w:rsid w:val="00B846A5"/>
    <w:rsid w:val="00B8471C"/>
    <w:rsid w:val="00B84843"/>
    <w:rsid w:val="00B849D3"/>
    <w:rsid w:val="00B84A9A"/>
    <w:rsid w:val="00B84AC0"/>
    <w:rsid w:val="00B84DB8"/>
    <w:rsid w:val="00B852F0"/>
    <w:rsid w:val="00B853BD"/>
    <w:rsid w:val="00B853C7"/>
    <w:rsid w:val="00B85662"/>
    <w:rsid w:val="00B85699"/>
    <w:rsid w:val="00B85896"/>
    <w:rsid w:val="00B858CE"/>
    <w:rsid w:val="00B85D1F"/>
    <w:rsid w:val="00B85EE9"/>
    <w:rsid w:val="00B86089"/>
    <w:rsid w:val="00B861ED"/>
    <w:rsid w:val="00B8651C"/>
    <w:rsid w:val="00B86D3F"/>
    <w:rsid w:val="00B87304"/>
    <w:rsid w:val="00B874EF"/>
    <w:rsid w:val="00B87EFD"/>
    <w:rsid w:val="00B87FAF"/>
    <w:rsid w:val="00B90583"/>
    <w:rsid w:val="00B905A6"/>
    <w:rsid w:val="00B90719"/>
    <w:rsid w:val="00B9082D"/>
    <w:rsid w:val="00B90B85"/>
    <w:rsid w:val="00B90BE4"/>
    <w:rsid w:val="00B90C0E"/>
    <w:rsid w:val="00B90D7E"/>
    <w:rsid w:val="00B917D6"/>
    <w:rsid w:val="00B91AB2"/>
    <w:rsid w:val="00B91E70"/>
    <w:rsid w:val="00B92144"/>
    <w:rsid w:val="00B9217A"/>
    <w:rsid w:val="00B921D1"/>
    <w:rsid w:val="00B923C1"/>
    <w:rsid w:val="00B92A33"/>
    <w:rsid w:val="00B92E1E"/>
    <w:rsid w:val="00B92E36"/>
    <w:rsid w:val="00B92EF4"/>
    <w:rsid w:val="00B9311B"/>
    <w:rsid w:val="00B93723"/>
    <w:rsid w:val="00B93AE0"/>
    <w:rsid w:val="00B943C4"/>
    <w:rsid w:val="00B947BA"/>
    <w:rsid w:val="00B94C8E"/>
    <w:rsid w:val="00B94D31"/>
    <w:rsid w:val="00B95098"/>
    <w:rsid w:val="00B95272"/>
    <w:rsid w:val="00B953CB"/>
    <w:rsid w:val="00B955A0"/>
    <w:rsid w:val="00B957A4"/>
    <w:rsid w:val="00B957EA"/>
    <w:rsid w:val="00B95B29"/>
    <w:rsid w:val="00B95D05"/>
    <w:rsid w:val="00B96262"/>
    <w:rsid w:val="00B96311"/>
    <w:rsid w:val="00B971D3"/>
    <w:rsid w:val="00B977E8"/>
    <w:rsid w:val="00B9786C"/>
    <w:rsid w:val="00B979A8"/>
    <w:rsid w:val="00BA0EC0"/>
    <w:rsid w:val="00BA119D"/>
    <w:rsid w:val="00BA1329"/>
    <w:rsid w:val="00BA144E"/>
    <w:rsid w:val="00BA1958"/>
    <w:rsid w:val="00BA19DC"/>
    <w:rsid w:val="00BA1A48"/>
    <w:rsid w:val="00BA1D8C"/>
    <w:rsid w:val="00BA1EEC"/>
    <w:rsid w:val="00BA3288"/>
    <w:rsid w:val="00BA3435"/>
    <w:rsid w:val="00BA34EF"/>
    <w:rsid w:val="00BA3858"/>
    <w:rsid w:val="00BA3907"/>
    <w:rsid w:val="00BA39E7"/>
    <w:rsid w:val="00BA3C7F"/>
    <w:rsid w:val="00BA41B6"/>
    <w:rsid w:val="00BA4504"/>
    <w:rsid w:val="00BA4759"/>
    <w:rsid w:val="00BA48B2"/>
    <w:rsid w:val="00BA4D94"/>
    <w:rsid w:val="00BA4DD6"/>
    <w:rsid w:val="00BA4F6E"/>
    <w:rsid w:val="00BA50EB"/>
    <w:rsid w:val="00BA5D76"/>
    <w:rsid w:val="00BA61E4"/>
    <w:rsid w:val="00BA63B5"/>
    <w:rsid w:val="00BA711A"/>
    <w:rsid w:val="00BA728F"/>
    <w:rsid w:val="00BA7343"/>
    <w:rsid w:val="00BA73C9"/>
    <w:rsid w:val="00BA7E0B"/>
    <w:rsid w:val="00BB07FB"/>
    <w:rsid w:val="00BB0869"/>
    <w:rsid w:val="00BB0A2D"/>
    <w:rsid w:val="00BB0A9E"/>
    <w:rsid w:val="00BB1252"/>
    <w:rsid w:val="00BB177D"/>
    <w:rsid w:val="00BB204B"/>
    <w:rsid w:val="00BB24B1"/>
    <w:rsid w:val="00BB2BE6"/>
    <w:rsid w:val="00BB2C39"/>
    <w:rsid w:val="00BB2E7A"/>
    <w:rsid w:val="00BB30A3"/>
    <w:rsid w:val="00BB3258"/>
    <w:rsid w:val="00BB3B3A"/>
    <w:rsid w:val="00BB3B59"/>
    <w:rsid w:val="00BB3EA9"/>
    <w:rsid w:val="00BB4B9A"/>
    <w:rsid w:val="00BB4C3E"/>
    <w:rsid w:val="00BB5570"/>
    <w:rsid w:val="00BB57D0"/>
    <w:rsid w:val="00BB5D64"/>
    <w:rsid w:val="00BB5E1E"/>
    <w:rsid w:val="00BB6964"/>
    <w:rsid w:val="00BB6A0C"/>
    <w:rsid w:val="00BB6E24"/>
    <w:rsid w:val="00BB6EA0"/>
    <w:rsid w:val="00BB6F28"/>
    <w:rsid w:val="00BB7507"/>
    <w:rsid w:val="00BB7802"/>
    <w:rsid w:val="00BB785C"/>
    <w:rsid w:val="00BB7E74"/>
    <w:rsid w:val="00BB7F5D"/>
    <w:rsid w:val="00BC0130"/>
    <w:rsid w:val="00BC0D19"/>
    <w:rsid w:val="00BC0EC8"/>
    <w:rsid w:val="00BC142E"/>
    <w:rsid w:val="00BC14F0"/>
    <w:rsid w:val="00BC1694"/>
    <w:rsid w:val="00BC1B5D"/>
    <w:rsid w:val="00BC2411"/>
    <w:rsid w:val="00BC269E"/>
    <w:rsid w:val="00BC2743"/>
    <w:rsid w:val="00BC2B83"/>
    <w:rsid w:val="00BC2C42"/>
    <w:rsid w:val="00BC3167"/>
    <w:rsid w:val="00BC3476"/>
    <w:rsid w:val="00BC348A"/>
    <w:rsid w:val="00BC3667"/>
    <w:rsid w:val="00BC3961"/>
    <w:rsid w:val="00BC3F66"/>
    <w:rsid w:val="00BC41D3"/>
    <w:rsid w:val="00BC41DE"/>
    <w:rsid w:val="00BC4328"/>
    <w:rsid w:val="00BC5038"/>
    <w:rsid w:val="00BC50AC"/>
    <w:rsid w:val="00BC5632"/>
    <w:rsid w:val="00BC5CD4"/>
    <w:rsid w:val="00BC6458"/>
    <w:rsid w:val="00BC6647"/>
    <w:rsid w:val="00BC6D71"/>
    <w:rsid w:val="00BC6E46"/>
    <w:rsid w:val="00BC6F44"/>
    <w:rsid w:val="00BC6FEB"/>
    <w:rsid w:val="00BC70F0"/>
    <w:rsid w:val="00BC74E1"/>
    <w:rsid w:val="00BC773F"/>
    <w:rsid w:val="00BC7929"/>
    <w:rsid w:val="00BC7AED"/>
    <w:rsid w:val="00BD0069"/>
    <w:rsid w:val="00BD027E"/>
    <w:rsid w:val="00BD0963"/>
    <w:rsid w:val="00BD09F9"/>
    <w:rsid w:val="00BD0D21"/>
    <w:rsid w:val="00BD0FE4"/>
    <w:rsid w:val="00BD1244"/>
    <w:rsid w:val="00BD12CD"/>
    <w:rsid w:val="00BD1340"/>
    <w:rsid w:val="00BD14F5"/>
    <w:rsid w:val="00BD1593"/>
    <w:rsid w:val="00BD18DD"/>
    <w:rsid w:val="00BD28C6"/>
    <w:rsid w:val="00BD29C6"/>
    <w:rsid w:val="00BD2D34"/>
    <w:rsid w:val="00BD2F44"/>
    <w:rsid w:val="00BD326F"/>
    <w:rsid w:val="00BD32E1"/>
    <w:rsid w:val="00BD3948"/>
    <w:rsid w:val="00BD4579"/>
    <w:rsid w:val="00BD4998"/>
    <w:rsid w:val="00BD4A27"/>
    <w:rsid w:val="00BD54E3"/>
    <w:rsid w:val="00BD57A4"/>
    <w:rsid w:val="00BD5B45"/>
    <w:rsid w:val="00BD5D98"/>
    <w:rsid w:val="00BD5E8E"/>
    <w:rsid w:val="00BD6911"/>
    <w:rsid w:val="00BD6B94"/>
    <w:rsid w:val="00BD72BD"/>
    <w:rsid w:val="00BD74AA"/>
    <w:rsid w:val="00BD7739"/>
    <w:rsid w:val="00BD7986"/>
    <w:rsid w:val="00BD7BD2"/>
    <w:rsid w:val="00BE0231"/>
    <w:rsid w:val="00BE04EB"/>
    <w:rsid w:val="00BE094D"/>
    <w:rsid w:val="00BE0968"/>
    <w:rsid w:val="00BE109D"/>
    <w:rsid w:val="00BE10C8"/>
    <w:rsid w:val="00BE1686"/>
    <w:rsid w:val="00BE1B5E"/>
    <w:rsid w:val="00BE1BBE"/>
    <w:rsid w:val="00BE2120"/>
    <w:rsid w:val="00BE2205"/>
    <w:rsid w:val="00BE3074"/>
    <w:rsid w:val="00BE3249"/>
    <w:rsid w:val="00BE36F3"/>
    <w:rsid w:val="00BE3C70"/>
    <w:rsid w:val="00BE42FB"/>
    <w:rsid w:val="00BE4403"/>
    <w:rsid w:val="00BE4804"/>
    <w:rsid w:val="00BE4A41"/>
    <w:rsid w:val="00BE5154"/>
    <w:rsid w:val="00BE5236"/>
    <w:rsid w:val="00BE52F2"/>
    <w:rsid w:val="00BE5339"/>
    <w:rsid w:val="00BE61F6"/>
    <w:rsid w:val="00BE6628"/>
    <w:rsid w:val="00BE6745"/>
    <w:rsid w:val="00BE6DA2"/>
    <w:rsid w:val="00BE710A"/>
    <w:rsid w:val="00BE783B"/>
    <w:rsid w:val="00BE7869"/>
    <w:rsid w:val="00BE79D1"/>
    <w:rsid w:val="00BE7EE1"/>
    <w:rsid w:val="00BE7FE9"/>
    <w:rsid w:val="00BEEF26"/>
    <w:rsid w:val="00BF0478"/>
    <w:rsid w:val="00BF05D1"/>
    <w:rsid w:val="00BF05FB"/>
    <w:rsid w:val="00BF0612"/>
    <w:rsid w:val="00BF06B6"/>
    <w:rsid w:val="00BF07C3"/>
    <w:rsid w:val="00BF0D30"/>
    <w:rsid w:val="00BF0E8B"/>
    <w:rsid w:val="00BF14A7"/>
    <w:rsid w:val="00BF1846"/>
    <w:rsid w:val="00BF1B7D"/>
    <w:rsid w:val="00BF1F5B"/>
    <w:rsid w:val="00BF2117"/>
    <w:rsid w:val="00BF217D"/>
    <w:rsid w:val="00BF242C"/>
    <w:rsid w:val="00BF2BD4"/>
    <w:rsid w:val="00BF2E36"/>
    <w:rsid w:val="00BF2F6C"/>
    <w:rsid w:val="00BF428B"/>
    <w:rsid w:val="00BF446B"/>
    <w:rsid w:val="00BF47BA"/>
    <w:rsid w:val="00BF4B6E"/>
    <w:rsid w:val="00BF4C2D"/>
    <w:rsid w:val="00BF4FB3"/>
    <w:rsid w:val="00BF51E1"/>
    <w:rsid w:val="00BF54CF"/>
    <w:rsid w:val="00BF56EE"/>
    <w:rsid w:val="00BF5CE9"/>
    <w:rsid w:val="00BF618D"/>
    <w:rsid w:val="00BF6450"/>
    <w:rsid w:val="00BF663B"/>
    <w:rsid w:val="00BF6D8E"/>
    <w:rsid w:val="00BF6E66"/>
    <w:rsid w:val="00BF7185"/>
    <w:rsid w:val="00BF7509"/>
    <w:rsid w:val="00BF77B9"/>
    <w:rsid w:val="00BF7C14"/>
    <w:rsid w:val="00BF7E3F"/>
    <w:rsid w:val="00BF7E94"/>
    <w:rsid w:val="00C00AAE"/>
    <w:rsid w:val="00C00B64"/>
    <w:rsid w:val="00C00EB5"/>
    <w:rsid w:val="00C016A0"/>
    <w:rsid w:val="00C01878"/>
    <w:rsid w:val="00C019AE"/>
    <w:rsid w:val="00C01A5A"/>
    <w:rsid w:val="00C01C12"/>
    <w:rsid w:val="00C01C2F"/>
    <w:rsid w:val="00C01CCC"/>
    <w:rsid w:val="00C01EE8"/>
    <w:rsid w:val="00C02C39"/>
    <w:rsid w:val="00C0320A"/>
    <w:rsid w:val="00C033AD"/>
    <w:rsid w:val="00C03972"/>
    <w:rsid w:val="00C03A6B"/>
    <w:rsid w:val="00C03BB2"/>
    <w:rsid w:val="00C03C23"/>
    <w:rsid w:val="00C03E6B"/>
    <w:rsid w:val="00C03F73"/>
    <w:rsid w:val="00C04315"/>
    <w:rsid w:val="00C04469"/>
    <w:rsid w:val="00C044DC"/>
    <w:rsid w:val="00C0465B"/>
    <w:rsid w:val="00C047B9"/>
    <w:rsid w:val="00C04C8A"/>
    <w:rsid w:val="00C04D92"/>
    <w:rsid w:val="00C05D64"/>
    <w:rsid w:val="00C06087"/>
    <w:rsid w:val="00C065C4"/>
    <w:rsid w:val="00C067AD"/>
    <w:rsid w:val="00C06BB0"/>
    <w:rsid w:val="00C07017"/>
    <w:rsid w:val="00C070AC"/>
    <w:rsid w:val="00C07158"/>
    <w:rsid w:val="00C0730E"/>
    <w:rsid w:val="00C07768"/>
    <w:rsid w:val="00C077B9"/>
    <w:rsid w:val="00C07C90"/>
    <w:rsid w:val="00C07FDB"/>
    <w:rsid w:val="00C100BF"/>
    <w:rsid w:val="00C10639"/>
    <w:rsid w:val="00C10E43"/>
    <w:rsid w:val="00C1130B"/>
    <w:rsid w:val="00C113BE"/>
    <w:rsid w:val="00C1185B"/>
    <w:rsid w:val="00C11ABA"/>
    <w:rsid w:val="00C11B03"/>
    <w:rsid w:val="00C11B72"/>
    <w:rsid w:val="00C11C7B"/>
    <w:rsid w:val="00C11C7D"/>
    <w:rsid w:val="00C1224E"/>
    <w:rsid w:val="00C124F7"/>
    <w:rsid w:val="00C12A9B"/>
    <w:rsid w:val="00C12B58"/>
    <w:rsid w:val="00C12CE0"/>
    <w:rsid w:val="00C12D13"/>
    <w:rsid w:val="00C12D31"/>
    <w:rsid w:val="00C130CC"/>
    <w:rsid w:val="00C13951"/>
    <w:rsid w:val="00C13B0B"/>
    <w:rsid w:val="00C13C4B"/>
    <w:rsid w:val="00C13D30"/>
    <w:rsid w:val="00C140C0"/>
    <w:rsid w:val="00C14184"/>
    <w:rsid w:val="00C14305"/>
    <w:rsid w:val="00C145EF"/>
    <w:rsid w:val="00C148D6"/>
    <w:rsid w:val="00C14E54"/>
    <w:rsid w:val="00C152AB"/>
    <w:rsid w:val="00C15324"/>
    <w:rsid w:val="00C1533A"/>
    <w:rsid w:val="00C156A6"/>
    <w:rsid w:val="00C159A0"/>
    <w:rsid w:val="00C159A2"/>
    <w:rsid w:val="00C16861"/>
    <w:rsid w:val="00C16954"/>
    <w:rsid w:val="00C16BAF"/>
    <w:rsid w:val="00C16D9E"/>
    <w:rsid w:val="00C16F9E"/>
    <w:rsid w:val="00C17756"/>
    <w:rsid w:val="00C17EE0"/>
    <w:rsid w:val="00C2086D"/>
    <w:rsid w:val="00C20F8B"/>
    <w:rsid w:val="00C20FA1"/>
    <w:rsid w:val="00C2145F"/>
    <w:rsid w:val="00C2153D"/>
    <w:rsid w:val="00C216EB"/>
    <w:rsid w:val="00C21C11"/>
    <w:rsid w:val="00C21C1B"/>
    <w:rsid w:val="00C21C55"/>
    <w:rsid w:val="00C21D1A"/>
    <w:rsid w:val="00C22082"/>
    <w:rsid w:val="00C22369"/>
    <w:rsid w:val="00C223DC"/>
    <w:rsid w:val="00C22428"/>
    <w:rsid w:val="00C224AA"/>
    <w:rsid w:val="00C22E19"/>
    <w:rsid w:val="00C22E6F"/>
    <w:rsid w:val="00C2325F"/>
    <w:rsid w:val="00C232A5"/>
    <w:rsid w:val="00C23ABB"/>
    <w:rsid w:val="00C24104"/>
    <w:rsid w:val="00C24131"/>
    <w:rsid w:val="00C24CC3"/>
    <w:rsid w:val="00C24DE7"/>
    <w:rsid w:val="00C25122"/>
    <w:rsid w:val="00C25348"/>
    <w:rsid w:val="00C256A8"/>
    <w:rsid w:val="00C259D1"/>
    <w:rsid w:val="00C25B35"/>
    <w:rsid w:val="00C26441"/>
    <w:rsid w:val="00C2669E"/>
    <w:rsid w:val="00C266EC"/>
    <w:rsid w:val="00C2689A"/>
    <w:rsid w:val="00C26AC0"/>
    <w:rsid w:val="00C26FC5"/>
    <w:rsid w:val="00C27137"/>
    <w:rsid w:val="00C2768A"/>
    <w:rsid w:val="00C2780A"/>
    <w:rsid w:val="00C27D20"/>
    <w:rsid w:val="00C27E8E"/>
    <w:rsid w:val="00C3056A"/>
    <w:rsid w:val="00C30C5D"/>
    <w:rsid w:val="00C30EFB"/>
    <w:rsid w:val="00C31262"/>
    <w:rsid w:val="00C3164B"/>
    <w:rsid w:val="00C31734"/>
    <w:rsid w:val="00C31BD9"/>
    <w:rsid w:val="00C31E83"/>
    <w:rsid w:val="00C31EB4"/>
    <w:rsid w:val="00C3285F"/>
    <w:rsid w:val="00C32D9A"/>
    <w:rsid w:val="00C32F86"/>
    <w:rsid w:val="00C33101"/>
    <w:rsid w:val="00C332F6"/>
    <w:rsid w:val="00C332F8"/>
    <w:rsid w:val="00C33308"/>
    <w:rsid w:val="00C33FE4"/>
    <w:rsid w:val="00C342C8"/>
    <w:rsid w:val="00C344C6"/>
    <w:rsid w:val="00C34A50"/>
    <w:rsid w:val="00C34FBF"/>
    <w:rsid w:val="00C3549F"/>
    <w:rsid w:val="00C359BD"/>
    <w:rsid w:val="00C362EE"/>
    <w:rsid w:val="00C363C1"/>
    <w:rsid w:val="00C36428"/>
    <w:rsid w:val="00C36567"/>
    <w:rsid w:val="00C36584"/>
    <w:rsid w:val="00C36679"/>
    <w:rsid w:val="00C3698D"/>
    <w:rsid w:val="00C36B2D"/>
    <w:rsid w:val="00C36B6B"/>
    <w:rsid w:val="00C36F99"/>
    <w:rsid w:val="00C37150"/>
    <w:rsid w:val="00C3715B"/>
    <w:rsid w:val="00C376C6"/>
    <w:rsid w:val="00C37983"/>
    <w:rsid w:val="00C37C51"/>
    <w:rsid w:val="00C40081"/>
    <w:rsid w:val="00C40B31"/>
    <w:rsid w:val="00C40DB1"/>
    <w:rsid w:val="00C40DC2"/>
    <w:rsid w:val="00C40F5C"/>
    <w:rsid w:val="00C4104E"/>
    <w:rsid w:val="00C412D1"/>
    <w:rsid w:val="00C4156F"/>
    <w:rsid w:val="00C416C3"/>
    <w:rsid w:val="00C42100"/>
    <w:rsid w:val="00C42483"/>
    <w:rsid w:val="00C427B9"/>
    <w:rsid w:val="00C42946"/>
    <w:rsid w:val="00C42C04"/>
    <w:rsid w:val="00C42CA9"/>
    <w:rsid w:val="00C42DBE"/>
    <w:rsid w:val="00C42E68"/>
    <w:rsid w:val="00C42FE5"/>
    <w:rsid w:val="00C43249"/>
    <w:rsid w:val="00C43374"/>
    <w:rsid w:val="00C437CB"/>
    <w:rsid w:val="00C437FE"/>
    <w:rsid w:val="00C438E9"/>
    <w:rsid w:val="00C439B1"/>
    <w:rsid w:val="00C43AEC"/>
    <w:rsid w:val="00C44615"/>
    <w:rsid w:val="00C4475B"/>
    <w:rsid w:val="00C44A6B"/>
    <w:rsid w:val="00C45149"/>
    <w:rsid w:val="00C452DD"/>
    <w:rsid w:val="00C45417"/>
    <w:rsid w:val="00C46286"/>
    <w:rsid w:val="00C469CC"/>
    <w:rsid w:val="00C46D1E"/>
    <w:rsid w:val="00C46EFE"/>
    <w:rsid w:val="00C4713C"/>
    <w:rsid w:val="00C47547"/>
    <w:rsid w:val="00C47B5B"/>
    <w:rsid w:val="00C47BB2"/>
    <w:rsid w:val="00C47C46"/>
    <w:rsid w:val="00C509BD"/>
    <w:rsid w:val="00C50EB3"/>
    <w:rsid w:val="00C512F4"/>
    <w:rsid w:val="00C514CF"/>
    <w:rsid w:val="00C515B5"/>
    <w:rsid w:val="00C51CD0"/>
    <w:rsid w:val="00C5237C"/>
    <w:rsid w:val="00C52738"/>
    <w:rsid w:val="00C528B3"/>
    <w:rsid w:val="00C5312B"/>
    <w:rsid w:val="00C534D7"/>
    <w:rsid w:val="00C5355F"/>
    <w:rsid w:val="00C536FB"/>
    <w:rsid w:val="00C53A54"/>
    <w:rsid w:val="00C53A9B"/>
    <w:rsid w:val="00C53C4A"/>
    <w:rsid w:val="00C53EB9"/>
    <w:rsid w:val="00C5447C"/>
    <w:rsid w:val="00C54ACA"/>
    <w:rsid w:val="00C54C72"/>
    <w:rsid w:val="00C54EB5"/>
    <w:rsid w:val="00C54F41"/>
    <w:rsid w:val="00C550C7"/>
    <w:rsid w:val="00C55157"/>
    <w:rsid w:val="00C557C5"/>
    <w:rsid w:val="00C55DC0"/>
    <w:rsid w:val="00C55E3D"/>
    <w:rsid w:val="00C56B3E"/>
    <w:rsid w:val="00C577A3"/>
    <w:rsid w:val="00C57BD8"/>
    <w:rsid w:val="00C60058"/>
    <w:rsid w:val="00C60558"/>
    <w:rsid w:val="00C60928"/>
    <w:rsid w:val="00C60B53"/>
    <w:rsid w:val="00C60B6F"/>
    <w:rsid w:val="00C61483"/>
    <w:rsid w:val="00C61A28"/>
    <w:rsid w:val="00C61A42"/>
    <w:rsid w:val="00C62027"/>
    <w:rsid w:val="00C621EA"/>
    <w:rsid w:val="00C62400"/>
    <w:rsid w:val="00C6251F"/>
    <w:rsid w:val="00C62CA1"/>
    <w:rsid w:val="00C63079"/>
    <w:rsid w:val="00C6313F"/>
    <w:rsid w:val="00C63406"/>
    <w:rsid w:val="00C6383F"/>
    <w:rsid w:val="00C638CD"/>
    <w:rsid w:val="00C639A3"/>
    <w:rsid w:val="00C643ED"/>
    <w:rsid w:val="00C64471"/>
    <w:rsid w:val="00C647CF"/>
    <w:rsid w:val="00C64C00"/>
    <w:rsid w:val="00C65037"/>
    <w:rsid w:val="00C65A48"/>
    <w:rsid w:val="00C65ABE"/>
    <w:rsid w:val="00C65E6B"/>
    <w:rsid w:val="00C65F89"/>
    <w:rsid w:val="00C6609F"/>
    <w:rsid w:val="00C667D7"/>
    <w:rsid w:val="00C66E27"/>
    <w:rsid w:val="00C67C53"/>
    <w:rsid w:val="00C67FB8"/>
    <w:rsid w:val="00C701CD"/>
    <w:rsid w:val="00C70268"/>
    <w:rsid w:val="00C70592"/>
    <w:rsid w:val="00C70A62"/>
    <w:rsid w:val="00C70F20"/>
    <w:rsid w:val="00C713E9"/>
    <w:rsid w:val="00C714A7"/>
    <w:rsid w:val="00C7177F"/>
    <w:rsid w:val="00C71923"/>
    <w:rsid w:val="00C71B14"/>
    <w:rsid w:val="00C71E2D"/>
    <w:rsid w:val="00C71E42"/>
    <w:rsid w:val="00C71F8F"/>
    <w:rsid w:val="00C71FB0"/>
    <w:rsid w:val="00C72069"/>
    <w:rsid w:val="00C724E5"/>
    <w:rsid w:val="00C726AE"/>
    <w:rsid w:val="00C72CD3"/>
    <w:rsid w:val="00C73095"/>
    <w:rsid w:val="00C7360B"/>
    <w:rsid w:val="00C736FD"/>
    <w:rsid w:val="00C7388F"/>
    <w:rsid w:val="00C73A5C"/>
    <w:rsid w:val="00C73E43"/>
    <w:rsid w:val="00C74245"/>
    <w:rsid w:val="00C74B35"/>
    <w:rsid w:val="00C7555D"/>
    <w:rsid w:val="00C75A07"/>
    <w:rsid w:val="00C75A0C"/>
    <w:rsid w:val="00C75B90"/>
    <w:rsid w:val="00C75E06"/>
    <w:rsid w:val="00C76750"/>
    <w:rsid w:val="00C770C8"/>
    <w:rsid w:val="00C77C50"/>
    <w:rsid w:val="00C77E88"/>
    <w:rsid w:val="00C77ED9"/>
    <w:rsid w:val="00C800DF"/>
    <w:rsid w:val="00C801CF"/>
    <w:rsid w:val="00C805FE"/>
    <w:rsid w:val="00C809FE"/>
    <w:rsid w:val="00C80E54"/>
    <w:rsid w:val="00C81035"/>
    <w:rsid w:val="00C8114D"/>
    <w:rsid w:val="00C814E1"/>
    <w:rsid w:val="00C815DF"/>
    <w:rsid w:val="00C81951"/>
    <w:rsid w:val="00C81B8C"/>
    <w:rsid w:val="00C81EA9"/>
    <w:rsid w:val="00C82021"/>
    <w:rsid w:val="00C82163"/>
    <w:rsid w:val="00C82186"/>
    <w:rsid w:val="00C822E2"/>
    <w:rsid w:val="00C82402"/>
    <w:rsid w:val="00C82456"/>
    <w:rsid w:val="00C82A33"/>
    <w:rsid w:val="00C82D05"/>
    <w:rsid w:val="00C8351E"/>
    <w:rsid w:val="00C83D21"/>
    <w:rsid w:val="00C83DB2"/>
    <w:rsid w:val="00C83DE5"/>
    <w:rsid w:val="00C84475"/>
    <w:rsid w:val="00C84675"/>
    <w:rsid w:val="00C84716"/>
    <w:rsid w:val="00C8493F"/>
    <w:rsid w:val="00C84AF4"/>
    <w:rsid w:val="00C84E4D"/>
    <w:rsid w:val="00C84FBB"/>
    <w:rsid w:val="00C8517C"/>
    <w:rsid w:val="00C85189"/>
    <w:rsid w:val="00C854A9"/>
    <w:rsid w:val="00C8555A"/>
    <w:rsid w:val="00C855F6"/>
    <w:rsid w:val="00C86290"/>
    <w:rsid w:val="00C86295"/>
    <w:rsid w:val="00C86355"/>
    <w:rsid w:val="00C86375"/>
    <w:rsid w:val="00C86699"/>
    <w:rsid w:val="00C86A3D"/>
    <w:rsid w:val="00C86C43"/>
    <w:rsid w:val="00C86D08"/>
    <w:rsid w:val="00C872DE"/>
    <w:rsid w:val="00C877D3"/>
    <w:rsid w:val="00C8793C"/>
    <w:rsid w:val="00C87A32"/>
    <w:rsid w:val="00C90255"/>
    <w:rsid w:val="00C904B9"/>
    <w:rsid w:val="00C90875"/>
    <w:rsid w:val="00C90D0C"/>
    <w:rsid w:val="00C91297"/>
    <w:rsid w:val="00C9152E"/>
    <w:rsid w:val="00C91C76"/>
    <w:rsid w:val="00C9228F"/>
    <w:rsid w:val="00C923D4"/>
    <w:rsid w:val="00C924AD"/>
    <w:rsid w:val="00C924CA"/>
    <w:rsid w:val="00C92716"/>
    <w:rsid w:val="00C92A85"/>
    <w:rsid w:val="00C92C8F"/>
    <w:rsid w:val="00C92F06"/>
    <w:rsid w:val="00C93282"/>
    <w:rsid w:val="00C93CF5"/>
    <w:rsid w:val="00C93D9B"/>
    <w:rsid w:val="00C93ED5"/>
    <w:rsid w:val="00C948E3"/>
    <w:rsid w:val="00C950C2"/>
    <w:rsid w:val="00C9549E"/>
    <w:rsid w:val="00C95FA1"/>
    <w:rsid w:val="00C96235"/>
    <w:rsid w:val="00C96D7C"/>
    <w:rsid w:val="00C96F82"/>
    <w:rsid w:val="00C97095"/>
    <w:rsid w:val="00C97148"/>
    <w:rsid w:val="00C9763D"/>
    <w:rsid w:val="00CA0008"/>
    <w:rsid w:val="00CA02ED"/>
    <w:rsid w:val="00CA03AE"/>
    <w:rsid w:val="00CA070E"/>
    <w:rsid w:val="00CA0A4B"/>
    <w:rsid w:val="00CA0A7D"/>
    <w:rsid w:val="00CA0FAB"/>
    <w:rsid w:val="00CA104E"/>
    <w:rsid w:val="00CA2BC5"/>
    <w:rsid w:val="00CA2CB6"/>
    <w:rsid w:val="00CA2F45"/>
    <w:rsid w:val="00CA3000"/>
    <w:rsid w:val="00CA33D6"/>
    <w:rsid w:val="00CA3424"/>
    <w:rsid w:val="00CA348F"/>
    <w:rsid w:val="00CA36F1"/>
    <w:rsid w:val="00CA3FAA"/>
    <w:rsid w:val="00CA456F"/>
    <w:rsid w:val="00CA4917"/>
    <w:rsid w:val="00CA49D1"/>
    <w:rsid w:val="00CA4E8F"/>
    <w:rsid w:val="00CA4EA0"/>
    <w:rsid w:val="00CA5051"/>
    <w:rsid w:val="00CA5C1D"/>
    <w:rsid w:val="00CA5EF1"/>
    <w:rsid w:val="00CA5F26"/>
    <w:rsid w:val="00CA619E"/>
    <w:rsid w:val="00CA673F"/>
    <w:rsid w:val="00CA6AD4"/>
    <w:rsid w:val="00CA6C41"/>
    <w:rsid w:val="00CA6CCF"/>
    <w:rsid w:val="00CA733D"/>
    <w:rsid w:val="00CA78B3"/>
    <w:rsid w:val="00CA7AA7"/>
    <w:rsid w:val="00CA7B09"/>
    <w:rsid w:val="00CA7C71"/>
    <w:rsid w:val="00CA7D29"/>
    <w:rsid w:val="00CB04D4"/>
    <w:rsid w:val="00CB05CB"/>
    <w:rsid w:val="00CB07EA"/>
    <w:rsid w:val="00CB08C0"/>
    <w:rsid w:val="00CB0D1E"/>
    <w:rsid w:val="00CB112C"/>
    <w:rsid w:val="00CB142B"/>
    <w:rsid w:val="00CB1ABA"/>
    <w:rsid w:val="00CB20C4"/>
    <w:rsid w:val="00CB221D"/>
    <w:rsid w:val="00CB238D"/>
    <w:rsid w:val="00CB2A1E"/>
    <w:rsid w:val="00CB2C60"/>
    <w:rsid w:val="00CB2D60"/>
    <w:rsid w:val="00CB315A"/>
    <w:rsid w:val="00CB338D"/>
    <w:rsid w:val="00CB33B4"/>
    <w:rsid w:val="00CB3C57"/>
    <w:rsid w:val="00CB412C"/>
    <w:rsid w:val="00CB415C"/>
    <w:rsid w:val="00CB49FD"/>
    <w:rsid w:val="00CB5012"/>
    <w:rsid w:val="00CB539C"/>
    <w:rsid w:val="00CB54A8"/>
    <w:rsid w:val="00CB5559"/>
    <w:rsid w:val="00CB5615"/>
    <w:rsid w:val="00CB5EE3"/>
    <w:rsid w:val="00CB5EE4"/>
    <w:rsid w:val="00CB61A2"/>
    <w:rsid w:val="00CB6679"/>
    <w:rsid w:val="00CB6E9D"/>
    <w:rsid w:val="00CB7218"/>
    <w:rsid w:val="00CB72D2"/>
    <w:rsid w:val="00CB7730"/>
    <w:rsid w:val="00CB77FB"/>
    <w:rsid w:val="00CB7A64"/>
    <w:rsid w:val="00CB7C51"/>
    <w:rsid w:val="00CB7E61"/>
    <w:rsid w:val="00CB7FB3"/>
    <w:rsid w:val="00CC0238"/>
    <w:rsid w:val="00CC0BC5"/>
    <w:rsid w:val="00CC169B"/>
    <w:rsid w:val="00CC16B1"/>
    <w:rsid w:val="00CC1B36"/>
    <w:rsid w:val="00CC1C81"/>
    <w:rsid w:val="00CC22F1"/>
    <w:rsid w:val="00CC2A76"/>
    <w:rsid w:val="00CC2CC1"/>
    <w:rsid w:val="00CC2D70"/>
    <w:rsid w:val="00CC30EE"/>
    <w:rsid w:val="00CC3157"/>
    <w:rsid w:val="00CC3357"/>
    <w:rsid w:val="00CC359D"/>
    <w:rsid w:val="00CC3855"/>
    <w:rsid w:val="00CC3CC8"/>
    <w:rsid w:val="00CC40F8"/>
    <w:rsid w:val="00CC4374"/>
    <w:rsid w:val="00CC4436"/>
    <w:rsid w:val="00CC4867"/>
    <w:rsid w:val="00CC4DAB"/>
    <w:rsid w:val="00CC4E2F"/>
    <w:rsid w:val="00CC56E0"/>
    <w:rsid w:val="00CC572D"/>
    <w:rsid w:val="00CC5758"/>
    <w:rsid w:val="00CC5B72"/>
    <w:rsid w:val="00CC5E0E"/>
    <w:rsid w:val="00CC604C"/>
    <w:rsid w:val="00CC62BD"/>
    <w:rsid w:val="00CC64BE"/>
    <w:rsid w:val="00CC6606"/>
    <w:rsid w:val="00CC6625"/>
    <w:rsid w:val="00CC6777"/>
    <w:rsid w:val="00CC6C4D"/>
    <w:rsid w:val="00CC6F98"/>
    <w:rsid w:val="00CC79C5"/>
    <w:rsid w:val="00CD005C"/>
    <w:rsid w:val="00CD025C"/>
    <w:rsid w:val="00CD1595"/>
    <w:rsid w:val="00CD1719"/>
    <w:rsid w:val="00CD17FD"/>
    <w:rsid w:val="00CD1B16"/>
    <w:rsid w:val="00CD1BC4"/>
    <w:rsid w:val="00CD1D5C"/>
    <w:rsid w:val="00CD1E50"/>
    <w:rsid w:val="00CD1E56"/>
    <w:rsid w:val="00CD224D"/>
    <w:rsid w:val="00CD2608"/>
    <w:rsid w:val="00CD2AAD"/>
    <w:rsid w:val="00CD2D5D"/>
    <w:rsid w:val="00CD3001"/>
    <w:rsid w:val="00CD32A2"/>
    <w:rsid w:val="00CD3C34"/>
    <w:rsid w:val="00CD3C4E"/>
    <w:rsid w:val="00CD4918"/>
    <w:rsid w:val="00CD4AD2"/>
    <w:rsid w:val="00CD5580"/>
    <w:rsid w:val="00CD5BC6"/>
    <w:rsid w:val="00CD5D01"/>
    <w:rsid w:val="00CD6333"/>
    <w:rsid w:val="00CD666C"/>
    <w:rsid w:val="00CD67A8"/>
    <w:rsid w:val="00CD69BB"/>
    <w:rsid w:val="00CD720F"/>
    <w:rsid w:val="00CD762C"/>
    <w:rsid w:val="00CD77EA"/>
    <w:rsid w:val="00CE0135"/>
    <w:rsid w:val="00CE08D2"/>
    <w:rsid w:val="00CE0A79"/>
    <w:rsid w:val="00CE0BFA"/>
    <w:rsid w:val="00CE0E96"/>
    <w:rsid w:val="00CE0EC6"/>
    <w:rsid w:val="00CE1110"/>
    <w:rsid w:val="00CE111A"/>
    <w:rsid w:val="00CE1325"/>
    <w:rsid w:val="00CE13E9"/>
    <w:rsid w:val="00CE1481"/>
    <w:rsid w:val="00CE192E"/>
    <w:rsid w:val="00CE19F6"/>
    <w:rsid w:val="00CE1D55"/>
    <w:rsid w:val="00CE1F2D"/>
    <w:rsid w:val="00CE2227"/>
    <w:rsid w:val="00CE2F09"/>
    <w:rsid w:val="00CE362E"/>
    <w:rsid w:val="00CE3908"/>
    <w:rsid w:val="00CE3982"/>
    <w:rsid w:val="00CE3B26"/>
    <w:rsid w:val="00CE3B31"/>
    <w:rsid w:val="00CE3D4F"/>
    <w:rsid w:val="00CE3EF2"/>
    <w:rsid w:val="00CE431B"/>
    <w:rsid w:val="00CE4FC0"/>
    <w:rsid w:val="00CE53AF"/>
    <w:rsid w:val="00CE5A96"/>
    <w:rsid w:val="00CE5AE3"/>
    <w:rsid w:val="00CE5CB6"/>
    <w:rsid w:val="00CE5FA1"/>
    <w:rsid w:val="00CE604C"/>
    <w:rsid w:val="00CE6705"/>
    <w:rsid w:val="00CE6A94"/>
    <w:rsid w:val="00CE6E45"/>
    <w:rsid w:val="00CE6F1C"/>
    <w:rsid w:val="00CE72C9"/>
    <w:rsid w:val="00CE7AA2"/>
    <w:rsid w:val="00CF01D6"/>
    <w:rsid w:val="00CF02BB"/>
    <w:rsid w:val="00CF09CC"/>
    <w:rsid w:val="00CF0BBD"/>
    <w:rsid w:val="00CF0EB2"/>
    <w:rsid w:val="00CF10E2"/>
    <w:rsid w:val="00CF1445"/>
    <w:rsid w:val="00CF1509"/>
    <w:rsid w:val="00CF1523"/>
    <w:rsid w:val="00CF23E4"/>
    <w:rsid w:val="00CF2AAF"/>
    <w:rsid w:val="00CF2B8B"/>
    <w:rsid w:val="00CF2DAF"/>
    <w:rsid w:val="00CF2E28"/>
    <w:rsid w:val="00CF2F9C"/>
    <w:rsid w:val="00CF3615"/>
    <w:rsid w:val="00CF39B8"/>
    <w:rsid w:val="00CF3B8C"/>
    <w:rsid w:val="00CF3E97"/>
    <w:rsid w:val="00CF4186"/>
    <w:rsid w:val="00CF451E"/>
    <w:rsid w:val="00CF455D"/>
    <w:rsid w:val="00CF45F9"/>
    <w:rsid w:val="00CF47C7"/>
    <w:rsid w:val="00CF4FF3"/>
    <w:rsid w:val="00CF5627"/>
    <w:rsid w:val="00CF598B"/>
    <w:rsid w:val="00CF5AE3"/>
    <w:rsid w:val="00CF5B9F"/>
    <w:rsid w:val="00CF5BB2"/>
    <w:rsid w:val="00CF5DA0"/>
    <w:rsid w:val="00CF5DE9"/>
    <w:rsid w:val="00CF613F"/>
    <w:rsid w:val="00CF665F"/>
    <w:rsid w:val="00CF6B5E"/>
    <w:rsid w:val="00CF6E7D"/>
    <w:rsid w:val="00CF7004"/>
    <w:rsid w:val="00CF782C"/>
    <w:rsid w:val="00CF7C85"/>
    <w:rsid w:val="00CF7DAA"/>
    <w:rsid w:val="00D00384"/>
    <w:rsid w:val="00D005C8"/>
    <w:rsid w:val="00D00B15"/>
    <w:rsid w:val="00D01190"/>
    <w:rsid w:val="00D0127A"/>
    <w:rsid w:val="00D013AB"/>
    <w:rsid w:val="00D013C9"/>
    <w:rsid w:val="00D01923"/>
    <w:rsid w:val="00D02154"/>
    <w:rsid w:val="00D02207"/>
    <w:rsid w:val="00D0228E"/>
    <w:rsid w:val="00D023A7"/>
    <w:rsid w:val="00D0261B"/>
    <w:rsid w:val="00D02D1C"/>
    <w:rsid w:val="00D03416"/>
    <w:rsid w:val="00D03587"/>
    <w:rsid w:val="00D037A9"/>
    <w:rsid w:val="00D03881"/>
    <w:rsid w:val="00D0448A"/>
    <w:rsid w:val="00D046B6"/>
    <w:rsid w:val="00D049D4"/>
    <w:rsid w:val="00D05854"/>
    <w:rsid w:val="00D0590A"/>
    <w:rsid w:val="00D05A3C"/>
    <w:rsid w:val="00D05C0B"/>
    <w:rsid w:val="00D05D48"/>
    <w:rsid w:val="00D05D92"/>
    <w:rsid w:val="00D068ED"/>
    <w:rsid w:val="00D06E4B"/>
    <w:rsid w:val="00D073DE"/>
    <w:rsid w:val="00D07B91"/>
    <w:rsid w:val="00D07BA8"/>
    <w:rsid w:val="00D102C4"/>
    <w:rsid w:val="00D10CDA"/>
    <w:rsid w:val="00D10CF6"/>
    <w:rsid w:val="00D10F52"/>
    <w:rsid w:val="00D10F78"/>
    <w:rsid w:val="00D113B9"/>
    <w:rsid w:val="00D117B5"/>
    <w:rsid w:val="00D1192F"/>
    <w:rsid w:val="00D11C9D"/>
    <w:rsid w:val="00D12033"/>
    <w:rsid w:val="00D122B1"/>
    <w:rsid w:val="00D12908"/>
    <w:rsid w:val="00D12C9A"/>
    <w:rsid w:val="00D13053"/>
    <w:rsid w:val="00D13E0A"/>
    <w:rsid w:val="00D13E14"/>
    <w:rsid w:val="00D141E8"/>
    <w:rsid w:val="00D1451F"/>
    <w:rsid w:val="00D1454A"/>
    <w:rsid w:val="00D14908"/>
    <w:rsid w:val="00D1492E"/>
    <w:rsid w:val="00D14C79"/>
    <w:rsid w:val="00D14C91"/>
    <w:rsid w:val="00D14CD7"/>
    <w:rsid w:val="00D14DD0"/>
    <w:rsid w:val="00D15299"/>
    <w:rsid w:val="00D15872"/>
    <w:rsid w:val="00D158D6"/>
    <w:rsid w:val="00D15DA7"/>
    <w:rsid w:val="00D1613D"/>
    <w:rsid w:val="00D16636"/>
    <w:rsid w:val="00D16831"/>
    <w:rsid w:val="00D1687C"/>
    <w:rsid w:val="00D1689A"/>
    <w:rsid w:val="00D16B49"/>
    <w:rsid w:val="00D176A6"/>
    <w:rsid w:val="00D176ED"/>
    <w:rsid w:val="00D17A9A"/>
    <w:rsid w:val="00D20163"/>
    <w:rsid w:val="00D20948"/>
    <w:rsid w:val="00D20AD3"/>
    <w:rsid w:val="00D20B15"/>
    <w:rsid w:val="00D20EFC"/>
    <w:rsid w:val="00D21096"/>
    <w:rsid w:val="00D2127C"/>
    <w:rsid w:val="00D2194E"/>
    <w:rsid w:val="00D2195A"/>
    <w:rsid w:val="00D21DBD"/>
    <w:rsid w:val="00D21ECE"/>
    <w:rsid w:val="00D21F08"/>
    <w:rsid w:val="00D220C0"/>
    <w:rsid w:val="00D22510"/>
    <w:rsid w:val="00D2279F"/>
    <w:rsid w:val="00D2294F"/>
    <w:rsid w:val="00D22A78"/>
    <w:rsid w:val="00D23096"/>
    <w:rsid w:val="00D23703"/>
    <w:rsid w:val="00D238D2"/>
    <w:rsid w:val="00D23BF6"/>
    <w:rsid w:val="00D23C8A"/>
    <w:rsid w:val="00D23FF4"/>
    <w:rsid w:val="00D24236"/>
    <w:rsid w:val="00D250E0"/>
    <w:rsid w:val="00D25263"/>
    <w:rsid w:val="00D25814"/>
    <w:rsid w:val="00D25DD2"/>
    <w:rsid w:val="00D26021"/>
    <w:rsid w:val="00D260A3"/>
    <w:rsid w:val="00D2628A"/>
    <w:rsid w:val="00D26320"/>
    <w:rsid w:val="00D263D9"/>
    <w:rsid w:val="00D26490"/>
    <w:rsid w:val="00D26522"/>
    <w:rsid w:val="00D26911"/>
    <w:rsid w:val="00D26AB7"/>
    <w:rsid w:val="00D26D00"/>
    <w:rsid w:val="00D26E29"/>
    <w:rsid w:val="00D26EAF"/>
    <w:rsid w:val="00D26FA5"/>
    <w:rsid w:val="00D27366"/>
    <w:rsid w:val="00D27590"/>
    <w:rsid w:val="00D2760C"/>
    <w:rsid w:val="00D278D1"/>
    <w:rsid w:val="00D30059"/>
    <w:rsid w:val="00D3054E"/>
    <w:rsid w:val="00D306F0"/>
    <w:rsid w:val="00D30DCC"/>
    <w:rsid w:val="00D30F15"/>
    <w:rsid w:val="00D310B5"/>
    <w:rsid w:val="00D31110"/>
    <w:rsid w:val="00D3220E"/>
    <w:rsid w:val="00D32245"/>
    <w:rsid w:val="00D3257C"/>
    <w:rsid w:val="00D3293A"/>
    <w:rsid w:val="00D32BFE"/>
    <w:rsid w:val="00D32D70"/>
    <w:rsid w:val="00D32DA8"/>
    <w:rsid w:val="00D33347"/>
    <w:rsid w:val="00D333F6"/>
    <w:rsid w:val="00D33802"/>
    <w:rsid w:val="00D3440C"/>
    <w:rsid w:val="00D34828"/>
    <w:rsid w:val="00D34BEE"/>
    <w:rsid w:val="00D35364"/>
    <w:rsid w:val="00D35759"/>
    <w:rsid w:val="00D35E35"/>
    <w:rsid w:val="00D35F9A"/>
    <w:rsid w:val="00D361FF"/>
    <w:rsid w:val="00D36A02"/>
    <w:rsid w:val="00D36CBF"/>
    <w:rsid w:val="00D37221"/>
    <w:rsid w:val="00D372BF"/>
    <w:rsid w:val="00D37458"/>
    <w:rsid w:val="00D37866"/>
    <w:rsid w:val="00D37B94"/>
    <w:rsid w:val="00D37D37"/>
    <w:rsid w:val="00D4002B"/>
    <w:rsid w:val="00D402FF"/>
    <w:rsid w:val="00D403E2"/>
    <w:rsid w:val="00D40507"/>
    <w:rsid w:val="00D40572"/>
    <w:rsid w:val="00D409A5"/>
    <w:rsid w:val="00D40B4E"/>
    <w:rsid w:val="00D4138B"/>
    <w:rsid w:val="00D4197F"/>
    <w:rsid w:val="00D41E0D"/>
    <w:rsid w:val="00D4209F"/>
    <w:rsid w:val="00D42268"/>
    <w:rsid w:val="00D422C2"/>
    <w:rsid w:val="00D42305"/>
    <w:rsid w:val="00D4272B"/>
    <w:rsid w:val="00D42CA3"/>
    <w:rsid w:val="00D4325A"/>
    <w:rsid w:val="00D433B1"/>
    <w:rsid w:val="00D43444"/>
    <w:rsid w:val="00D44534"/>
    <w:rsid w:val="00D44552"/>
    <w:rsid w:val="00D446CC"/>
    <w:rsid w:val="00D448F5"/>
    <w:rsid w:val="00D449A8"/>
    <w:rsid w:val="00D44F59"/>
    <w:rsid w:val="00D44F8D"/>
    <w:rsid w:val="00D45053"/>
    <w:rsid w:val="00D455F3"/>
    <w:rsid w:val="00D45A4D"/>
    <w:rsid w:val="00D45FE2"/>
    <w:rsid w:val="00D46916"/>
    <w:rsid w:val="00D46D8F"/>
    <w:rsid w:val="00D46E76"/>
    <w:rsid w:val="00D471D8"/>
    <w:rsid w:val="00D471EE"/>
    <w:rsid w:val="00D47910"/>
    <w:rsid w:val="00D47B93"/>
    <w:rsid w:val="00D47F20"/>
    <w:rsid w:val="00D502CF"/>
    <w:rsid w:val="00D504C5"/>
    <w:rsid w:val="00D508AE"/>
    <w:rsid w:val="00D50A42"/>
    <w:rsid w:val="00D50EE5"/>
    <w:rsid w:val="00D51294"/>
    <w:rsid w:val="00D5130E"/>
    <w:rsid w:val="00D515D8"/>
    <w:rsid w:val="00D51960"/>
    <w:rsid w:val="00D51BD6"/>
    <w:rsid w:val="00D51CA8"/>
    <w:rsid w:val="00D524F5"/>
    <w:rsid w:val="00D52620"/>
    <w:rsid w:val="00D5277E"/>
    <w:rsid w:val="00D53504"/>
    <w:rsid w:val="00D54221"/>
    <w:rsid w:val="00D542BB"/>
    <w:rsid w:val="00D54726"/>
    <w:rsid w:val="00D54AD0"/>
    <w:rsid w:val="00D55351"/>
    <w:rsid w:val="00D55B3B"/>
    <w:rsid w:val="00D56104"/>
    <w:rsid w:val="00D565A9"/>
    <w:rsid w:val="00D56987"/>
    <w:rsid w:val="00D56BB7"/>
    <w:rsid w:val="00D57327"/>
    <w:rsid w:val="00D57368"/>
    <w:rsid w:val="00D5737F"/>
    <w:rsid w:val="00D579B2"/>
    <w:rsid w:val="00D57CBF"/>
    <w:rsid w:val="00D57DCA"/>
    <w:rsid w:val="00D57E0E"/>
    <w:rsid w:val="00D57F2D"/>
    <w:rsid w:val="00D601F2"/>
    <w:rsid w:val="00D605AA"/>
    <w:rsid w:val="00D610DD"/>
    <w:rsid w:val="00D629E7"/>
    <w:rsid w:val="00D62B16"/>
    <w:rsid w:val="00D62FD4"/>
    <w:rsid w:val="00D63297"/>
    <w:rsid w:val="00D632BD"/>
    <w:rsid w:val="00D63582"/>
    <w:rsid w:val="00D63609"/>
    <w:rsid w:val="00D6360F"/>
    <w:rsid w:val="00D63743"/>
    <w:rsid w:val="00D6379F"/>
    <w:rsid w:val="00D63A86"/>
    <w:rsid w:val="00D63F1D"/>
    <w:rsid w:val="00D64F46"/>
    <w:rsid w:val="00D6530C"/>
    <w:rsid w:val="00D6530F"/>
    <w:rsid w:val="00D65753"/>
    <w:rsid w:val="00D6638E"/>
    <w:rsid w:val="00D66701"/>
    <w:rsid w:val="00D6672D"/>
    <w:rsid w:val="00D66DDA"/>
    <w:rsid w:val="00D66E36"/>
    <w:rsid w:val="00D67198"/>
    <w:rsid w:val="00D6745E"/>
    <w:rsid w:val="00D6759A"/>
    <w:rsid w:val="00D677EE"/>
    <w:rsid w:val="00D67910"/>
    <w:rsid w:val="00D67ED2"/>
    <w:rsid w:val="00D70407"/>
    <w:rsid w:val="00D70417"/>
    <w:rsid w:val="00D7123A"/>
    <w:rsid w:val="00D712BA"/>
    <w:rsid w:val="00D712CD"/>
    <w:rsid w:val="00D715F3"/>
    <w:rsid w:val="00D7181A"/>
    <w:rsid w:val="00D71C3E"/>
    <w:rsid w:val="00D71DBD"/>
    <w:rsid w:val="00D721FF"/>
    <w:rsid w:val="00D7230F"/>
    <w:rsid w:val="00D72320"/>
    <w:rsid w:val="00D724D0"/>
    <w:rsid w:val="00D72636"/>
    <w:rsid w:val="00D72A29"/>
    <w:rsid w:val="00D72B28"/>
    <w:rsid w:val="00D72F67"/>
    <w:rsid w:val="00D73043"/>
    <w:rsid w:val="00D730B0"/>
    <w:rsid w:val="00D738F3"/>
    <w:rsid w:val="00D742C2"/>
    <w:rsid w:val="00D74481"/>
    <w:rsid w:val="00D74BF7"/>
    <w:rsid w:val="00D74C2B"/>
    <w:rsid w:val="00D753D4"/>
    <w:rsid w:val="00D753FB"/>
    <w:rsid w:val="00D754A9"/>
    <w:rsid w:val="00D758FD"/>
    <w:rsid w:val="00D764A2"/>
    <w:rsid w:val="00D7674D"/>
    <w:rsid w:val="00D76F5D"/>
    <w:rsid w:val="00D770D1"/>
    <w:rsid w:val="00D773A9"/>
    <w:rsid w:val="00D77802"/>
    <w:rsid w:val="00D80060"/>
    <w:rsid w:val="00D80717"/>
    <w:rsid w:val="00D807A1"/>
    <w:rsid w:val="00D81381"/>
    <w:rsid w:val="00D81574"/>
    <w:rsid w:val="00D81762"/>
    <w:rsid w:val="00D81C7D"/>
    <w:rsid w:val="00D81CCE"/>
    <w:rsid w:val="00D81D69"/>
    <w:rsid w:val="00D81D78"/>
    <w:rsid w:val="00D82020"/>
    <w:rsid w:val="00D8258D"/>
    <w:rsid w:val="00D828DC"/>
    <w:rsid w:val="00D82A78"/>
    <w:rsid w:val="00D82A90"/>
    <w:rsid w:val="00D82C36"/>
    <w:rsid w:val="00D8312A"/>
    <w:rsid w:val="00D8364B"/>
    <w:rsid w:val="00D8399B"/>
    <w:rsid w:val="00D83A33"/>
    <w:rsid w:val="00D83BAA"/>
    <w:rsid w:val="00D83D9B"/>
    <w:rsid w:val="00D83DD9"/>
    <w:rsid w:val="00D84163"/>
    <w:rsid w:val="00D84717"/>
    <w:rsid w:val="00D84CDC"/>
    <w:rsid w:val="00D85069"/>
    <w:rsid w:val="00D85695"/>
    <w:rsid w:val="00D85841"/>
    <w:rsid w:val="00D85978"/>
    <w:rsid w:val="00D85A39"/>
    <w:rsid w:val="00D8633D"/>
    <w:rsid w:val="00D863AE"/>
    <w:rsid w:val="00D8659D"/>
    <w:rsid w:val="00D867AC"/>
    <w:rsid w:val="00D86853"/>
    <w:rsid w:val="00D86EED"/>
    <w:rsid w:val="00D87338"/>
    <w:rsid w:val="00D874DA"/>
    <w:rsid w:val="00D877C5"/>
    <w:rsid w:val="00D877E5"/>
    <w:rsid w:val="00D8784C"/>
    <w:rsid w:val="00D87CD7"/>
    <w:rsid w:val="00D87D91"/>
    <w:rsid w:val="00D87E69"/>
    <w:rsid w:val="00D87F66"/>
    <w:rsid w:val="00D909BC"/>
    <w:rsid w:val="00D90A1C"/>
    <w:rsid w:val="00D90D09"/>
    <w:rsid w:val="00D90EE8"/>
    <w:rsid w:val="00D9165C"/>
    <w:rsid w:val="00D92441"/>
    <w:rsid w:val="00D9338E"/>
    <w:rsid w:val="00D93567"/>
    <w:rsid w:val="00D935C3"/>
    <w:rsid w:val="00D94147"/>
    <w:rsid w:val="00D943C4"/>
    <w:rsid w:val="00D9485B"/>
    <w:rsid w:val="00D94F13"/>
    <w:rsid w:val="00D952AA"/>
    <w:rsid w:val="00D95AB1"/>
    <w:rsid w:val="00D95EDF"/>
    <w:rsid w:val="00D96AF5"/>
    <w:rsid w:val="00D96E00"/>
    <w:rsid w:val="00D96E55"/>
    <w:rsid w:val="00D96EA2"/>
    <w:rsid w:val="00D97367"/>
    <w:rsid w:val="00D97C87"/>
    <w:rsid w:val="00D97CA8"/>
    <w:rsid w:val="00D97E98"/>
    <w:rsid w:val="00DA04CF"/>
    <w:rsid w:val="00DA0669"/>
    <w:rsid w:val="00DA0B56"/>
    <w:rsid w:val="00DA0C78"/>
    <w:rsid w:val="00DA0DB5"/>
    <w:rsid w:val="00DA0E82"/>
    <w:rsid w:val="00DA1015"/>
    <w:rsid w:val="00DA13AD"/>
    <w:rsid w:val="00DA1648"/>
    <w:rsid w:val="00DA1838"/>
    <w:rsid w:val="00DA1B88"/>
    <w:rsid w:val="00DA1FA7"/>
    <w:rsid w:val="00DA26A3"/>
    <w:rsid w:val="00DA27C4"/>
    <w:rsid w:val="00DA280D"/>
    <w:rsid w:val="00DA29A8"/>
    <w:rsid w:val="00DA3081"/>
    <w:rsid w:val="00DA324C"/>
    <w:rsid w:val="00DA3779"/>
    <w:rsid w:val="00DA3A83"/>
    <w:rsid w:val="00DA3AC0"/>
    <w:rsid w:val="00DA4194"/>
    <w:rsid w:val="00DA41E8"/>
    <w:rsid w:val="00DA49D2"/>
    <w:rsid w:val="00DA4A12"/>
    <w:rsid w:val="00DA4EBA"/>
    <w:rsid w:val="00DA5192"/>
    <w:rsid w:val="00DA52C4"/>
    <w:rsid w:val="00DA5547"/>
    <w:rsid w:val="00DA5A9F"/>
    <w:rsid w:val="00DA5BD5"/>
    <w:rsid w:val="00DA6125"/>
    <w:rsid w:val="00DA618C"/>
    <w:rsid w:val="00DA6854"/>
    <w:rsid w:val="00DA6A81"/>
    <w:rsid w:val="00DA6D0A"/>
    <w:rsid w:val="00DA7233"/>
    <w:rsid w:val="00DA7406"/>
    <w:rsid w:val="00DA7578"/>
    <w:rsid w:val="00DA76DC"/>
    <w:rsid w:val="00DB0014"/>
    <w:rsid w:val="00DB0280"/>
    <w:rsid w:val="00DB045C"/>
    <w:rsid w:val="00DB0715"/>
    <w:rsid w:val="00DB0927"/>
    <w:rsid w:val="00DB0B36"/>
    <w:rsid w:val="00DB0B9A"/>
    <w:rsid w:val="00DB2012"/>
    <w:rsid w:val="00DB219F"/>
    <w:rsid w:val="00DB266C"/>
    <w:rsid w:val="00DB27E9"/>
    <w:rsid w:val="00DB305B"/>
    <w:rsid w:val="00DB3136"/>
    <w:rsid w:val="00DB31D5"/>
    <w:rsid w:val="00DB32C2"/>
    <w:rsid w:val="00DB3300"/>
    <w:rsid w:val="00DB36A9"/>
    <w:rsid w:val="00DB3D51"/>
    <w:rsid w:val="00DB40F4"/>
    <w:rsid w:val="00DB47A3"/>
    <w:rsid w:val="00DB4D2C"/>
    <w:rsid w:val="00DB5112"/>
    <w:rsid w:val="00DB571D"/>
    <w:rsid w:val="00DB5853"/>
    <w:rsid w:val="00DB628D"/>
    <w:rsid w:val="00DB64EF"/>
    <w:rsid w:val="00DB6893"/>
    <w:rsid w:val="00DB6D4B"/>
    <w:rsid w:val="00DB71B7"/>
    <w:rsid w:val="00DB7ED6"/>
    <w:rsid w:val="00DB7F57"/>
    <w:rsid w:val="00DC01F4"/>
    <w:rsid w:val="00DC0A31"/>
    <w:rsid w:val="00DC0AE3"/>
    <w:rsid w:val="00DC1559"/>
    <w:rsid w:val="00DC1757"/>
    <w:rsid w:val="00DC1D00"/>
    <w:rsid w:val="00DC2340"/>
    <w:rsid w:val="00DC2AF9"/>
    <w:rsid w:val="00DC2B94"/>
    <w:rsid w:val="00DC2E43"/>
    <w:rsid w:val="00DC3633"/>
    <w:rsid w:val="00DC3812"/>
    <w:rsid w:val="00DC3CBF"/>
    <w:rsid w:val="00DC4594"/>
    <w:rsid w:val="00DC4D00"/>
    <w:rsid w:val="00DC5B46"/>
    <w:rsid w:val="00DC5CE1"/>
    <w:rsid w:val="00DC5FE7"/>
    <w:rsid w:val="00DC6D1E"/>
    <w:rsid w:val="00DC7003"/>
    <w:rsid w:val="00DC718E"/>
    <w:rsid w:val="00DC758D"/>
    <w:rsid w:val="00DC75E6"/>
    <w:rsid w:val="00DC764C"/>
    <w:rsid w:val="00DC7CF2"/>
    <w:rsid w:val="00DD0775"/>
    <w:rsid w:val="00DD0C49"/>
    <w:rsid w:val="00DD0CDB"/>
    <w:rsid w:val="00DD0EC5"/>
    <w:rsid w:val="00DD1294"/>
    <w:rsid w:val="00DD1305"/>
    <w:rsid w:val="00DD1607"/>
    <w:rsid w:val="00DD1844"/>
    <w:rsid w:val="00DD2442"/>
    <w:rsid w:val="00DD2693"/>
    <w:rsid w:val="00DD2C66"/>
    <w:rsid w:val="00DD348D"/>
    <w:rsid w:val="00DD34AC"/>
    <w:rsid w:val="00DD376C"/>
    <w:rsid w:val="00DD382E"/>
    <w:rsid w:val="00DD3959"/>
    <w:rsid w:val="00DD3F0D"/>
    <w:rsid w:val="00DD3FE3"/>
    <w:rsid w:val="00DD4710"/>
    <w:rsid w:val="00DD49D3"/>
    <w:rsid w:val="00DD4B98"/>
    <w:rsid w:val="00DD51BF"/>
    <w:rsid w:val="00DD5726"/>
    <w:rsid w:val="00DD57BB"/>
    <w:rsid w:val="00DD58C4"/>
    <w:rsid w:val="00DD5DA0"/>
    <w:rsid w:val="00DD60E6"/>
    <w:rsid w:val="00DD635E"/>
    <w:rsid w:val="00DD6746"/>
    <w:rsid w:val="00DD68CE"/>
    <w:rsid w:val="00DD6F1C"/>
    <w:rsid w:val="00DD709C"/>
    <w:rsid w:val="00DD77D4"/>
    <w:rsid w:val="00DD79A5"/>
    <w:rsid w:val="00DD7AF2"/>
    <w:rsid w:val="00DD7B97"/>
    <w:rsid w:val="00DE0158"/>
    <w:rsid w:val="00DE027C"/>
    <w:rsid w:val="00DE039D"/>
    <w:rsid w:val="00DE0576"/>
    <w:rsid w:val="00DE0742"/>
    <w:rsid w:val="00DE078E"/>
    <w:rsid w:val="00DE0A83"/>
    <w:rsid w:val="00DE0C5C"/>
    <w:rsid w:val="00DE0D8F"/>
    <w:rsid w:val="00DE100F"/>
    <w:rsid w:val="00DE151D"/>
    <w:rsid w:val="00DE18F9"/>
    <w:rsid w:val="00DE2075"/>
    <w:rsid w:val="00DE21B9"/>
    <w:rsid w:val="00DE236E"/>
    <w:rsid w:val="00DE2436"/>
    <w:rsid w:val="00DE2A81"/>
    <w:rsid w:val="00DE2BC7"/>
    <w:rsid w:val="00DE2E0A"/>
    <w:rsid w:val="00DE3352"/>
    <w:rsid w:val="00DE346A"/>
    <w:rsid w:val="00DE368F"/>
    <w:rsid w:val="00DE3D81"/>
    <w:rsid w:val="00DE45BB"/>
    <w:rsid w:val="00DE45F7"/>
    <w:rsid w:val="00DE46C8"/>
    <w:rsid w:val="00DE47F2"/>
    <w:rsid w:val="00DE4CE3"/>
    <w:rsid w:val="00DE4F32"/>
    <w:rsid w:val="00DE5300"/>
    <w:rsid w:val="00DE5318"/>
    <w:rsid w:val="00DE5355"/>
    <w:rsid w:val="00DE55B1"/>
    <w:rsid w:val="00DE57AF"/>
    <w:rsid w:val="00DE5D69"/>
    <w:rsid w:val="00DE609B"/>
    <w:rsid w:val="00DE6636"/>
    <w:rsid w:val="00DE6718"/>
    <w:rsid w:val="00DE6CE1"/>
    <w:rsid w:val="00DE7A8B"/>
    <w:rsid w:val="00DE7AA6"/>
    <w:rsid w:val="00DF0198"/>
    <w:rsid w:val="00DF0C07"/>
    <w:rsid w:val="00DF0E64"/>
    <w:rsid w:val="00DF10F4"/>
    <w:rsid w:val="00DF1279"/>
    <w:rsid w:val="00DF165B"/>
    <w:rsid w:val="00DF1D8F"/>
    <w:rsid w:val="00DF28B0"/>
    <w:rsid w:val="00DF30AE"/>
    <w:rsid w:val="00DF321C"/>
    <w:rsid w:val="00DF3984"/>
    <w:rsid w:val="00DF405D"/>
    <w:rsid w:val="00DF4A00"/>
    <w:rsid w:val="00DF4B1D"/>
    <w:rsid w:val="00DF4BF3"/>
    <w:rsid w:val="00DF4D78"/>
    <w:rsid w:val="00DF5C12"/>
    <w:rsid w:val="00DF6469"/>
    <w:rsid w:val="00DF660E"/>
    <w:rsid w:val="00DF6970"/>
    <w:rsid w:val="00DF6FD0"/>
    <w:rsid w:val="00DF73C1"/>
    <w:rsid w:val="00DF764B"/>
    <w:rsid w:val="00DF77F6"/>
    <w:rsid w:val="00DF7EA2"/>
    <w:rsid w:val="00E00099"/>
    <w:rsid w:val="00E002CC"/>
    <w:rsid w:val="00E003A5"/>
    <w:rsid w:val="00E00488"/>
    <w:rsid w:val="00E00DDE"/>
    <w:rsid w:val="00E01444"/>
    <w:rsid w:val="00E015AF"/>
    <w:rsid w:val="00E01948"/>
    <w:rsid w:val="00E01D25"/>
    <w:rsid w:val="00E02161"/>
    <w:rsid w:val="00E024E6"/>
    <w:rsid w:val="00E029B6"/>
    <w:rsid w:val="00E02B9D"/>
    <w:rsid w:val="00E0338D"/>
    <w:rsid w:val="00E0371B"/>
    <w:rsid w:val="00E038B5"/>
    <w:rsid w:val="00E04164"/>
    <w:rsid w:val="00E041C7"/>
    <w:rsid w:val="00E045BF"/>
    <w:rsid w:val="00E0511C"/>
    <w:rsid w:val="00E052FD"/>
    <w:rsid w:val="00E05A26"/>
    <w:rsid w:val="00E05A5D"/>
    <w:rsid w:val="00E05C87"/>
    <w:rsid w:val="00E05D66"/>
    <w:rsid w:val="00E05EE4"/>
    <w:rsid w:val="00E0624D"/>
    <w:rsid w:val="00E065DB"/>
    <w:rsid w:val="00E07416"/>
    <w:rsid w:val="00E07CAA"/>
    <w:rsid w:val="00E07F1A"/>
    <w:rsid w:val="00E07F68"/>
    <w:rsid w:val="00E101CF"/>
    <w:rsid w:val="00E105AE"/>
    <w:rsid w:val="00E10A2F"/>
    <w:rsid w:val="00E10A9B"/>
    <w:rsid w:val="00E1125A"/>
    <w:rsid w:val="00E114DE"/>
    <w:rsid w:val="00E1181C"/>
    <w:rsid w:val="00E11CB8"/>
    <w:rsid w:val="00E11FB6"/>
    <w:rsid w:val="00E12166"/>
    <w:rsid w:val="00E12429"/>
    <w:rsid w:val="00E1263D"/>
    <w:rsid w:val="00E1298B"/>
    <w:rsid w:val="00E12CD8"/>
    <w:rsid w:val="00E12D54"/>
    <w:rsid w:val="00E13223"/>
    <w:rsid w:val="00E13A67"/>
    <w:rsid w:val="00E13CB2"/>
    <w:rsid w:val="00E13CDB"/>
    <w:rsid w:val="00E14512"/>
    <w:rsid w:val="00E146CD"/>
    <w:rsid w:val="00E15266"/>
    <w:rsid w:val="00E152A8"/>
    <w:rsid w:val="00E15456"/>
    <w:rsid w:val="00E155C2"/>
    <w:rsid w:val="00E15830"/>
    <w:rsid w:val="00E1589E"/>
    <w:rsid w:val="00E15938"/>
    <w:rsid w:val="00E159C6"/>
    <w:rsid w:val="00E15B2E"/>
    <w:rsid w:val="00E16433"/>
    <w:rsid w:val="00E169BB"/>
    <w:rsid w:val="00E171BD"/>
    <w:rsid w:val="00E173EB"/>
    <w:rsid w:val="00E17DDD"/>
    <w:rsid w:val="00E17E1B"/>
    <w:rsid w:val="00E17F49"/>
    <w:rsid w:val="00E2005A"/>
    <w:rsid w:val="00E205B8"/>
    <w:rsid w:val="00E208CD"/>
    <w:rsid w:val="00E209C7"/>
    <w:rsid w:val="00E20E55"/>
    <w:rsid w:val="00E21DF7"/>
    <w:rsid w:val="00E21FA4"/>
    <w:rsid w:val="00E21FA5"/>
    <w:rsid w:val="00E220CD"/>
    <w:rsid w:val="00E22334"/>
    <w:rsid w:val="00E227E8"/>
    <w:rsid w:val="00E2282A"/>
    <w:rsid w:val="00E22C97"/>
    <w:rsid w:val="00E22FA7"/>
    <w:rsid w:val="00E232A6"/>
    <w:rsid w:val="00E236EA"/>
    <w:rsid w:val="00E23937"/>
    <w:rsid w:val="00E23C7B"/>
    <w:rsid w:val="00E24742"/>
    <w:rsid w:val="00E24F2D"/>
    <w:rsid w:val="00E250F0"/>
    <w:rsid w:val="00E25A18"/>
    <w:rsid w:val="00E25A89"/>
    <w:rsid w:val="00E25D23"/>
    <w:rsid w:val="00E25F79"/>
    <w:rsid w:val="00E25FD3"/>
    <w:rsid w:val="00E26AB1"/>
    <w:rsid w:val="00E26C18"/>
    <w:rsid w:val="00E26CEF"/>
    <w:rsid w:val="00E26D6E"/>
    <w:rsid w:val="00E26F8F"/>
    <w:rsid w:val="00E26FC0"/>
    <w:rsid w:val="00E27467"/>
    <w:rsid w:val="00E275CF"/>
    <w:rsid w:val="00E27AB1"/>
    <w:rsid w:val="00E27B4F"/>
    <w:rsid w:val="00E27DAF"/>
    <w:rsid w:val="00E30C73"/>
    <w:rsid w:val="00E30E5C"/>
    <w:rsid w:val="00E30F5E"/>
    <w:rsid w:val="00E3128C"/>
    <w:rsid w:val="00E3166F"/>
    <w:rsid w:val="00E3179D"/>
    <w:rsid w:val="00E31858"/>
    <w:rsid w:val="00E32754"/>
    <w:rsid w:val="00E32756"/>
    <w:rsid w:val="00E328D0"/>
    <w:rsid w:val="00E32BD7"/>
    <w:rsid w:val="00E32BDB"/>
    <w:rsid w:val="00E32C98"/>
    <w:rsid w:val="00E32CAA"/>
    <w:rsid w:val="00E32D75"/>
    <w:rsid w:val="00E32F60"/>
    <w:rsid w:val="00E32F6E"/>
    <w:rsid w:val="00E3301F"/>
    <w:rsid w:val="00E330E5"/>
    <w:rsid w:val="00E3344D"/>
    <w:rsid w:val="00E336E9"/>
    <w:rsid w:val="00E338DD"/>
    <w:rsid w:val="00E33B54"/>
    <w:rsid w:val="00E34522"/>
    <w:rsid w:val="00E34863"/>
    <w:rsid w:val="00E3486F"/>
    <w:rsid w:val="00E34C99"/>
    <w:rsid w:val="00E34FFA"/>
    <w:rsid w:val="00E35A75"/>
    <w:rsid w:val="00E36229"/>
    <w:rsid w:val="00E364E2"/>
    <w:rsid w:val="00E37048"/>
    <w:rsid w:val="00E373F4"/>
    <w:rsid w:val="00E375D2"/>
    <w:rsid w:val="00E3789E"/>
    <w:rsid w:val="00E37BAB"/>
    <w:rsid w:val="00E37E80"/>
    <w:rsid w:val="00E40025"/>
    <w:rsid w:val="00E40D2A"/>
    <w:rsid w:val="00E40DF8"/>
    <w:rsid w:val="00E41142"/>
    <w:rsid w:val="00E41907"/>
    <w:rsid w:val="00E42127"/>
    <w:rsid w:val="00E424BC"/>
    <w:rsid w:val="00E42673"/>
    <w:rsid w:val="00E42AD8"/>
    <w:rsid w:val="00E42F42"/>
    <w:rsid w:val="00E43589"/>
    <w:rsid w:val="00E438CF"/>
    <w:rsid w:val="00E438EA"/>
    <w:rsid w:val="00E43A11"/>
    <w:rsid w:val="00E43B27"/>
    <w:rsid w:val="00E43E80"/>
    <w:rsid w:val="00E4428B"/>
    <w:rsid w:val="00E442A4"/>
    <w:rsid w:val="00E44861"/>
    <w:rsid w:val="00E44877"/>
    <w:rsid w:val="00E448C4"/>
    <w:rsid w:val="00E449C6"/>
    <w:rsid w:val="00E44F84"/>
    <w:rsid w:val="00E45075"/>
    <w:rsid w:val="00E452EB"/>
    <w:rsid w:val="00E45478"/>
    <w:rsid w:val="00E45539"/>
    <w:rsid w:val="00E458F4"/>
    <w:rsid w:val="00E45AB1"/>
    <w:rsid w:val="00E4604E"/>
    <w:rsid w:val="00E4641F"/>
    <w:rsid w:val="00E4699B"/>
    <w:rsid w:val="00E469F5"/>
    <w:rsid w:val="00E46BCB"/>
    <w:rsid w:val="00E4700F"/>
    <w:rsid w:val="00E4717E"/>
    <w:rsid w:val="00E4792A"/>
    <w:rsid w:val="00E47B1C"/>
    <w:rsid w:val="00E47F82"/>
    <w:rsid w:val="00E50073"/>
    <w:rsid w:val="00E50173"/>
    <w:rsid w:val="00E505F0"/>
    <w:rsid w:val="00E5097F"/>
    <w:rsid w:val="00E50998"/>
    <w:rsid w:val="00E51B78"/>
    <w:rsid w:val="00E5266C"/>
    <w:rsid w:val="00E52890"/>
    <w:rsid w:val="00E52BD5"/>
    <w:rsid w:val="00E52C2C"/>
    <w:rsid w:val="00E52FC9"/>
    <w:rsid w:val="00E53048"/>
    <w:rsid w:val="00E538C2"/>
    <w:rsid w:val="00E53BCF"/>
    <w:rsid w:val="00E53E59"/>
    <w:rsid w:val="00E5413F"/>
    <w:rsid w:val="00E54276"/>
    <w:rsid w:val="00E54A38"/>
    <w:rsid w:val="00E54A4E"/>
    <w:rsid w:val="00E54B27"/>
    <w:rsid w:val="00E54B5D"/>
    <w:rsid w:val="00E55125"/>
    <w:rsid w:val="00E5585F"/>
    <w:rsid w:val="00E5634A"/>
    <w:rsid w:val="00E56476"/>
    <w:rsid w:val="00E564B5"/>
    <w:rsid w:val="00E56774"/>
    <w:rsid w:val="00E56986"/>
    <w:rsid w:val="00E5699D"/>
    <w:rsid w:val="00E569B7"/>
    <w:rsid w:val="00E56D2D"/>
    <w:rsid w:val="00E56D39"/>
    <w:rsid w:val="00E56EA5"/>
    <w:rsid w:val="00E56FBC"/>
    <w:rsid w:val="00E577A0"/>
    <w:rsid w:val="00E57B22"/>
    <w:rsid w:val="00E57C1E"/>
    <w:rsid w:val="00E60425"/>
    <w:rsid w:val="00E60B09"/>
    <w:rsid w:val="00E60BF9"/>
    <w:rsid w:val="00E60E81"/>
    <w:rsid w:val="00E61236"/>
    <w:rsid w:val="00E615D4"/>
    <w:rsid w:val="00E61975"/>
    <w:rsid w:val="00E61DBA"/>
    <w:rsid w:val="00E61E52"/>
    <w:rsid w:val="00E61F81"/>
    <w:rsid w:val="00E620A4"/>
    <w:rsid w:val="00E624C9"/>
    <w:rsid w:val="00E625B4"/>
    <w:rsid w:val="00E62CF8"/>
    <w:rsid w:val="00E63076"/>
    <w:rsid w:val="00E632AA"/>
    <w:rsid w:val="00E63675"/>
    <w:rsid w:val="00E638F2"/>
    <w:rsid w:val="00E63D3D"/>
    <w:rsid w:val="00E63E2F"/>
    <w:rsid w:val="00E63E48"/>
    <w:rsid w:val="00E6403B"/>
    <w:rsid w:val="00E643A5"/>
    <w:rsid w:val="00E643D3"/>
    <w:rsid w:val="00E651AF"/>
    <w:rsid w:val="00E65781"/>
    <w:rsid w:val="00E65DBE"/>
    <w:rsid w:val="00E65ECC"/>
    <w:rsid w:val="00E65FA5"/>
    <w:rsid w:val="00E661B9"/>
    <w:rsid w:val="00E66552"/>
    <w:rsid w:val="00E66BD2"/>
    <w:rsid w:val="00E6741B"/>
    <w:rsid w:val="00E6743F"/>
    <w:rsid w:val="00E67530"/>
    <w:rsid w:val="00E67C92"/>
    <w:rsid w:val="00E70076"/>
    <w:rsid w:val="00E70167"/>
    <w:rsid w:val="00E703C4"/>
    <w:rsid w:val="00E709B8"/>
    <w:rsid w:val="00E70D20"/>
    <w:rsid w:val="00E70D65"/>
    <w:rsid w:val="00E70D72"/>
    <w:rsid w:val="00E7108D"/>
    <w:rsid w:val="00E71C9B"/>
    <w:rsid w:val="00E72465"/>
    <w:rsid w:val="00E72AA6"/>
    <w:rsid w:val="00E72E2D"/>
    <w:rsid w:val="00E732AB"/>
    <w:rsid w:val="00E73A18"/>
    <w:rsid w:val="00E741A4"/>
    <w:rsid w:val="00E74412"/>
    <w:rsid w:val="00E749A5"/>
    <w:rsid w:val="00E74B24"/>
    <w:rsid w:val="00E74B43"/>
    <w:rsid w:val="00E74B4E"/>
    <w:rsid w:val="00E74CD3"/>
    <w:rsid w:val="00E74F7F"/>
    <w:rsid w:val="00E74F88"/>
    <w:rsid w:val="00E75206"/>
    <w:rsid w:val="00E75775"/>
    <w:rsid w:val="00E75D9E"/>
    <w:rsid w:val="00E75F76"/>
    <w:rsid w:val="00E75FC3"/>
    <w:rsid w:val="00E7625E"/>
    <w:rsid w:val="00E762A8"/>
    <w:rsid w:val="00E7639E"/>
    <w:rsid w:val="00E764A7"/>
    <w:rsid w:val="00E767BE"/>
    <w:rsid w:val="00E76AD8"/>
    <w:rsid w:val="00E776AC"/>
    <w:rsid w:val="00E77B57"/>
    <w:rsid w:val="00E802AD"/>
    <w:rsid w:val="00E80627"/>
    <w:rsid w:val="00E80A11"/>
    <w:rsid w:val="00E80C35"/>
    <w:rsid w:val="00E81D4F"/>
    <w:rsid w:val="00E820D8"/>
    <w:rsid w:val="00E8212E"/>
    <w:rsid w:val="00E82416"/>
    <w:rsid w:val="00E824A0"/>
    <w:rsid w:val="00E8262B"/>
    <w:rsid w:val="00E8263F"/>
    <w:rsid w:val="00E82649"/>
    <w:rsid w:val="00E82FCA"/>
    <w:rsid w:val="00E831C5"/>
    <w:rsid w:val="00E834B1"/>
    <w:rsid w:val="00E838B8"/>
    <w:rsid w:val="00E83A72"/>
    <w:rsid w:val="00E83D79"/>
    <w:rsid w:val="00E843AF"/>
    <w:rsid w:val="00E84651"/>
    <w:rsid w:val="00E84657"/>
    <w:rsid w:val="00E84881"/>
    <w:rsid w:val="00E84886"/>
    <w:rsid w:val="00E84ABD"/>
    <w:rsid w:val="00E84E06"/>
    <w:rsid w:val="00E851BA"/>
    <w:rsid w:val="00E851EE"/>
    <w:rsid w:val="00E85278"/>
    <w:rsid w:val="00E853F1"/>
    <w:rsid w:val="00E854B0"/>
    <w:rsid w:val="00E854FB"/>
    <w:rsid w:val="00E85560"/>
    <w:rsid w:val="00E85978"/>
    <w:rsid w:val="00E859F0"/>
    <w:rsid w:val="00E85EAF"/>
    <w:rsid w:val="00E86057"/>
    <w:rsid w:val="00E864B4"/>
    <w:rsid w:val="00E868BA"/>
    <w:rsid w:val="00E86DB0"/>
    <w:rsid w:val="00E8717E"/>
    <w:rsid w:val="00E87215"/>
    <w:rsid w:val="00E909F1"/>
    <w:rsid w:val="00E90C71"/>
    <w:rsid w:val="00E90D31"/>
    <w:rsid w:val="00E90EAC"/>
    <w:rsid w:val="00E9140F"/>
    <w:rsid w:val="00E919E9"/>
    <w:rsid w:val="00E91BC0"/>
    <w:rsid w:val="00E91BC7"/>
    <w:rsid w:val="00E91C75"/>
    <w:rsid w:val="00E91D89"/>
    <w:rsid w:val="00E91E2D"/>
    <w:rsid w:val="00E923D6"/>
    <w:rsid w:val="00E92448"/>
    <w:rsid w:val="00E92603"/>
    <w:rsid w:val="00E92AF1"/>
    <w:rsid w:val="00E92C4E"/>
    <w:rsid w:val="00E92F91"/>
    <w:rsid w:val="00E930C5"/>
    <w:rsid w:val="00E930F8"/>
    <w:rsid w:val="00E931A6"/>
    <w:rsid w:val="00E9343B"/>
    <w:rsid w:val="00E93521"/>
    <w:rsid w:val="00E9357E"/>
    <w:rsid w:val="00E938C2"/>
    <w:rsid w:val="00E93ACE"/>
    <w:rsid w:val="00E94941"/>
    <w:rsid w:val="00E94A24"/>
    <w:rsid w:val="00E94D3A"/>
    <w:rsid w:val="00E94ECE"/>
    <w:rsid w:val="00E95A30"/>
    <w:rsid w:val="00E95BE7"/>
    <w:rsid w:val="00E95EC7"/>
    <w:rsid w:val="00E96562"/>
    <w:rsid w:val="00E966D1"/>
    <w:rsid w:val="00E96BE8"/>
    <w:rsid w:val="00E96ECE"/>
    <w:rsid w:val="00E97101"/>
    <w:rsid w:val="00E971B7"/>
    <w:rsid w:val="00E9756E"/>
    <w:rsid w:val="00E975CF"/>
    <w:rsid w:val="00E97A98"/>
    <w:rsid w:val="00E97AB9"/>
    <w:rsid w:val="00E97B14"/>
    <w:rsid w:val="00EA069B"/>
    <w:rsid w:val="00EA0AB2"/>
    <w:rsid w:val="00EA0B5F"/>
    <w:rsid w:val="00EA0F70"/>
    <w:rsid w:val="00EA0F9C"/>
    <w:rsid w:val="00EA12EA"/>
    <w:rsid w:val="00EA177B"/>
    <w:rsid w:val="00EA18F4"/>
    <w:rsid w:val="00EA19CD"/>
    <w:rsid w:val="00EA1BB9"/>
    <w:rsid w:val="00EA20CD"/>
    <w:rsid w:val="00EA20DF"/>
    <w:rsid w:val="00EA2BD9"/>
    <w:rsid w:val="00EA302A"/>
    <w:rsid w:val="00EA306E"/>
    <w:rsid w:val="00EA30D3"/>
    <w:rsid w:val="00EA34F4"/>
    <w:rsid w:val="00EA3526"/>
    <w:rsid w:val="00EA3BE2"/>
    <w:rsid w:val="00EA3FDB"/>
    <w:rsid w:val="00EA4290"/>
    <w:rsid w:val="00EA4C38"/>
    <w:rsid w:val="00EA4D11"/>
    <w:rsid w:val="00EA4D31"/>
    <w:rsid w:val="00EA4D71"/>
    <w:rsid w:val="00EA4E07"/>
    <w:rsid w:val="00EA52A6"/>
    <w:rsid w:val="00EA5C68"/>
    <w:rsid w:val="00EA5CBB"/>
    <w:rsid w:val="00EA5D25"/>
    <w:rsid w:val="00EA5E1F"/>
    <w:rsid w:val="00EA5EC4"/>
    <w:rsid w:val="00EA6954"/>
    <w:rsid w:val="00EA6CE4"/>
    <w:rsid w:val="00EA6DE6"/>
    <w:rsid w:val="00EA7030"/>
    <w:rsid w:val="00EA71A3"/>
    <w:rsid w:val="00EA7781"/>
    <w:rsid w:val="00EA78EC"/>
    <w:rsid w:val="00EB02AF"/>
    <w:rsid w:val="00EB0590"/>
    <w:rsid w:val="00EB095B"/>
    <w:rsid w:val="00EB0A4F"/>
    <w:rsid w:val="00EB174F"/>
    <w:rsid w:val="00EB17BA"/>
    <w:rsid w:val="00EB1FD6"/>
    <w:rsid w:val="00EB2812"/>
    <w:rsid w:val="00EB28B2"/>
    <w:rsid w:val="00EB2906"/>
    <w:rsid w:val="00EB2C61"/>
    <w:rsid w:val="00EB3138"/>
    <w:rsid w:val="00EB3336"/>
    <w:rsid w:val="00EB3493"/>
    <w:rsid w:val="00EB3A33"/>
    <w:rsid w:val="00EB3A83"/>
    <w:rsid w:val="00EB44F7"/>
    <w:rsid w:val="00EB49ED"/>
    <w:rsid w:val="00EB4A73"/>
    <w:rsid w:val="00EB4AD5"/>
    <w:rsid w:val="00EB4BDB"/>
    <w:rsid w:val="00EB4D49"/>
    <w:rsid w:val="00EB5099"/>
    <w:rsid w:val="00EB537D"/>
    <w:rsid w:val="00EB5A0E"/>
    <w:rsid w:val="00EB5E0A"/>
    <w:rsid w:val="00EB5E39"/>
    <w:rsid w:val="00EB6378"/>
    <w:rsid w:val="00EB652F"/>
    <w:rsid w:val="00EB670A"/>
    <w:rsid w:val="00EB6DAA"/>
    <w:rsid w:val="00EB6E58"/>
    <w:rsid w:val="00EB72FF"/>
    <w:rsid w:val="00EB73BD"/>
    <w:rsid w:val="00EB7703"/>
    <w:rsid w:val="00EB788E"/>
    <w:rsid w:val="00EB7BE0"/>
    <w:rsid w:val="00EB7D9A"/>
    <w:rsid w:val="00EB7F52"/>
    <w:rsid w:val="00EC0136"/>
    <w:rsid w:val="00EC0472"/>
    <w:rsid w:val="00EC087F"/>
    <w:rsid w:val="00EC0F9F"/>
    <w:rsid w:val="00EC16D4"/>
    <w:rsid w:val="00EC1971"/>
    <w:rsid w:val="00EC1A72"/>
    <w:rsid w:val="00EC1B54"/>
    <w:rsid w:val="00EC1DCE"/>
    <w:rsid w:val="00EC2342"/>
    <w:rsid w:val="00EC259A"/>
    <w:rsid w:val="00EC2CF8"/>
    <w:rsid w:val="00EC2DDB"/>
    <w:rsid w:val="00EC2DEA"/>
    <w:rsid w:val="00EC34C9"/>
    <w:rsid w:val="00EC3C15"/>
    <w:rsid w:val="00EC3EC4"/>
    <w:rsid w:val="00EC49DB"/>
    <w:rsid w:val="00EC4CED"/>
    <w:rsid w:val="00EC4E60"/>
    <w:rsid w:val="00EC53D7"/>
    <w:rsid w:val="00EC571E"/>
    <w:rsid w:val="00EC5A91"/>
    <w:rsid w:val="00EC7150"/>
    <w:rsid w:val="00EC74C2"/>
    <w:rsid w:val="00EC7648"/>
    <w:rsid w:val="00EC766D"/>
    <w:rsid w:val="00EC7A1A"/>
    <w:rsid w:val="00EC7D3E"/>
    <w:rsid w:val="00ED041A"/>
    <w:rsid w:val="00ED0AA7"/>
    <w:rsid w:val="00ED0C59"/>
    <w:rsid w:val="00ED0E66"/>
    <w:rsid w:val="00ED1087"/>
    <w:rsid w:val="00ED1554"/>
    <w:rsid w:val="00ED1B68"/>
    <w:rsid w:val="00ED1D75"/>
    <w:rsid w:val="00ED1F4E"/>
    <w:rsid w:val="00ED20DB"/>
    <w:rsid w:val="00ED22AF"/>
    <w:rsid w:val="00ED2605"/>
    <w:rsid w:val="00ED274F"/>
    <w:rsid w:val="00ED29B8"/>
    <w:rsid w:val="00ED2ACC"/>
    <w:rsid w:val="00ED2BBE"/>
    <w:rsid w:val="00ED307B"/>
    <w:rsid w:val="00ED3104"/>
    <w:rsid w:val="00ED32E6"/>
    <w:rsid w:val="00ED3CEA"/>
    <w:rsid w:val="00ED3F23"/>
    <w:rsid w:val="00ED3FBF"/>
    <w:rsid w:val="00ED4420"/>
    <w:rsid w:val="00ED4632"/>
    <w:rsid w:val="00ED4779"/>
    <w:rsid w:val="00ED4B62"/>
    <w:rsid w:val="00ED5887"/>
    <w:rsid w:val="00ED58E3"/>
    <w:rsid w:val="00ED5B78"/>
    <w:rsid w:val="00ED6166"/>
    <w:rsid w:val="00ED61D1"/>
    <w:rsid w:val="00ED6793"/>
    <w:rsid w:val="00ED7465"/>
    <w:rsid w:val="00ED7A53"/>
    <w:rsid w:val="00ED7A6A"/>
    <w:rsid w:val="00ED7D3C"/>
    <w:rsid w:val="00ED7FB3"/>
    <w:rsid w:val="00EE041B"/>
    <w:rsid w:val="00EE0575"/>
    <w:rsid w:val="00EE0B4C"/>
    <w:rsid w:val="00EE0E99"/>
    <w:rsid w:val="00EE0F65"/>
    <w:rsid w:val="00EE10B9"/>
    <w:rsid w:val="00EE15FB"/>
    <w:rsid w:val="00EE18F8"/>
    <w:rsid w:val="00EE232C"/>
    <w:rsid w:val="00EE29E6"/>
    <w:rsid w:val="00EE2BFD"/>
    <w:rsid w:val="00EE2CE8"/>
    <w:rsid w:val="00EE2E51"/>
    <w:rsid w:val="00EE2F79"/>
    <w:rsid w:val="00EE34C9"/>
    <w:rsid w:val="00EE35CD"/>
    <w:rsid w:val="00EE387F"/>
    <w:rsid w:val="00EE3AC3"/>
    <w:rsid w:val="00EE3F59"/>
    <w:rsid w:val="00EE43E9"/>
    <w:rsid w:val="00EE4857"/>
    <w:rsid w:val="00EE558E"/>
    <w:rsid w:val="00EE570F"/>
    <w:rsid w:val="00EE57F0"/>
    <w:rsid w:val="00EE5942"/>
    <w:rsid w:val="00EE5D92"/>
    <w:rsid w:val="00EE5FB4"/>
    <w:rsid w:val="00EE650A"/>
    <w:rsid w:val="00EE6568"/>
    <w:rsid w:val="00EE6CD1"/>
    <w:rsid w:val="00EE6E2F"/>
    <w:rsid w:val="00EE704F"/>
    <w:rsid w:val="00EE7149"/>
    <w:rsid w:val="00EE7330"/>
    <w:rsid w:val="00EE78B1"/>
    <w:rsid w:val="00EE7911"/>
    <w:rsid w:val="00EE7964"/>
    <w:rsid w:val="00EE7A12"/>
    <w:rsid w:val="00EE7B8B"/>
    <w:rsid w:val="00EE7C90"/>
    <w:rsid w:val="00EF0173"/>
    <w:rsid w:val="00EF05B4"/>
    <w:rsid w:val="00EF0B4E"/>
    <w:rsid w:val="00EF0FBD"/>
    <w:rsid w:val="00EF12D7"/>
    <w:rsid w:val="00EF1424"/>
    <w:rsid w:val="00EF1871"/>
    <w:rsid w:val="00EF1C82"/>
    <w:rsid w:val="00EF1DC6"/>
    <w:rsid w:val="00EF2005"/>
    <w:rsid w:val="00EF291B"/>
    <w:rsid w:val="00EF2A56"/>
    <w:rsid w:val="00EF2CA9"/>
    <w:rsid w:val="00EF300D"/>
    <w:rsid w:val="00EF3496"/>
    <w:rsid w:val="00EF3D84"/>
    <w:rsid w:val="00EF3EF6"/>
    <w:rsid w:val="00EF46EE"/>
    <w:rsid w:val="00EF4E33"/>
    <w:rsid w:val="00EF4FE3"/>
    <w:rsid w:val="00EF4FF0"/>
    <w:rsid w:val="00EF520A"/>
    <w:rsid w:val="00EF582B"/>
    <w:rsid w:val="00EF66DF"/>
    <w:rsid w:val="00EF6904"/>
    <w:rsid w:val="00EF6E07"/>
    <w:rsid w:val="00F00068"/>
    <w:rsid w:val="00F002FA"/>
    <w:rsid w:val="00F00D7F"/>
    <w:rsid w:val="00F00D8B"/>
    <w:rsid w:val="00F00F44"/>
    <w:rsid w:val="00F01077"/>
    <w:rsid w:val="00F01AE1"/>
    <w:rsid w:val="00F01E96"/>
    <w:rsid w:val="00F02013"/>
    <w:rsid w:val="00F02058"/>
    <w:rsid w:val="00F02721"/>
    <w:rsid w:val="00F02A9E"/>
    <w:rsid w:val="00F03614"/>
    <w:rsid w:val="00F036AB"/>
    <w:rsid w:val="00F03C31"/>
    <w:rsid w:val="00F03CE2"/>
    <w:rsid w:val="00F0422E"/>
    <w:rsid w:val="00F043FA"/>
    <w:rsid w:val="00F0467A"/>
    <w:rsid w:val="00F04AF8"/>
    <w:rsid w:val="00F04EAD"/>
    <w:rsid w:val="00F04FE1"/>
    <w:rsid w:val="00F053CD"/>
    <w:rsid w:val="00F05434"/>
    <w:rsid w:val="00F054FC"/>
    <w:rsid w:val="00F05984"/>
    <w:rsid w:val="00F05AD5"/>
    <w:rsid w:val="00F05AFA"/>
    <w:rsid w:val="00F0610C"/>
    <w:rsid w:val="00F061E5"/>
    <w:rsid w:val="00F06885"/>
    <w:rsid w:val="00F06CF9"/>
    <w:rsid w:val="00F06D56"/>
    <w:rsid w:val="00F0770C"/>
    <w:rsid w:val="00F078D0"/>
    <w:rsid w:val="00F079CD"/>
    <w:rsid w:val="00F07CF2"/>
    <w:rsid w:val="00F07F1B"/>
    <w:rsid w:val="00F102CB"/>
    <w:rsid w:val="00F10A0F"/>
    <w:rsid w:val="00F10F77"/>
    <w:rsid w:val="00F10FBD"/>
    <w:rsid w:val="00F11095"/>
    <w:rsid w:val="00F1134B"/>
    <w:rsid w:val="00F11479"/>
    <w:rsid w:val="00F115EC"/>
    <w:rsid w:val="00F11B27"/>
    <w:rsid w:val="00F11F00"/>
    <w:rsid w:val="00F12A18"/>
    <w:rsid w:val="00F12B99"/>
    <w:rsid w:val="00F13215"/>
    <w:rsid w:val="00F14110"/>
    <w:rsid w:val="00F1459A"/>
    <w:rsid w:val="00F14637"/>
    <w:rsid w:val="00F14D86"/>
    <w:rsid w:val="00F14FD6"/>
    <w:rsid w:val="00F15A20"/>
    <w:rsid w:val="00F15ADA"/>
    <w:rsid w:val="00F15BA0"/>
    <w:rsid w:val="00F15C5D"/>
    <w:rsid w:val="00F15E60"/>
    <w:rsid w:val="00F15F11"/>
    <w:rsid w:val="00F16011"/>
    <w:rsid w:val="00F160FA"/>
    <w:rsid w:val="00F16143"/>
    <w:rsid w:val="00F16AC6"/>
    <w:rsid w:val="00F1737B"/>
    <w:rsid w:val="00F175F7"/>
    <w:rsid w:val="00F17615"/>
    <w:rsid w:val="00F17921"/>
    <w:rsid w:val="00F17C91"/>
    <w:rsid w:val="00F17F01"/>
    <w:rsid w:val="00F202CD"/>
    <w:rsid w:val="00F203E4"/>
    <w:rsid w:val="00F20452"/>
    <w:rsid w:val="00F20645"/>
    <w:rsid w:val="00F20AE2"/>
    <w:rsid w:val="00F2102F"/>
    <w:rsid w:val="00F218D9"/>
    <w:rsid w:val="00F21A57"/>
    <w:rsid w:val="00F22A88"/>
    <w:rsid w:val="00F22BBA"/>
    <w:rsid w:val="00F235DA"/>
    <w:rsid w:val="00F236D5"/>
    <w:rsid w:val="00F23CC2"/>
    <w:rsid w:val="00F24075"/>
    <w:rsid w:val="00F24CD7"/>
    <w:rsid w:val="00F24E1D"/>
    <w:rsid w:val="00F2574D"/>
    <w:rsid w:val="00F25A10"/>
    <w:rsid w:val="00F2612C"/>
    <w:rsid w:val="00F264AE"/>
    <w:rsid w:val="00F26819"/>
    <w:rsid w:val="00F268E4"/>
    <w:rsid w:val="00F26B28"/>
    <w:rsid w:val="00F26B3A"/>
    <w:rsid w:val="00F274D9"/>
    <w:rsid w:val="00F275A9"/>
    <w:rsid w:val="00F27D60"/>
    <w:rsid w:val="00F30D7C"/>
    <w:rsid w:val="00F30DA0"/>
    <w:rsid w:val="00F30EC0"/>
    <w:rsid w:val="00F30F3F"/>
    <w:rsid w:val="00F312BE"/>
    <w:rsid w:val="00F31387"/>
    <w:rsid w:val="00F315F2"/>
    <w:rsid w:val="00F31973"/>
    <w:rsid w:val="00F31BF5"/>
    <w:rsid w:val="00F325AD"/>
    <w:rsid w:val="00F32815"/>
    <w:rsid w:val="00F329E5"/>
    <w:rsid w:val="00F32E48"/>
    <w:rsid w:val="00F33874"/>
    <w:rsid w:val="00F33CB2"/>
    <w:rsid w:val="00F34342"/>
    <w:rsid w:val="00F348EB"/>
    <w:rsid w:val="00F349D6"/>
    <w:rsid w:val="00F34B4B"/>
    <w:rsid w:val="00F351C0"/>
    <w:rsid w:val="00F354E3"/>
    <w:rsid w:val="00F35939"/>
    <w:rsid w:val="00F35AF9"/>
    <w:rsid w:val="00F35CA5"/>
    <w:rsid w:val="00F35E07"/>
    <w:rsid w:val="00F3604D"/>
    <w:rsid w:val="00F36AE4"/>
    <w:rsid w:val="00F36D9B"/>
    <w:rsid w:val="00F376B7"/>
    <w:rsid w:val="00F37B5D"/>
    <w:rsid w:val="00F37B93"/>
    <w:rsid w:val="00F37C02"/>
    <w:rsid w:val="00F37C9D"/>
    <w:rsid w:val="00F37EA8"/>
    <w:rsid w:val="00F40089"/>
    <w:rsid w:val="00F4012E"/>
    <w:rsid w:val="00F401C8"/>
    <w:rsid w:val="00F40650"/>
    <w:rsid w:val="00F40CD5"/>
    <w:rsid w:val="00F40F71"/>
    <w:rsid w:val="00F41016"/>
    <w:rsid w:val="00F4118D"/>
    <w:rsid w:val="00F4183E"/>
    <w:rsid w:val="00F41A0A"/>
    <w:rsid w:val="00F42106"/>
    <w:rsid w:val="00F4278C"/>
    <w:rsid w:val="00F42C96"/>
    <w:rsid w:val="00F432D3"/>
    <w:rsid w:val="00F434CA"/>
    <w:rsid w:val="00F43544"/>
    <w:rsid w:val="00F43681"/>
    <w:rsid w:val="00F436DF"/>
    <w:rsid w:val="00F4394E"/>
    <w:rsid w:val="00F439F6"/>
    <w:rsid w:val="00F441F7"/>
    <w:rsid w:val="00F4428F"/>
    <w:rsid w:val="00F449EF"/>
    <w:rsid w:val="00F44A8F"/>
    <w:rsid w:val="00F44E13"/>
    <w:rsid w:val="00F45194"/>
    <w:rsid w:val="00F4563C"/>
    <w:rsid w:val="00F4580F"/>
    <w:rsid w:val="00F45CA1"/>
    <w:rsid w:val="00F463AC"/>
    <w:rsid w:val="00F46483"/>
    <w:rsid w:val="00F46AB5"/>
    <w:rsid w:val="00F46F4E"/>
    <w:rsid w:val="00F478BC"/>
    <w:rsid w:val="00F47D32"/>
    <w:rsid w:val="00F5026D"/>
    <w:rsid w:val="00F5079C"/>
    <w:rsid w:val="00F516B1"/>
    <w:rsid w:val="00F51D29"/>
    <w:rsid w:val="00F527D8"/>
    <w:rsid w:val="00F530D4"/>
    <w:rsid w:val="00F53210"/>
    <w:rsid w:val="00F53286"/>
    <w:rsid w:val="00F533FE"/>
    <w:rsid w:val="00F538D0"/>
    <w:rsid w:val="00F53A30"/>
    <w:rsid w:val="00F53D15"/>
    <w:rsid w:val="00F53D69"/>
    <w:rsid w:val="00F53E59"/>
    <w:rsid w:val="00F5420F"/>
    <w:rsid w:val="00F543C2"/>
    <w:rsid w:val="00F54D92"/>
    <w:rsid w:val="00F5506B"/>
    <w:rsid w:val="00F55944"/>
    <w:rsid w:val="00F55A93"/>
    <w:rsid w:val="00F55BCB"/>
    <w:rsid w:val="00F55C86"/>
    <w:rsid w:val="00F55CB8"/>
    <w:rsid w:val="00F55DBA"/>
    <w:rsid w:val="00F55E26"/>
    <w:rsid w:val="00F56171"/>
    <w:rsid w:val="00F5619C"/>
    <w:rsid w:val="00F56AD8"/>
    <w:rsid w:val="00F56CCD"/>
    <w:rsid w:val="00F56DC5"/>
    <w:rsid w:val="00F56E27"/>
    <w:rsid w:val="00F57CF6"/>
    <w:rsid w:val="00F60867"/>
    <w:rsid w:val="00F60B66"/>
    <w:rsid w:val="00F60F26"/>
    <w:rsid w:val="00F611ED"/>
    <w:rsid w:val="00F61364"/>
    <w:rsid w:val="00F61788"/>
    <w:rsid w:val="00F61B06"/>
    <w:rsid w:val="00F61F73"/>
    <w:rsid w:val="00F61FE3"/>
    <w:rsid w:val="00F6209B"/>
    <w:rsid w:val="00F62602"/>
    <w:rsid w:val="00F62989"/>
    <w:rsid w:val="00F62C20"/>
    <w:rsid w:val="00F63030"/>
    <w:rsid w:val="00F6334A"/>
    <w:rsid w:val="00F63655"/>
    <w:rsid w:val="00F64043"/>
    <w:rsid w:val="00F64050"/>
    <w:rsid w:val="00F6440C"/>
    <w:rsid w:val="00F64BD3"/>
    <w:rsid w:val="00F64E17"/>
    <w:rsid w:val="00F64F64"/>
    <w:rsid w:val="00F65394"/>
    <w:rsid w:val="00F65777"/>
    <w:rsid w:val="00F65948"/>
    <w:rsid w:val="00F66193"/>
    <w:rsid w:val="00F66467"/>
    <w:rsid w:val="00F66784"/>
    <w:rsid w:val="00F667BD"/>
    <w:rsid w:val="00F66894"/>
    <w:rsid w:val="00F66C00"/>
    <w:rsid w:val="00F66FBD"/>
    <w:rsid w:val="00F66FF2"/>
    <w:rsid w:val="00F675E9"/>
    <w:rsid w:val="00F6768B"/>
    <w:rsid w:val="00F67924"/>
    <w:rsid w:val="00F6796C"/>
    <w:rsid w:val="00F7027F"/>
    <w:rsid w:val="00F70510"/>
    <w:rsid w:val="00F70965"/>
    <w:rsid w:val="00F70D82"/>
    <w:rsid w:val="00F70E96"/>
    <w:rsid w:val="00F7167D"/>
    <w:rsid w:val="00F718C4"/>
    <w:rsid w:val="00F718F5"/>
    <w:rsid w:val="00F71C92"/>
    <w:rsid w:val="00F71EC0"/>
    <w:rsid w:val="00F72684"/>
    <w:rsid w:val="00F72696"/>
    <w:rsid w:val="00F72706"/>
    <w:rsid w:val="00F73233"/>
    <w:rsid w:val="00F7361D"/>
    <w:rsid w:val="00F74101"/>
    <w:rsid w:val="00F7411C"/>
    <w:rsid w:val="00F745BF"/>
    <w:rsid w:val="00F747A6"/>
    <w:rsid w:val="00F7480E"/>
    <w:rsid w:val="00F74A26"/>
    <w:rsid w:val="00F74A96"/>
    <w:rsid w:val="00F74BB8"/>
    <w:rsid w:val="00F74CBA"/>
    <w:rsid w:val="00F7500D"/>
    <w:rsid w:val="00F753E7"/>
    <w:rsid w:val="00F75C7F"/>
    <w:rsid w:val="00F75D90"/>
    <w:rsid w:val="00F75F41"/>
    <w:rsid w:val="00F76127"/>
    <w:rsid w:val="00F76225"/>
    <w:rsid w:val="00F76CCF"/>
    <w:rsid w:val="00F76E53"/>
    <w:rsid w:val="00F77294"/>
    <w:rsid w:val="00F77494"/>
    <w:rsid w:val="00F7780A"/>
    <w:rsid w:val="00F779D6"/>
    <w:rsid w:val="00F77B4C"/>
    <w:rsid w:val="00F77E1F"/>
    <w:rsid w:val="00F80F48"/>
    <w:rsid w:val="00F80F78"/>
    <w:rsid w:val="00F80F94"/>
    <w:rsid w:val="00F81026"/>
    <w:rsid w:val="00F8117D"/>
    <w:rsid w:val="00F81688"/>
    <w:rsid w:val="00F81978"/>
    <w:rsid w:val="00F81E8E"/>
    <w:rsid w:val="00F8245C"/>
    <w:rsid w:val="00F824C7"/>
    <w:rsid w:val="00F8277C"/>
    <w:rsid w:val="00F82AAF"/>
    <w:rsid w:val="00F82C73"/>
    <w:rsid w:val="00F830EC"/>
    <w:rsid w:val="00F831C4"/>
    <w:rsid w:val="00F834D1"/>
    <w:rsid w:val="00F83AD3"/>
    <w:rsid w:val="00F84308"/>
    <w:rsid w:val="00F84501"/>
    <w:rsid w:val="00F845C6"/>
    <w:rsid w:val="00F84F7F"/>
    <w:rsid w:val="00F8579F"/>
    <w:rsid w:val="00F85923"/>
    <w:rsid w:val="00F85A54"/>
    <w:rsid w:val="00F85B38"/>
    <w:rsid w:val="00F85ECC"/>
    <w:rsid w:val="00F85F0F"/>
    <w:rsid w:val="00F86230"/>
    <w:rsid w:val="00F86257"/>
    <w:rsid w:val="00F862F8"/>
    <w:rsid w:val="00F86753"/>
    <w:rsid w:val="00F86F78"/>
    <w:rsid w:val="00F87AFB"/>
    <w:rsid w:val="00F9003D"/>
    <w:rsid w:val="00F907B1"/>
    <w:rsid w:val="00F90AD4"/>
    <w:rsid w:val="00F90E62"/>
    <w:rsid w:val="00F9162C"/>
    <w:rsid w:val="00F91651"/>
    <w:rsid w:val="00F918C4"/>
    <w:rsid w:val="00F91B04"/>
    <w:rsid w:val="00F91D15"/>
    <w:rsid w:val="00F92F8D"/>
    <w:rsid w:val="00F93186"/>
    <w:rsid w:val="00F9365B"/>
    <w:rsid w:val="00F941F4"/>
    <w:rsid w:val="00F94400"/>
    <w:rsid w:val="00F94549"/>
    <w:rsid w:val="00F9457C"/>
    <w:rsid w:val="00F9485B"/>
    <w:rsid w:val="00F948E2"/>
    <w:rsid w:val="00F94A34"/>
    <w:rsid w:val="00F94AAD"/>
    <w:rsid w:val="00F94D9C"/>
    <w:rsid w:val="00F94E87"/>
    <w:rsid w:val="00F95261"/>
    <w:rsid w:val="00F9532C"/>
    <w:rsid w:val="00F953C9"/>
    <w:rsid w:val="00F954B9"/>
    <w:rsid w:val="00F954E7"/>
    <w:rsid w:val="00F954EF"/>
    <w:rsid w:val="00F956C4"/>
    <w:rsid w:val="00F956EC"/>
    <w:rsid w:val="00F95A1C"/>
    <w:rsid w:val="00F95A53"/>
    <w:rsid w:val="00F95E98"/>
    <w:rsid w:val="00F9629D"/>
    <w:rsid w:val="00F9655E"/>
    <w:rsid w:val="00F96872"/>
    <w:rsid w:val="00F96CA0"/>
    <w:rsid w:val="00F96D45"/>
    <w:rsid w:val="00F96D92"/>
    <w:rsid w:val="00F96EE8"/>
    <w:rsid w:val="00F97074"/>
    <w:rsid w:val="00F976A1"/>
    <w:rsid w:val="00F97B4D"/>
    <w:rsid w:val="00F97EB2"/>
    <w:rsid w:val="00FA0463"/>
    <w:rsid w:val="00FA1109"/>
    <w:rsid w:val="00FA2222"/>
    <w:rsid w:val="00FA261A"/>
    <w:rsid w:val="00FA2713"/>
    <w:rsid w:val="00FA28FA"/>
    <w:rsid w:val="00FA2E13"/>
    <w:rsid w:val="00FA3148"/>
    <w:rsid w:val="00FA3211"/>
    <w:rsid w:val="00FA3528"/>
    <w:rsid w:val="00FA3CE3"/>
    <w:rsid w:val="00FA3D32"/>
    <w:rsid w:val="00FA3EB2"/>
    <w:rsid w:val="00FA3F26"/>
    <w:rsid w:val="00FA447E"/>
    <w:rsid w:val="00FA467F"/>
    <w:rsid w:val="00FA4BCD"/>
    <w:rsid w:val="00FA4C0B"/>
    <w:rsid w:val="00FA51FC"/>
    <w:rsid w:val="00FA5859"/>
    <w:rsid w:val="00FA6046"/>
    <w:rsid w:val="00FA62E4"/>
    <w:rsid w:val="00FA65F0"/>
    <w:rsid w:val="00FA68AC"/>
    <w:rsid w:val="00FA6B53"/>
    <w:rsid w:val="00FA6C3B"/>
    <w:rsid w:val="00FA6D72"/>
    <w:rsid w:val="00FA6DE2"/>
    <w:rsid w:val="00FA7101"/>
    <w:rsid w:val="00FA71E8"/>
    <w:rsid w:val="00FB0198"/>
    <w:rsid w:val="00FB08B5"/>
    <w:rsid w:val="00FB0EDD"/>
    <w:rsid w:val="00FB10DA"/>
    <w:rsid w:val="00FB14D5"/>
    <w:rsid w:val="00FB1598"/>
    <w:rsid w:val="00FB1755"/>
    <w:rsid w:val="00FB178C"/>
    <w:rsid w:val="00FB1CFD"/>
    <w:rsid w:val="00FB21A0"/>
    <w:rsid w:val="00FB24CD"/>
    <w:rsid w:val="00FB27EA"/>
    <w:rsid w:val="00FB28D6"/>
    <w:rsid w:val="00FB2A8B"/>
    <w:rsid w:val="00FB37FC"/>
    <w:rsid w:val="00FB3D0B"/>
    <w:rsid w:val="00FB4462"/>
    <w:rsid w:val="00FB50E0"/>
    <w:rsid w:val="00FB5102"/>
    <w:rsid w:val="00FB5425"/>
    <w:rsid w:val="00FB5545"/>
    <w:rsid w:val="00FB5658"/>
    <w:rsid w:val="00FB593C"/>
    <w:rsid w:val="00FB6184"/>
    <w:rsid w:val="00FB6E85"/>
    <w:rsid w:val="00FB6FFC"/>
    <w:rsid w:val="00FB70D1"/>
    <w:rsid w:val="00FB79BB"/>
    <w:rsid w:val="00FB7C19"/>
    <w:rsid w:val="00FC0246"/>
    <w:rsid w:val="00FC09DA"/>
    <w:rsid w:val="00FC0ADD"/>
    <w:rsid w:val="00FC0F19"/>
    <w:rsid w:val="00FC19C5"/>
    <w:rsid w:val="00FC1DC4"/>
    <w:rsid w:val="00FC1F94"/>
    <w:rsid w:val="00FC21BC"/>
    <w:rsid w:val="00FC236B"/>
    <w:rsid w:val="00FC262D"/>
    <w:rsid w:val="00FC2639"/>
    <w:rsid w:val="00FC2768"/>
    <w:rsid w:val="00FC2A04"/>
    <w:rsid w:val="00FC312A"/>
    <w:rsid w:val="00FC3370"/>
    <w:rsid w:val="00FC36B2"/>
    <w:rsid w:val="00FC3B2C"/>
    <w:rsid w:val="00FC3CAA"/>
    <w:rsid w:val="00FC412D"/>
    <w:rsid w:val="00FC423E"/>
    <w:rsid w:val="00FC42B3"/>
    <w:rsid w:val="00FC46DC"/>
    <w:rsid w:val="00FC4D7E"/>
    <w:rsid w:val="00FC4D7F"/>
    <w:rsid w:val="00FC4F4E"/>
    <w:rsid w:val="00FC507C"/>
    <w:rsid w:val="00FC5A54"/>
    <w:rsid w:val="00FC5F7C"/>
    <w:rsid w:val="00FC63E3"/>
    <w:rsid w:val="00FC69EF"/>
    <w:rsid w:val="00FC73B8"/>
    <w:rsid w:val="00FC7BB1"/>
    <w:rsid w:val="00FD012A"/>
    <w:rsid w:val="00FD062D"/>
    <w:rsid w:val="00FD0C65"/>
    <w:rsid w:val="00FD0E49"/>
    <w:rsid w:val="00FD1215"/>
    <w:rsid w:val="00FD16D1"/>
    <w:rsid w:val="00FD1E0B"/>
    <w:rsid w:val="00FD2A02"/>
    <w:rsid w:val="00FD2A9D"/>
    <w:rsid w:val="00FD2C7B"/>
    <w:rsid w:val="00FD32C9"/>
    <w:rsid w:val="00FD32D7"/>
    <w:rsid w:val="00FD35EE"/>
    <w:rsid w:val="00FD38F9"/>
    <w:rsid w:val="00FD3988"/>
    <w:rsid w:val="00FD3D55"/>
    <w:rsid w:val="00FD434D"/>
    <w:rsid w:val="00FD4BEF"/>
    <w:rsid w:val="00FD4E00"/>
    <w:rsid w:val="00FD54CF"/>
    <w:rsid w:val="00FD5673"/>
    <w:rsid w:val="00FD58E9"/>
    <w:rsid w:val="00FD5BDC"/>
    <w:rsid w:val="00FD5F41"/>
    <w:rsid w:val="00FD5F68"/>
    <w:rsid w:val="00FD6056"/>
    <w:rsid w:val="00FD626D"/>
    <w:rsid w:val="00FD6320"/>
    <w:rsid w:val="00FD645E"/>
    <w:rsid w:val="00FD73E4"/>
    <w:rsid w:val="00FD7604"/>
    <w:rsid w:val="00FD76B5"/>
    <w:rsid w:val="00FD781B"/>
    <w:rsid w:val="00FD7984"/>
    <w:rsid w:val="00FE0622"/>
    <w:rsid w:val="00FE09B0"/>
    <w:rsid w:val="00FE0C62"/>
    <w:rsid w:val="00FE0EB3"/>
    <w:rsid w:val="00FE0FE5"/>
    <w:rsid w:val="00FE109B"/>
    <w:rsid w:val="00FE116D"/>
    <w:rsid w:val="00FE160F"/>
    <w:rsid w:val="00FE19A2"/>
    <w:rsid w:val="00FE1DA1"/>
    <w:rsid w:val="00FE2074"/>
    <w:rsid w:val="00FE2F00"/>
    <w:rsid w:val="00FE31BD"/>
    <w:rsid w:val="00FE354C"/>
    <w:rsid w:val="00FE39EB"/>
    <w:rsid w:val="00FE3D1E"/>
    <w:rsid w:val="00FE401E"/>
    <w:rsid w:val="00FE4116"/>
    <w:rsid w:val="00FE45B7"/>
    <w:rsid w:val="00FE4A3A"/>
    <w:rsid w:val="00FE4E91"/>
    <w:rsid w:val="00FE53E1"/>
    <w:rsid w:val="00FE55B6"/>
    <w:rsid w:val="00FE55DD"/>
    <w:rsid w:val="00FE5A79"/>
    <w:rsid w:val="00FE5BD2"/>
    <w:rsid w:val="00FE63AB"/>
    <w:rsid w:val="00FE687D"/>
    <w:rsid w:val="00FE6CB6"/>
    <w:rsid w:val="00FE70C3"/>
    <w:rsid w:val="00FE7718"/>
    <w:rsid w:val="00FE7940"/>
    <w:rsid w:val="00FE7B47"/>
    <w:rsid w:val="00FE7EF5"/>
    <w:rsid w:val="00FF0073"/>
    <w:rsid w:val="00FF0F63"/>
    <w:rsid w:val="00FF1019"/>
    <w:rsid w:val="00FF11D7"/>
    <w:rsid w:val="00FF1295"/>
    <w:rsid w:val="00FF1636"/>
    <w:rsid w:val="00FF1945"/>
    <w:rsid w:val="00FF1B6C"/>
    <w:rsid w:val="00FF1C13"/>
    <w:rsid w:val="00FF1EA9"/>
    <w:rsid w:val="00FF2061"/>
    <w:rsid w:val="00FF2314"/>
    <w:rsid w:val="00FF24D5"/>
    <w:rsid w:val="00FF2B2A"/>
    <w:rsid w:val="00FF2E47"/>
    <w:rsid w:val="00FF32E9"/>
    <w:rsid w:val="00FF3BA6"/>
    <w:rsid w:val="00FF4632"/>
    <w:rsid w:val="00FF490F"/>
    <w:rsid w:val="00FF520E"/>
    <w:rsid w:val="00FF53C5"/>
    <w:rsid w:val="00FF5429"/>
    <w:rsid w:val="00FF547D"/>
    <w:rsid w:val="00FF5681"/>
    <w:rsid w:val="00FF5E0E"/>
    <w:rsid w:val="00FF6179"/>
    <w:rsid w:val="00FF69D8"/>
    <w:rsid w:val="00FF71B8"/>
    <w:rsid w:val="00FF720E"/>
    <w:rsid w:val="00FF7407"/>
    <w:rsid w:val="00FF789E"/>
    <w:rsid w:val="00FF7A3E"/>
    <w:rsid w:val="00FF7AA9"/>
    <w:rsid w:val="00FF7BF5"/>
    <w:rsid w:val="01C1554D"/>
    <w:rsid w:val="01E36A27"/>
    <w:rsid w:val="021408E0"/>
    <w:rsid w:val="023CCFF2"/>
    <w:rsid w:val="0244B30D"/>
    <w:rsid w:val="02EC09B6"/>
    <w:rsid w:val="02FB4662"/>
    <w:rsid w:val="035A0C34"/>
    <w:rsid w:val="037BAFF7"/>
    <w:rsid w:val="03C1D799"/>
    <w:rsid w:val="047FD7B6"/>
    <w:rsid w:val="050ACF8D"/>
    <w:rsid w:val="0536CB17"/>
    <w:rsid w:val="06154B0A"/>
    <w:rsid w:val="0621B252"/>
    <w:rsid w:val="0654DF53"/>
    <w:rsid w:val="065D82D1"/>
    <w:rsid w:val="0662C443"/>
    <w:rsid w:val="06717496"/>
    <w:rsid w:val="0684F685"/>
    <w:rsid w:val="06FF89CA"/>
    <w:rsid w:val="07276439"/>
    <w:rsid w:val="0747CBA1"/>
    <w:rsid w:val="0757B1ED"/>
    <w:rsid w:val="07D01F15"/>
    <w:rsid w:val="07DFB914"/>
    <w:rsid w:val="0811DB14"/>
    <w:rsid w:val="090F0DAE"/>
    <w:rsid w:val="09AE9EB9"/>
    <w:rsid w:val="09EEF20E"/>
    <w:rsid w:val="0A37CCC8"/>
    <w:rsid w:val="0A8A394D"/>
    <w:rsid w:val="0A9D5798"/>
    <w:rsid w:val="0ACBA2F1"/>
    <w:rsid w:val="0AD5FD9A"/>
    <w:rsid w:val="0AE3D766"/>
    <w:rsid w:val="0B65C3E7"/>
    <w:rsid w:val="0C0875E0"/>
    <w:rsid w:val="0C384BB3"/>
    <w:rsid w:val="0C390D96"/>
    <w:rsid w:val="0C596767"/>
    <w:rsid w:val="0C6D05A4"/>
    <w:rsid w:val="0C794653"/>
    <w:rsid w:val="0CE4C48B"/>
    <w:rsid w:val="0D55AA1E"/>
    <w:rsid w:val="0D6CBED8"/>
    <w:rsid w:val="0D864034"/>
    <w:rsid w:val="0E91DCD7"/>
    <w:rsid w:val="0EAFDA2E"/>
    <w:rsid w:val="0F17BFA5"/>
    <w:rsid w:val="0FCB6536"/>
    <w:rsid w:val="10672C9F"/>
    <w:rsid w:val="112FAC0B"/>
    <w:rsid w:val="11580891"/>
    <w:rsid w:val="12593222"/>
    <w:rsid w:val="12D5F94C"/>
    <w:rsid w:val="12E90523"/>
    <w:rsid w:val="12E99029"/>
    <w:rsid w:val="12F9D013"/>
    <w:rsid w:val="13384F6A"/>
    <w:rsid w:val="13E1EFE4"/>
    <w:rsid w:val="1478E5E9"/>
    <w:rsid w:val="14C481C1"/>
    <w:rsid w:val="156E7D6C"/>
    <w:rsid w:val="15C351B1"/>
    <w:rsid w:val="1614B64A"/>
    <w:rsid w:val="163621E4"/>
    <w:rsid w:val="1683F8E3"/>
    <w:rsid w:val="179DC002"/>
    <w:rsid w:val="17ADDA4F"/>
    <w:rsid w:val="1813B393"/>
    <w:rsid w:val="181F84A7"/>
    <w:rsid w:val="186D63CA"/>
    <w:rsid w:val="18C4E8A0"/>
    <w:rsid w:val="18DFBF70"/>
    <w:rsid w:val="19377BF0"/>
    <w:rsid w:val="193934DC"/>
    <w:rsid w:val="19B50DA8"/>
    <w:rsid w:val="19C45426"/>
    <w:rsid w:val="1AE3A203"/>
    <w:rsid w:val="1B506CAC"/>
    <w:rsid w:val="1B6FC782"/>
    <w:rsid w:val="1BB15D67"/>
    <w:rsid w:val="1BEA7DDF"/>
    <w:rsid w:val="1C0EF20C"/>
    <w:rsid w:val="1C63AA34"/>
    <w:rsid w:val="1C989E3D"/>
    <w:rsid w:val="1C9FED8A"/>
    <w:rsid w:val="1CA771B2"/>
    <w:rsid w:val="1D368D5B"/>
    <w:rsid w:val="1D4D7568"/>
    <w:rsid w:val="1D5B1CD5"/>
    <w:rsid w:val="1D819D77"/>
    <w:rsid w:val="1DE92FF4"/>
    <w:rsid w:val="1E0C7C34"/>
    <w:rsid w:val="1F055D32"/>
    <w:rsid w:val="1F1634CC"/>
    <w:rsid w:val="1F707026"/>
    <w:rsid w:val="1F7255EF"/>
    <w:rsid w:val="1F97B916"/>
    <w:rsid w:val="1FCE6690"/>
    <w:rsid w:val="1FDAB576"/>
    <w:rsid w:val="20242529"/>
    <w:rsid w:val="20354920"/>
    <w:rsid w:val="2058CC17"/>
    <w:rsid w:val="20D8E33B"/>
    <w:rsid w:val="2148D2DC"/>
    <w:rsid w:val="21AD78D5"/>
    <w:rsid w:val="2253AEA2"/>
    <w:rsid w:val="22B15F34"/>
    <w:rsid w:val="22D16365"/>
    <w:rsid w:val="2429FEE4"/>
    <w:rsid w:val="2434547E"/>
    <w:rsid w:val="24663A16"/>
    <w:rsid w:val="2559104F"/>
    <w:rsid w:val="25CADF1F"/>
    <w:rsid w:val="25FCE5DD"/>
    <w:rsid w:val="26355A8F"/>
    <w:rsid w:val="264C4EF2"/>
    <w:rsid w:val="26710A0B"/>
    <w:rsid w:val="26DD6C6B"/>
    <w:rsid w:val="274F9D99"/>
    <w:rsid w:val="27CAF63A"/>
    <w:rsid w:val="27F41F07"/>
    <w:rsid w:val="285E454B"/>
    <w:rsid w:val="28B5CE56"/>
    <w:rsid w:val="29CFB7B9"/>
    <w:rsid w:val="29F87825"/>
    <w:rsid w:val="2A73329B"/>
    <w:rsid w:val="2A76978D"/>
    <w:rsid w:val="2A99A121"/>
    <w:rsid w:val="2AA8FEF4"/>
    <w:rsid w:val="2AFE24CB"/>
    <w:rsid w:val="2B4DF188"/>
    <w:rsid w:val="2B82BA34"/>
    <w:rsid w:val="2BA8E7D1"/>
    <w:rsid w:val="2BDF4A1F"/>
    <w:rsid w:val="2C02D8B6"/>
    <w:rsid w:val="2C1FFAC0"/>
    <w:rsid w:val="2C7BFAF3"/>
    <w:rsid w:val="2C9006B0"/>
    <w:rsid w:val="2C94D05C"/>
    <w:rsid w:val="2D19C66F"/>
    <w:rsid w:val="2D321D1F"/>
    <w:rsid w:val="2D4A8D70"/>
    <w:rsid w:val="2D9251F2"/>
    <w:rsid w:val="2E1A4C3F"/>
    <w:rsid w:val="2E275B4A"/>
    <w:rsid w:val="2E2AB4C5"/>
    <w:rsid w:val="2E2BD059"/>
    <w:rsid w:val="2E3A0734"/>
    <w:rsid w:val="2EA2233E"/>
    <w:rsid w:val="2EB0498F"/>
    <w:rsid w:val="2EEC79B3"/>
    <w:rsid w:val="2EF8D0D5"/>
    <w:rsid w:val="2F01029A"/>
    <w:rsid w:val="2F02D73D"/>
    <w:rsid w:val="2F473BDB"/>
    <w:rsid w:val="2F5E85EE"/>
    <w:rsid w:val="2F72A8E4"/>
    <w:rsid w:val="2FA7BB54"/>
    <w:rsid w:val="3044699C"/>
    <w:rsid w:val="305F4B14"/>
    <w:rsid w:val="30844704"/>
    <w:rsid w:val="30854263"/>
    <w:rsid w:val="30AAB16D"/>
    <w:rsid w:val="30D6ECF5"/>
    <w:rsid w:val="310D2F80"/>
    <w:rsid w:val="311A0E78"/>
    <w:rsid w:val="3144AC9D"/>
    <w:rsid w:val="3163ECB9"/>
    <w:rsid w:val="3168417F"/>
    <w:rsid w:val="31BEAE5E"/>
    <w:rsid w:val="31FADA61"/>
    <w:rsid w:val="32201765"/>
    <w:rsid w:val="3272BD56"/>
    <w:rsid w:val="3304D310"/>
    <w:rsid w:val="3363A69B"/>
    <w:rsid w:val="33FEAFC9"/>
    <w:rsid w:val="34319C89"/>
    <w:rsid w:val="34786AD3"/>
    <w:rsid w:val="34EDDD06"/>
    <w:rsid w:val="34F2EADE"/>
    <w:rsid w:val="35655DAB"/>
    <w:rsid w:val="35F77EB0"/>
    <w:rsid w:val="361CFB9A"/>
    <w:rsid w:val="36270A1B"/>
    <w:rsid w:val="368D15AF"/>
    <w:rsid w:val="37910BDC"/>
    <w:rsid w:val="3808962A"/>
    <w:rsid w:val="3845947D"/>
    <w:rsid w:val="38860A9D"/>
    <w:rsid w:val="388E0219"/>
    <w:rsid w:val="38A6FB51"/>
    <w:rsid w:val="391916DA"/>
    <w:rsid w:val="396DDDFB"/>
    <w:rsid w:val="39741D0E"/>
    <w:rsid w:val="3A227EC7"/>
    <w:rsid w:val="3A7DF182"/>
    <w:rsid w:val="3A822DEA"/>
    <w:rsid w:val="3AD771A6"/>
    <w:rsid w:val="3AFA7297"/>
    <w:rsid w:val="3B4E1D4E"/>
    <w:rsid w:val="3B5149C9"/>
    <w:rsid w:val="3B863B1B"/>
    <w:rsid w:val="3B92530D"/>
    <w:rsid w:val="3C841E9C"/>
    <w:rsid w:val="3C917AC7"/>
    <w:rsid w:val="3D21AA36"/>
    <w:rsid w:val="3DCAA6E3"/>
    <w:rsid w:val="3E046AFE"/>
    <w:rsid w:val="3EDC8C5F"/>
    <w:rsid w:val="3F3F80BD"/>
    <w:rsid w:val="3F523205"/>
    <w:rsid w:val="3F7F71FF"/>
    <w:rsid w:val="3F9A3FC4"/>
    <w:rsid w:val="3FACD338"/>
    <w:rsid w:val="3FC067E8"/>
    <w:rsid w:val="401D5147"/>
    <w:rsid w:val="40644A58"/>
    <w:rsid w:val="40B0ABA6"/>
    <w:rsid w:val="40BCBFE4"/>
    <w:rsid w:val="40EE5F77"/>
    <w:rsid w:val="41003B36"/>
    <w:rsid w:val="4115BF24"/>
    <w:rsid w:val="41C8AAF4"/>
    <w:rsid w:val="4262E9A7"/>
    <w:rsid w:val="42A72F25"/>
    <w:rsid w:val="42D7B615"/>
    <w:rsid w:val="435C6953"/>
    <w:rsid w:val="4370C516"/>
    <w:rsid w:val="438DB678"/>
    <w:rsid w:val="43ACC48E"/>
    <w:rsid w:val="43B92074"/>
    <w:rsid w:val="43DDF7AB"/>
    <w:rsid w:val="43EBF064"/>
    <w:rsid w:val="43F43DA7"/>
    <w:rsid w:val="43F59170"/>
    <w:rsid w:val="44521C2A"/>
    <w:rsid w:val="445A7FD8"/>
    <w:rsid w:val="446F48BA"/>
    <w:rsid w:val="44BDF391"/>
    <w:rsid w:val="452A2093"/>
    <w:rsid w:val="45466F6A"/>
    <w:rsid w:val="455DB788"/>
    <w:rsid w:val="457B2DC8"/>
    <w:rsid w:val="459161D1"/>
    <w:rsid w:val="4593BEB6"/>
    <w:rsid w:val="45A7457A"/>
    <w:rsid w:val="45F72E2C"/>
    <w:rsid w:val="463C3ADF"/>
    <w:rsid w:val="4658F090"/>
    <w:rsid w:val="475D2385"/>
    <w:rsid w:val="4797309D"/>
    <w:rsid w:val="47A00AA3"/>
    <w:rsid w:val="47B0ECA7"/>
    <w:rsid w:val="4838ED97"/>
    <w:rsid w:val="48990F12"/>
    <w:rsid w:val="48C90293"/>
    <w:rsid w:val="493300FE"/>
    <w:rsid w:val="49987FF5"/>
    <w:rsid w:val="4AFE49DD"/>
    <w:rsid w:val="4B7ECC53"/>
    <w:rsid w:val="4B89A9BC"/>
    <w:rsid w:val="4BDC5CA7"/>
    <w:rsid w:val="4C21C156"/>
    <w:rsid w:val="4C2CF936"/>
    <w:rsid w:val="4C2DFCBE"/>
    <w:rsid w:val="4CAE9E67"/>
    <w:rsid w:val="4CBC9479"/>
    <w:rsid w:val="4CEAEB53"/>
    <w:rsid w:val="4D4C34BE"/>
    <w:rsid w:val="4D8FC034"/>
    <w:rsid w:val="4D910806"/>
    <w:rsid w:val="4DD2756E"/>
    <w:rsid w:val="4E3E5644"/>
    <w:rsid w:val="4E779D44"/>
    <w:rsid w:val="4F4CEB7F"/>
    <w:rsid w:val="4F96D092"/>
    <w:rsid w:val="50016FE2"/>
    <w:rsid w:val="501A32A2"/>
    <w:rsid w:val="5068F09F"/>
    <w:rsid w:val="5082C9B0"/>
    <w:rsid w:val="50936BB3"/>
    <w:rsid w:val="50DE0355"/>
    <w:rsid w:val="510D1F6D"/>
    <w:rsid w:val="5158A33A"/>
    <w:rsid w:val="516C9B88"/>
    <w:rsid w:val="51C2D11E"/>
    <w:rsid w:val="51D4DA7C"/>
    <w:rsid w:val="51DF9215"/>
    <w:rsid w:val="51FA6D47"/>
    <w:rsid w:val="52306DC1"/>
    <w:rsid w:val="523208C3"/>
    <w:rsid w:val="525445D1"/>
    <w:rsid w:val="5255C411"/>
    <w:rsid w:val="529BD894"/>
    <w:rsid w:val="52EAB714"/>
    <w:rsid w:val="52EB9C74"/>
    <w:rsid w:val="530387C2"/>
    <w:rsid w:val="533FC3E7"/>
    <w:rsid w:val="53610909"/>
    <w:rsid w:val="53AD02FB"/>
    <w:rsid w:val="53D90294"/>
    <w:rsid w:val="54113402"/>
    <w:rsid w:val="5427CD2D"/>
    <w:rsid w:val="5474D047"/>
    <w:rsid w:val="548DDA1E"/>
    <w:rsid w:val="54A3E7B7"/>
    <w:rsid w:val="54ED04EB"/>
    <w:rsid w:val="54F6F334"/>
    <w:rsid w:val="5501D512"/>
    <w:rsid w:val="5537E125"/>
    <w:rsid w:val="559DEA6F"/>
    <w:rsid w:val="55AF2E10"/>
    <w:rsid w:val="567A5A15"/>
    <w:rsid w:val="56C79897"/>
    <w:rsid w:val="5749C15B"/>
    <w:rsid w:val="57895A31"/>
    <w:rsid w:val="581F64BF"/>
    <w:rsid w:val="5827F606"/>
    <w:rsid w:val="5842428D"/>
    <w:rsid w:val="58B337F4"/>
    <w:rsid w:val="5919B9C3"/>
    <w:rsid w:val="596C3D41"/>
    <w:rsid w:val="59794A70"/>
    <w:rsid w:val="59860F06"/>
    <w:rsid w:val="5A1B6B62"/>
    <w:rsid w:val="5A9868D0"/>
    <w:rsid w:val="5A9A23B8"/>
    <w:rsid w:val="5AEDF892"/>
    <w:rsid w:val="5AF090AC"/>
    <w:rsid w:val="5B84FF0D"/>
    <w:rsid w:val="5C48E625"/>
    <w:rsid w:val="5C689AF3"/>
    <w:rsid w:val="5CB4B112"/>
    <w:rsid w:val="5D3C3E3A"/>
    <w:rsid w:val="5D699EE5"/>
    <w:rsid w:val="5D76597D"/>
    <w:rsid w:val="5F044AEA"/>
    <w:rsid w:val="5FBBAD38"/>
    <w:rsid w:val="5FE395AB"/>
    <w:rsid w:val="600EC546"/>
    <w:rsid w:val="6040A460"/>
    <w:rsid w:val="604DD1CF"/>
    <w:rsid w:val="608F5D2B"/>
    <w:rsid w:val="60AA50FF"/>
    <w:rsid w:val="60C5C97B"/>
    <w:rsid w:val="60E2139D"/>
    <w:rsid w:val="612100FA"/>
    <w:rsid w:val="6181CD37"/>
    <w:rsid w:val="61929D51"/>
    <w:rsid w:val="61C141E3"/>
    <w:rsid w:val="61EC8544"/>
    <w:rsid w:val="62558C8E"/>
    <w:rsid w:val="628D34F9"/>
    <w:rsid w:val="629B7DE9"/>
    <w:rsid w:val="629F5424"/>
    <w:rsid w:val="62EADE76"/>
    <w:rsid w:val="6330505F"/>
    <w:rsid w:val="63D0A33E"/>
    <w:rsid w:val="63D901B6"/>
    <w:rsid w:val="63E8950B"/>
    <w:rsid w:val="63FCAC9D"/>
    <w:rsid w:val="64156216"/>
    <w:rsid w:val="6429055A"/>
    <w:rsid w:val="64AC94E1"/>
    <w:rsid w:val="64B0DF8D"/>
    <w:rsid w:val="64CCDD44"/>
    <w:rsid w:val="65A93DE5"/>
    <w:rsid w:val="65D33C04"/>
    <w:rsid w:val="65E9E6B2"/>
    <w:rsid w:val="65EB0483"/>
    <w:rsid w:val="6610669E"/>
    <w:rsid w:val="664159CE"/>
    <w:rsid w:val="6675ED20"/>
    <w:rsid w:val="66AB6759"/>
    <w:rsid w:val="66DC0BFA"/>
    <w:rsid w:val="6707CC77"/>
    <w:rsid w:val="670B40FC"/>
    <w:rsid w:val="6747A1E5"/>
    <w:rsid w:val="678D6555"/>
    <w:rsid w:val="67B07FF9"/>
    <w:rsid w:val="67CB5C80"/>
    <w:rsid w:val="68360882"/>
    <w:rsid w:val="68394CA8"/>
    <w:rsid w:val="6850E7AC"/>
    <w:rsid w:val="68974B2F"/>
    <w:rsid w:val="68C1B129"/>
    <w:rsid w:val="69208B06"/>
    <w:rsid w:val="6981DDDA"/>
    <w:rsid w:val="69C388AD"/>
    <w:rsid w:val="6A13FB7B"/>
    <w:rsid w:val="6A422A8F"/>
    <w:rsid w:val="6A6229E0"/>
    <w:rsid w:val="6A94AF5F"/>
    <w:rsid w:val="6B8F27E6"/>
    <w:rsid w:val="6CEFC7EC"/>
    <w:rsid w:val="6D14CE5B"/>
    <w:rsid w:val="6D1B5E61"/>
    <w:rsid w:val="6D53A736"/>
    <w:rsid w:val="6D577694"/>
    <w:rsid w:val="6D8773FF"/>
    <w:rsid w:val="6DDA2B0A"/>
    <w:rsid w:val="6E5065FF"/>
    <w:rsid w:val="6E6C3A70"/>
    <w:rsid w:val="6E80E4DC"/>
    <w:rsid w:val="6EE10BBB"/>
    <w:rsid w:val="6F02B641"/>
    <w:rsid w:val="6F0AB995"/>
    <w:rsid w:val="6F83C9A9"/>
    <w:rsid w:val="6FBF3E7D"/>
    <w:rsid w:val="6FE076C3"/>
    <w:rsid w:val="70112B83"/>
    <w:rsid w:val="70407772"/>
    <w:rsid w:val="705BA4C4"/>
    <w:rsid w:val="708C525D"/>
    <w:rsid w:val="70D9B77E"/>
    <w:rsid w:val="71E0A217"/>
    <w:rsid w:val="71E222F8"/>
    <w:rsid w:val="72590D42"/>
    <w:rsid w:val="72893990"/>
    <w:rsid w:val="7297A788"/>
    <w:rsid w:val="72A7CB18"/>
    <w:rsid w:val="72D638F9"/>
    <w:rsid w:val="72D71086"/>
    <w:rsid w:val="72EB532D"/>
    <w:rsid w:val="730C9DF6"/>
    <w:rsid w:val="73109F37"/>
    <w:rsid w:val="737C345C"/>
    <w:rsid w:val="73B7454A"/>
    <w:rsid w:val="73E8B2F4"/>
    <w:rsid w:val="74394F20"/>
    <w:rsid w:val="744C4CBF"/>
    <w:rsid w:val="74942D9D"/>
    <w:rsid w:val="754D2AC0"/>
    <w:rsid w:val="7579AC6E"/>
    <w:rsid w:val="764C0043"/>
    <w:rsid w:val="76CDDE7A"/>
    <w:rsid w:val="771448D9"/>
    <w:rsid w:val="77288985"/>
    <w:rsid w:val="772D4249"/>
    <w:rsid w:val="77D3D461"/>
    <w:rsid w:val="7818217E"/>
    <w:rsid w:val="7861B2A2"/>
    <w:rsid w:val="78683113"/>
    <w:rsid w:val="78A6D62D"/>
    <w:rsid w:val="78EFCFF4"/>
    <w:rsid w:val="79048B68"/>
    <w:rsid w:val="7975E8F3"/>
    <w:rsid w:val="797DBB6B"/>
    <w:rsid w:val="7A2B3F26"/>
    <w:rsid w:val="7A7AB6C9"/>
    <w:rsid w:val="7AA421C9"/>
    <w:rsid w:val="7AA56186"/>
    <w:rsid w:val="7AB3068E"/>
    <w:rsid w:val="7AEB0CA4"/>
    <w:rsid w:val="7B107E07"/>
    <w:rsid w:val="7B67E73D"/>
    <w:rsid w:val="7BAAE46F"/>
    <w:rsid w:val="7BE4487F"/>
    <w:rsid w:val="7C27D527"/>
    <w:rsid w:val="7C3066C8"/>
    <w:rsid w:val="7CA41362"/>
    <w:rsid w:val="7CD41854"/>
    <w:rsid w:val="7CE61F27"/>
    <w:rsid w:val="7D093EC4"/>
    <w:rsid w:val="7DE59447"/>
    <w:rsid w:val="7E137986"/>
    <w:rsid w:val="7E375F6A"/>
    <w:rsid w:val="7E37FEB8"/>
    <w:rsid w:val="7E6188F1"/>
    <w:rsid w:val="7E7D5A3E"/>
    <w:rsid w:val="7EC509A4"/>
    <w:rsid w:val="7EDB81FB"/>
    <w:rsid w:val="7F635699"/>
    <w:rsid w:val="7FA62279"/>
    <w:rsid w:val="7FDAE358"/>
    <w:rsid w:val="7FE7699B"/>
    <w:rsid w:val="7FF32F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C186C"/>
  <w15:docId w15:val="{DE2A4688-DAE5-4C6A-938E-30154806D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bg-BG"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0A9"/>
    <w:pPr>
      <w:tabs>
        <w:tab w:val="left" w:pos="720"/>
        <w:tab w:val="left" w:pos="1296"/>
        <w:tab w:val="left" w:pos="1872"/>
        <w:tab w:val="left" w:pos="2448"/>
      </w:tabs>
      <w:spacing w:after="280" w:line="280" w:lineRule="atLeast"/>
    </w:pPr>
    <w:rPr>
      <w:rFonts w:asciiTheme="minorHAnsi" w:hAnsiTheme="minorHAnsi" w:cstheme="minorHAnsi"/>
      <w:kern w:val="22"/>
      <w:sz w:val="22"/>
      <w:szCs w:val="22"/>
    </w:rPr>
  </w:style>
  <w:style w:type="paragraph" w:styleId="Heading1">
    <w:name w:val="heading 1"/>
    <w:basedOn w:val="Normal"/>
    <w:next w:val="Normal"/>
    <w:link w:val="Heading1Char"/>
    <w:qFormat/>
    <w:pPr>
      <w:keepNext/>
      <w:numPr>
        <w:numId w:val="2"/>
      </w:numPr>
      <w:tabs>
        <w:tab w:val="clear" w:pos="720"/>
        <w:tab w:val="clear" w:pos="1296"/>
        <w:tab w:val="clear" w:pos="1872"/>
        <w:tab w:val="clear" w:pos="2448"/>
      </w:tabs>
      <w:outlineLvl w:val="0"/>
    </w:pPr>
    <w:rPr>
      <w:b/>
      <w:caps/>
      <w:noProof/>
      <w:kern w:val="28"/>
      <w:sz w:val="28"/>
    </w:rPr>
  </w:style>
  <w:style w:type="paragraph" w:styleId="Heading2">
    <w:name w:val="heading 2"/>
    <w:basedOn w:val="Normal"/>
    <w:next w:val="Normal"/>
    <w:link w:val="Heading2Char"/>
    <w:qFormat/>
    <w:pPr>
      <w:keepNext/>
      <w:numPr>
        <w:ilvl w:val="1"/>
        <w:numId w:val="2"/>
      </w:numPr>
      <w:tabs>
        <w:tab w:val="clear" w:pos="720"/>
        <w:tab w:val="clear" w:pos="1296"/>
        <w:tab w:val="clear" w:pos="1872"/>
        <w:tab w:val="clear" w:pos="2448"/>
      </w:tabs>
      <w:outlineLvl w:val="1"/>
    </w:pPr>
    <w:rPr>
      <w:b/>
      <w:caps/>
      <w:kern w:val="24"/>
      <w:sz w:val="24"/>
    </w:rPr>
  </w:style>
  <w:style w:type="paragraph" w:styleId="Heading3">
    <w:name w:val="heading 3"/>
    <w:basedOn w:val="Normal"/>
    <w:next w:val="Normal"/>
    <w:link w:val="Heading3Char"/>
    <w:uiPriority w:val="9"/>
    <w:qFormat/>
    <w:rsid w:val="00B55EC6"/>
    <w:pPr>
      <w:keepNext/>
      <w:numPr>
        <w:ilvl w:val="2"/>
        <w:numId w:val="2"/>
      </w:numPr>
      <w:tabs>
        <w:tab w:val="clear" w:pos="720"/>
        <w:tab w:val="clear" w:pos="1296"/>
        <w:tab w:val="clear" w:pos="1872"/>
        <w:tab w:val="clear" w:pos="2448"/>
      </w:tabs>
      <w:outlineLvl w:val="2"/>
    </w:pPr>
    <w:rPr>
      <w:b/>
      <w:color w:val="000000"/>
      <w:kern w:val="24"/>
      <w:sz w:val="24"/>
    </w:rPr>
  </w:style>
  <w:style w:type="paragraph" w:styleId="Heading4">
    <w:name w:val="heading 4"/>
    <w:basedOn w:val="Normal"/>
    <w:next w:val="Normal"/>
    <w:link w:val="Heading4Char"/>
    <w:uiPriority w:val="9"/>
    <w:qFormat/>
    <w:rsid w:val="00B55EC6"/>
    <w:pPr>
      <w:keepNext/>
      <w:numPr>
        <w:ilvl w:val="3"/>
        <w:numId w:val="2"/>
      </w:numPr>
      <w:tabs>
        <w:tab w:val="clear" w:pos="720"/>
        <w:tab w:val="clear" w:pos="1296"/>
        <w:tab w:val="clear" w:pos="1872"/>
        <w:tab w:val="clear" w:pos="2448"/>
      </w:tabs>
      <w:outlineLvl w:val="3"/>
    </w:pPr>
    <w:rPr>
      <w:rFonts w:eastAsia="SimSun"/>
      <w:b/>
      <w:color w:val="000000"/>
      <w:kern w:val="24"/>
      <w:lang w:eastAsia="zh-CN"/>
    </w:rPr>
  </w:style>
  <w:style w:type="paragraph" w:styleId="Heading5">
    <w:name w:val="heading 5"/>
    <w:basedOn w:val="Normal"/>
    <w:next w:val="Normal"/>
    <w:link w:val="Heading5Char"/>
    <w:uiPriority w:val="9"/>
    <w:qFormat/>
    <w:pPr>
      <w:numPr>
        <w:ilvl w:val="4"/>
        <w:numId w:val="2"/>
      </w:numPr>
      <w:tabs>
        <w:tab w:val="clear" w:pos="720"/>
        <w:tab w:val="clear" w:pos="1296"/>
        <w:tab w:val="clear" w:pos="1872"/>
        <w:tab w:val="clear" w:pos="2448"/>
      </w:tabs>
      <w:outlineLvl w:val="4"/>
    </w:pPr>
    <w:rPr>
      <w:b/>
      <w:kern w:val="24"/>
    </w:rPr>
  </w:style>
  <w:style w:type="paragraph" w:styleId="Heading6">
    <w:name w:val="heading 6"/>
    <w:basedOn w:val="Normal"/>
    <w:next w:val="Normal"/>
    <w:link w:val="Heading6Char"/>
    <w:uiPriority w:val="9"/>
    <w:qFormat/>
    <w:rsid w:val="007C4407"/>
    <w:pPr>
      <w:numPr>
        <w:numId w:val="11"/>
      </w:numPr>
      <w:tabs>
        <w:tab w:val="clear" w:pos="720"/>
        <w:tab w:val="clear" w:pos="1296"/>
        <w:tab w:val="clear" w:pos="1872"/>
        <w:tab w:val="clear" w:pos="2448"/>
        <w:tab w:val="num" w:pos="2246"/>
      </w:tabs>
      <w:ind w:left="0" w:firstLine="446"/>
      <w:jc w:val="center"/>
      <w:outlineLvl w:val="5"/>
    </w:pPr>
    <w:rPr>
      <w:b/>
      <w:caps/>
      <w:noProof/>
      <w:kern w:val="0"/>
      <w:sz w:val="28"/>
    </w:rPr>
  </w:style>
  <w:style w:type="paragraph" w:styleId="Heading7">
    <w:name w:val="heading 7"/>
    <w:basedOn w:val="Normal"/>
    <w:next w:val="Normal"/>
    <w:link w:val="Heading7Char"/>
    <w:uiPriority w:val="9"/>
    <w:qFormat/>
    <w:pPr>
      <w:keepNext/>
      <w:tabs>
        <w:tab w:val="clear" w:pos="720"/>
        <w:tab w:val="clear" w:pos="1296"/>
        <w:tab w:val="clear" w:pos="1872"/>
        <w:tab w:val="clear" w:pos="2448"/>
      </w:tabs>
      <w:outlineLvl w:val="6"/>
    </w:pPr>
    <w:rPr>
      <w:b/>
      <w:caps/>
      <w:kern w:val="24"/>
      <w:sz w:val="24"/>
    </w:rPr>
  </w:style>
  <w:style w:type="paragraph" w:styleId="Heading8">
    <w:name w:val="heading 8"/>
    <w:aliases w:val="CEZ Heading 8"/>
    <w:basedOn w:val="Normal"/>
    <w:next w:val="Normal"/>
    <w:link w:val="Heading8Char"/>
    <w:qFormat/>
    <w:pPr>
      <w:keepNext/>
      <w:tabs>
        <w:tab w:val="clear" w:pos="720"/>
        <w:tab w:val="clear" w:pos="1296"/>
        <w:tab w:val="clear" w:pos="1872"/>
        <w:tab w:val="clear" w:pos="2448"/>
      </w:tabs>
      <w:outlineLvl w:val="7"/>
    </w:pPr>
    <w:rPr>
      <w:b/>
      <w:kern w:val="24"/>
      <w:sz w:val="24"/>
    </w:rPr>
  </w:style>
  <w:style w:type="paragraph" w:styleId="Heading9">
    <w:name w:val="heading 9"/>
    <w:basedOn w:val="Normal"/>
    <w:next w:val="Normal"/>
    <w:link w:val="Heading9Char"/>
    <w:uiPriority w:val="9"/>
    <w:qFormat/>
    <w:rsid w:val="00B43ABB"/>
    <w:pPr>
      <w:keepNext/>
      <w:tabs>
        <w:tab w:val="clear" w:pos="720"/>
        <w:tab w:val="clear" w:pos="1296"/>
        <w:tab w:val="clear" w:pos="1872"/>
        <w:tab w:val="clear" w:pos="2448"/>
      </w:tabs>
      <w:outlineLvl w:val="8"/>
    </w:pPr>
    <w:rPr>
      <w:rFonts w:ascii="Times New Roman Bold" w:hAnsi="Times New Roman Bold"/>
      <w:b/>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563B4"/>
    <w:rPr>
      <w:rFonts w:asciiTheme="minorHAnsi" w:hAnsiTheme="minorHAnsi" w:cstheme="minorHAnsi"/>
      <w:b/>
      <w:caps/>
      <w:kern w:val="24"/>
      <w:sz w:val="24"/>
      <w:szCs w:val="22"/>
    </w:rPr>
  </w:style>
  <w:style w:type="character" w:customStyle="1" w:styleId="Heading4Char">
    <w:name w:val="Heading 4 Char"/>
    <w:basedOn w:val="DefaultParagraphFont"/>
    <w:link w:val="Heading4"/>
    <w:uiPriority w:val="9"/>
    <w:rsid w:val="00B55EC6"/>
    <w:rPr>
      <w:rFonts w:asciiTheme="minorHAnsi" w:eastAsia="SimSun" w:hAnsiTheme="minorHAnsi" w:cstheme="minorHAnsi"/>
      <w:b/>
      <w:color w:val="000000"/>
      <w:kern w:val="24"/>
      <w:sz w:val="22"/>
      <w:szCs w:val="22"/>
      <w:lang w:eastAsia="zh-CN"/>
    </w:rPr>
  </w:style>
  <w:style w:type="character" w:customStyle="1" w:styleId="Heading5Char">
    <w:name w:val="Heading 5 Char"/>
    <w:basedOn w:val="DefaultParagraphFont"/>
    <w:link w:val="Heading5"/>
    <w:uiPriority w:val="9"/>
    <w:rsid w:val="000563B4"/>
    <w:rPr>
      <w:rFonts w:asciiTheme="minorHAnsi" w:hAnsiTheme="minorHAnsi" w:cstheme="minorHAnsi"/>
      <w:b/>
      <w:kern w:val="24"/>
      <w:sz w:val="22"/>
      <w:szCs w:val="22"/>
    </w:rPr>
  </w:style>
  <w:style w:type="character" w:customStyle="1" w:styleId="Heading6Char">
    <w:name w:val="Heading 6 Char"/>
    <w:basedOn w:val="DefaultParagraphFont"/>
    <w:link w:val="Heading6"/>
    <w:uiPriority w:val="9"/>
    <w:rsid w:val="007C4407"/>
    <w:rPr>
      <w:rFonts w:asciiTheme="minorHAnsi" w:hAnsiTheme="minorHAnsi" w:cstheme="minorHAnsi"/>
      <w:b/>
      <w:caps/>
      <w:noProof/>
      <w:sz w:val="28"/>
      <w:szCs w:val="22"/>
    </w:rPr>
  </w:style>
  <w:style w:type="character" w:customStyle="1" w:styleId="Heading7Char">
    <w:name w:val="Heading 7 Char"/>
    <w:basedOn w:val="DefaultParagraphFont"/>
    <w:link w:val="Heading7"/>
    <w:uiPriority w:val="9"/>
    <w:rsid w:val="000563B4"/>
    <w:rPr>
      <w:b/>
      <w:caps/>
      <w:kern w:val="24"/>
      <w:sz w:val="24"/>
    </w:rPr>
  </w:style>
  <w:style w:type="character" w:customStyle="1" w:styleId="Heading8Char">
    <w:name w:val="Heading 8 Char"/>
    <w:aliases w:val="CEZ Heading 8 Char"/>
    <w:basedOn w:val="DefaultParagraphFont"/>
    <w:link w:val="Heading8"/>
    <w:uiPriority w:val="9"/>
    <w:rsid w:val="000563B4"/>
    <w:rPr>
      <w:b/>
      <w:kern w:val="24"/>
      <w:sz w:val="24"/>
    </w:rPr>
  </w:style>
  <w:style w:type="character" w:customStyle="1" w:styleId="Heading9Char">
    <w:name w:val="Heading 9 Char"/>
    <w:basedOn w:val="DefaultParagraphFont"/>
    <w:link w:val="Heading9"/>
    <w:uiPriority w:val="9"/>
    <w:rsid w:val="000563B4"/>
    <w:rPr>
      <w:rFonts w:ascii="Times New Roman Bold" w:hAnsi="Times New Roman Bold"/>
      <w:b/>
      <w:kern w:val="24"/>
      <w:sz w:val="22"/>
      <w:szCs w:val="22"/>
    </w:rPr>
  </w:style>
  <w:style w:type="paragraph" w:customStyle="1" w:styleId="Bullet0">
    <w:name w:val="Bullet(0)"/>
    <w:rsid w:val="00490E7D"/>
    <w:pPr>
      <w:numPr>
        <w:numId w:val="12"/>
      </w:numPr>
      <w:spacing w:line="240" w:lineRule="atLeast"/>
    </w:pPr>
    <w:rPr>
      <w:color w:val="000000"/>
      <w:sz w:val="22"/>
    </w:rPr>
  </w:style>
  <w:style w:type="paragraph" w:customStyle="1" w:styleId="Bullet14">
    <w:name w:val="Bullet(14)"/>
    <w:basedOn w:val="Normal"/>
    <w:link w:val="Bullet14Char"/>
    <w:rsid w:val="00490E7D"/>
    <w:pPr>
      <w:numPr>
        <w:numId w:val="13"/>
      </w:numPr>
      <w:tabs>
        <w:tab w:val="clear" w:pos="1296"/>
        <w:tab w:val="clear" w:pos="1872"/>
        <w:tab w:val="clear" w:pos="2448"/>
      </w:tabs>
    </w:pPr>
  </w:style>
  <w:style w:type="paragraph" w:customStyle="1" w:styleId="List14">
    <w:name w:val="List#(14)"/>
    <w:basedOn w:val="Normal"/>
    <w:link w:val="List14Char"/>
    <w:rsid w:val="00B95098"/>
    <w:pPr>
      <w:numPr>
        <w:numId w:val="28"/>
      </w:numPr>
      <w:tabs>
        <w:tab w:val="clear" w:pos="720"/>
        <w:tab w:val="clear" w:pos="1296"/>
        <w:tab w:val="clear" w:pos="1872"/>
        <w:tab w:val="clear" w:pos="2448"/>
        <w:tab w:val="left" w:pos="360"/>
      </w:tabs>
      <w:ind w:left="360"/>
    </w:pPr>
    <w:rPr>
      <w:rFonts w:eastAsia="PMingLiU"/>
    </w:rPr>
  </w:style>
  <w:style w:type="paragraph" w:customStyle="1" w:styleId="Heading-Un3">
    <w:name w:val="Heading-Un#3"/>
    <w:basedOn w:val="Normal"/>
    <w:pPr>
      <w:keepNext/>
    </w:pPr>
    <w:rPr>
      <w:i/>
    </w:rPr>
  </w:style>
  <w:style w:type="paragraph" w:customStyle="1" w:styleId="table0">
    <w:name w:val="table(0)"/>
    <w:basedOn w:val="Normal"/>
    <w:pPr>
      <w:spacing w:after="0" w:line="60" w:lineRule="exact"/>
    </w:pPr>
  </w:style>
  <w:style w:type="paragraph" w:customStyle="1" w:styleId="Endash0">
    <w:name w:val="Endash(0)"/>
    <w:rsid w:val="005837F2"/>
    <w:pPr>
      <w:numPr>
        <w:numId w:val="23"/>
      </w:numPr>
      <w:tabs>
        <w:tab w:val="left" w:pos="1440"/>
        <w:tab w:val="left" w:pos="1800"/>
      </w:tabs>
      <w:spacing w:line="280" w:lineRule="atLeast"/>
    </w:pPr>
    <w:rPr>
      <w:sz w:val="22"/>
      <w:szCs w:val="22"/>
    </w:rPr>
  </w:style>
  <w:style w:type="paragraph" w:customStyle="1" w:styleId="List0">
    <w:name w:val="List#(0)"/>
    <w:basedOn w:val="List14"/>
    <w:pPr>
      <w:numPr>
        <w:numId w:val="3"/>
      </w:numPr>
      <w:spacing w:after="0"/>
    </w:pPr>
  </w:style>
  <w:style w:type="paragraph" w:customStyle="1" w:styleId="Endash14">
    <w:name w:val="Endash(14)"/>
    <w:basedOn w:val="Endash0"/>
    <w:pPr>
      <w:numPr>
        <w:numId w:val="1"/>
      </w:numPr>
      <w:tabs>
        <w:tab w:val="num" w:pos="360"/>
        <w:tab w:val="left" w:pos="1296"/>
      </w:tabs>
      <w:spacing w:after="280"/>
      <w:ind w:left="0" w:firstLine="0"/>
    </w:pPr>
  </w:style>
  <w:style w:type="paragraph" w:styleId="Footer">
    <w:name w:val="footer"/>
    <w:basedOn w:val="Normal"/>
    <w:link w:val="FooterChar"/>
    <w:uiPriority w:val="99"/>
    <w:pPr>
      <w:pBdr>
        <w:top w:val="single" w:sz="6" w:space="1" w:color="auto"/>
      </w:pBdr>
      <w:tabs>
        <w:tab w:val="clear" w:pos="720"/>
        <w:tab w:val="clear" w:pos="1296"/>
        <w:tab w:val="clear" w:pos="1872"/>
        <w:tab w:val="clear" w:pos="2448"/>
        <w:tab w:val="right" w:pos="9360"/>
      </w:tabs>
      <w:spacing w:after="0" w:line="240" w:lineRule="auto"/>
    </w:pPr>
    <w:rPr>
      <w:sz w:val="20"/>
    </w:rPr>
  </w:style>
  <w:style w:type="paragraph" w:styleId="Header">
    <w:name w:val="header"/>
    <w:basedOn w:val="Normal"/>
    <w:link w:val="HeaderChar"/>
    <w:uiPriority w:val="99"/>
    <w:pPr>
      <w:pBdr>
        <w:bottom w:val="single" w:sz="6" w:space="1" w:color="auto"/>
      </w:pBdr>
      <w:tabs>
        <w:tab w:val="clear" w:pos="720"/>
        <w:tab w:val="clear" w:pos="1296"/>
        <w:tab w:val="clear" w:pos="1872"/>
        <w:tab w:val="clear" w:pos="2448"/>
        <w:tab w:val="center" w:pos="4680"/>
        <w:tab w:val="right" w:pos="9360"/>
      </w:tabs>
      <w:spacing w:after="0" w:line="240" w:lineRule="auto"/>
      <w:jc w:val="center"/>
    </w:pPr>
    <w:rPr>
      <w:kern w:val="20"/>
      <w:sz w:val="20"/>
    </w:rPr>
  </w:style>
  <w:style w:type="character" w:customStyle="1" w:styleId="HeaderChar">
    <w:name w:val="Header Char"/>
    <w:basedOn w:val="DefaultParagraphFont"/>
    <w:link w:val="Header"/>
    <w:uiPriority w:val="99"/>
    <w:rsid w:val="000563B4"/>
    <w:rPr>
      <w:kern w:val="20"/>
    </w:rPr>
  </w:style>
  <w:style w:type="paragraph" w:customStyle="1" w:styleId="Indent0">
    <w:name w:val="Indent(0)"/>
    <w:basedOn w:val="Normal"/>
    <w:rsid w:val="00B43ABB"/>
    <w:pPr>
      <w:tabs>
        <w:tab w:val="clear" w:pos="720"/>
      </w:tabs>
      <w:spacing w:after="0"/>
      <w:ind w:left="720"/>
    </w:pPr>
  </w:style>
  <w:style w:type="paragraph" w:customStyle="1" w:styleId="Indent14">
    <w:name w:val="Indent(14)"/>
    <w:basedOn w:val="Normal"/>
    <w:pPr>
      <w:tabs>
        <w:tab w:val="clear" w:pos="720"/>
      </w:tabs>
      <w:ind w:left="720"/>
    </w:pPr>
  </w:style>
  <w:style w:type="paragraph" w:customStyle="1" w:styleId="IntBlank">
    <w:name w:val="IntBlank"/>
    <w:basedOn w:val="Normal"/>
    <w:pPr>
      <w:spacing w:before="5000" w:after="0"/>
      <w:jc w:val="center"/>
    </w:pPr>
  </w:style>
  <w:style w:type="paragraph" w:styleId="TOC1">
    <w:name w:val="toc 1"/>
    <w:basedOn w:val="Normal"/>
    <w:next w:val="Normal"/>
    <w:autoRedefine/>
    <w:uiPriority w:val="39"/>
    <w:pPr>
      <w:tabs>
        <w:tab w:val="clear" w:pos="1296"/>
        <w:tab w:val="clear" w:pos="1872"/>
        <w:tab w:val="clear" w:pos="2448"/>
        <w:tab w:val="right" w:leader="dot" w:pos="9360"/>
      </w:tabs>
      <w:spacing w:after="140"/>
    </w:pPr>
    <w:rPr>
      <w:noProof/>
    </w:rPr>
  </w:style>
  <w:style w:type="paragraph" w:customStyle="1" w:styleId="FigureCaptionC">
    <w:name w:val="Figure Caption(C)"/>
    <w:basedOn w:val="Normal"/>
    <w:next w:val="Normal"/>
    <w:link w:val="FigureCaptionCChar"/>
    <w:rsid w:val="00D72320"/>
    <w:pPr>
      <w:tabs>
        <w:tab w:val="clear" w:pos="720"/>
        <w:tab w:val="clear" w:pos="1296"/>
        <w:tab w:val="clear" w:pos="1872"/>
        <w:tab w:val="clear" w:pos="2448"/>
        <w:tab w:val="left" w:pos="1260"/>
      </w:tabs>
      <w:spacing w:line="240" w:lineRule="auto"/>
      <w:jc w:val="center"/>
    </w:pPr>
    <w:rPr>
      <w:b/>
      <w:noProof/>
    </w:rPr>
  </w:style>
  <w:style w:type="paragraph" w:customStyle="1" w:styleId="Center-11B-Non">
    <w:name w:val="Center-11B-Non"/>
    <w:basedOn w:val="Center-11B"/>
  </w:style>
  <w:style w:type="paragraph" w:customStyle="1" w:styleId="Center-11B">
    <w:name w:val="Center-11B"/>
    <w:basedOn w:val="Center-12B"/>
    <w:rPr>
      <w:sz w:val="22"/>
    </w:rPr>
  </w:style>
  <w:style w:type="paragraph" w:customStyle="1" w:styleId="Center-12B">
    <w:name w:val="Center-12B"/>
    <w:basedOn w:val="Normal"/>
    <w:pPr>
      <w:tabs>
        <w:tab w:val="clear" w:pos="720"/>
        <w:tab w:val="clear" w:pos="1296"/>
        <w:tab w:val="clear" w:pos="1872"/>
        <w:tab w:val="clear" w:pos="2448"/>
      </w:tabs>
      <w:jc w:val="center"/>
    </w:pPr>
    <w:rPr>
      <w:b/>
      <w:sz w:val="24"/>
    </w:rPr>
  </w:style>
  <w:style w:type="paragraph" w:customStyle="1" w:styleId="Center10pt0">
    <w:name w:val="Center(10pt)(0)"/>
    <w:pPr>
      <w:widowControl w:val="0"/>
      <w:pBdr>
        <w:top w:val="single" w:sz="6" w:space="1" w:color="auto"/>
      </w:pBdr>
      <w:spacing w:line="240" w:lineRule="exact"/>
      <w:jc w:val="center"/>
    </w:pPr>
    <w:rPr>
      <w:color w:val="000000"/>
    </w:rPr>
  </w:style>
  <w:style w:type="paragraph" w:customStyle="1" w:styleId="Center10pt14">
    <w:name w:val="Center(10pt)(14)"/>
    <w:basedOn w:val="Center10pt0"/>
  </w:style>
  <w:style w:type="paragraph" w:customStyle="1" w:styleId="Approved">
    <w:name w:val="Approved"/>
    <w:basedOn w:val="Normal"/>
    <w:pPr>
      <w:tabs>
        <w:tab w:val="clear" w:pos="720"/>
        <w:tab w:val="clear" w:pos="1296"/>
        <w:tab w:val="clear" w:pos="1872"/>
        <w:tab w:val="clear" w:pos="2448"/>
        <w:tab w:val="left" w:pos="3330"/>
      </w:tabs>
      <w:spacing w:before="200"/>
      <w:ind w:left="2160"/>
    </w:pPr>
    <w:rPr>
      <w:color w:val="000000"/>
      <w:kern w:val="24"/>
    </w:rPr>
  </w:style>
  <w:style w:type="paragraph" w:customStyle="1" w:styleId="Normal35after">
    <w:name w:val="Normal (35 after)"/>
    <w:basedOn w:val="Normal"/>
    <w:pPr>
      <w:spacing w:after="700"/>
    </w:pPr>
  </w:style>
  <w:style w:type="paragraph" w:customStyle="1" w:styleId="Center-18B">
    <w:name w:val="Center-18B"/>
    <w:basedOn w:val="Normal"/>
    <w:pPr>
      <w:tabs>
        <w:tab w:val="clear" w:pos="720"/>
        <w:tab w:val="clear" w:pos="1296"/>
        <w:tab w:val="clear" w:pos="1872"/>
        <w:tab w:val="clear" w:pos="2448"/>
      </w:tabs>
      <w:spacing w:before="1000" w:after="2600" w:line="400" w:lineRule="atLeast"/>
      <w:jc w:val="center"/>
    </w:pPr>
    <w:rPr>
      <w:b/>
      <w:sz w:val="36"/>
    </w:rPr>
  </w:style>
  <w:style w:type="paragraph" w:customStyle="1" w:styleId="Center-12">
    <w:name w:val="Center-12"/>
    <w:basedOn w:val="Normal"/>
    <w:pPr>
      <w:tabs>
        <w:tab w:val="clear" w:pos="720"/>
        <w:tab w:val="clear" w:pos="1296"/>
        <w:tab w:val="clear" w:pos="1872"/>
        <w:tab w:val="clear" w:pos="2448"/>
      </w:tabs>
      <w:jc w:val="center"/>
    </w:pPr>
    <w:rPr>
      <w:kern w:val="24"/>
      <w:sz w:val="24"/>
    </w:rPr>
  </w:style>
  <w:style w:type="paragraph" w:customStyle="1" w:styleId="Equation">
    <w:name w:val="Equation"/>
    <w:basedOn w:val="Normal"/>
    <w:link w:val="EquationChar"/>
    <w:pPr>
      <w:tabs>
        <w:tab w:val="clear" w:pos="720"/>
        <w:tab w:val="clear" w:pos="1296"/>
        <w:tab w:val="clear" w:pos="1872"/>
        <w:tab w:val="clear" w:pos="2448"/>
        <w:tab w:val="center" w:pos="4680"/>
        <w:tab w:val="right" w:pos="9360"/>
      </w:tabs>
    </w:pPr>
  </w:style>
  <w:style w:type="paragraph" w:customStyle="1" w:styleId="TableHead">
    <w:name w:val="Table Head"/>
    <w:basedOn w:val="Normal"/>
    <w:rsid w:val="009A7CFD"/>
    <w:pPr>
      <w:tabs>
        <w:tab w:val="clear" w:pos="720"/>
        <w:tab w:val="clear" w:pos="1296"/>
        <w:tab w:val="clear" w:pos="1872"/>
        <w:tab w:val="clear" w:pos="2448"/>
      </w:tabs>
      <w:spacing w:before="70" w:after="70" w:line="240" w:lineRule="auto"/>
      <w:jc w:val="center"/>
    </w:pPr>
    <w:rPr>
      <w:b/>
    </w:rPr>
  </w:style>
  <w:style w:type="paragraph" w:customStyle="1" w:styleId="TableBody">
    <w:name w:val="Table Body"/>
    <w:basedOn w:val="Normal"/>
    <w:pPr>
      <w:tabs>
        <w:tab w:val="clear" w:pos="720"/>
        <w:tab w:val="clear" w:pos="1296"/>
        <w:tab w:val="clear" w:pos="1872"/>
        <w:tab w:val="clear" w:pos="2448"/>
      </w:tabs>
      <w:spacing w:before="70" w:after="70" w:line="240" w:lineRule="auto"/>
    </w:pPr>
    <w:rPr>
      <w:sz w:val="20"/>
    </w:rPr>
  </w:style>
  <w:style w:type="paragraph" w:customStyle="1" w:styleId="TableTitle">
    <w:name w:val="TableTitle"/>
    <w:basedOn w:val="Normal"/>
    <w:link w:val="TableTitleChar"/>
    <w:rsid w:val="00504138"/>
    <w:pPr>
      <w:tabs>
        <w:tab w:val="clear" w:pos="720"/>
        <w:tab w:val="clear" w:pos="1296"/>
        <w:tab w:val="clear" w:pos="1872"/>
        <w:tab w:val="clear" w:pos="2448"/>
      </w:tabs>
      <w:spacing w:before="70" w:after="70" w:line="240" w:lineRule="auto"/>
      <w:ind w:left="1296" w:hanging="1296"/>
    </w:pPr>
    <w:rPr>
      <w:b/>
      <w:color w:val="000000"/>
    </w:rPr>
  </w:style>
  <w:style w:type="paragraph" w:customStyle="1" w:styleId="TableBodyCtr">
    <w:name w:val="Table Body Ctr"/>
    <w:basedOn w:val="TableBody"/>
    <w:pPr>
      <w:jc w:val="center"/>
    </w:pPr>
  </w:style>
  <w:style w:type="paragraph" w:customStyle="1" w:styleId="TableFootnote">
    <w:name w:val="TableFootnote"/>
    <w:link w:val="TableFootnoteChar"/>
    <w:pPr>
      <w:tabs>
        <w:tab w:val="left" w:pos="360"/>
      </w:tabs>
      <w:ind w:left="360" w:hanging="360"/>
    </w:pPr>
    <w:rPr>
      <w:color w:val="000000"/>
      <w:kern w:val="18"/>
      <w:sz w:val="18"/>
    </w:rPr>
  </w:style>
  <w:style w:type="paragraph" w:customStyle="1" w:styleId="Figure">
    <w:name w:val="Figure"/>
    <w:basedOn w:val="Normal"/>
    <w:next w:val="Normal"/>
    <w:link w:val="FigureChar"/>
    <w:pPr>
      <w:tabs>
        <w:tab w:val="clear" w:pos="720"/>
        <w:tab w:val="clear" w:pos="1296"/>
        <w:tab w:val="clear" w:pos="1872"/>
        <w:tab w:val="clear" w:pos="2448"/>
      </w:tabs>
      <w:jc w:val="center"/>
    </w:pPr>
    <w:rPr>
      <w:color w:val="000000"/>
    </w:rPr>
  </w:style>
  <w:style w:type="paragraph" w:customStyle="1" w:styleId="FigureCaptionL">
    <w:name w:val="Figure Caption(L)"/>
    <w:basedOn w:val="Normal"/>
    <w:next w:val="Normal"/>
    <w:rsid w:val="00C21D1A"/>
    <w:pPr>
      <w:tabs>
        <w:tab w:val="clear" w:pos="720"/>
        <w:tab w:val="clear" w:pos="1872"/>
        <w:tab w:val="clear" w:pos="2448"/>
      </w:tabs>
      <w:spacing w:line="240" w:lineRule="auto"/>
      <w:ind w:left="1296" w:hanging="1296"/>
    </w:pPr>
    <w:rPr>
      <w:b/>
    </w:rPr>
  </w:style>
  <w:style w:type="paragraph" w:customStyle="1" w:styleId="List-a140">
    <w:name w:val="List-a(14)"/>
    <w:basedOn w:val="List-a0"/>
    <w:pPr>
      <w:numPr>
        <w:numId w:val="4"/>
      </w:numPr>
      <w:spacing w:after="280"/>
    </w:pPr>
  </w:style>
  <w:style w:type="paragraph" w:customStyle="1" w:styleId="List-a0">
    <w:name w:val="List-a(0)"/>
    <w:basedOn w:val="Normal"/>
    <w:pPr>
      <w:numPr>
        <w:numId w:val="5"/>
      </w:numPr>
      <w:tabs>
        <w:tab w:val="clear" w:pos="720"/>
        <w:tab w:val="clear" w:pos="2448"/>
      </w:tabs>
      <w:spacing w:after="0"/>
    </w:pPr>
  </w:style>
  <w:style w:type="paragraph" w:customStyle="1" w:styleId="Table-10pt12-0">
    <w:name w:val="Table-10pt(12-0)"/>
    <w:basedOn w:val="Normal"/>
    <w:rsid w:val="003545AF"/>
    <w:pPr>
      <w:tabs>
        <w:tab w:val="clear" w:pos="720"/>
        <w:tab w:val="clear" w:pos="1296"/>
        <w:tab w:val="clear" w:pos="1872"/>
        <w:tab w:val="clear" w:pos="2448"/>
        <w:tab w:val="left" w:pos="192"/>
      </w:tabs>
      <w:suppressAutoHyphens/>
      <w:spacing w:before="240" w:after="0" w:line="240" w:lineRule="auto"/>
    </w:pPr>
    <w:rPr>
      <w:rFonts w:ascii="Arial" w:hAnsi="Arial" w:cs="Arial"/>
      <w:kern w:val="0"/>
      <w:sz w:val="20"/>
    </w:rPr>
  </w:style>
  <w:style w:type="paragraph" w:customStyle="1" w:styleId="TableBulletafteranumber">
    <w:name w:val="Table Bullet after (a) number"/>
    <w:basedOn w:val="TableBulleta"/>
    <w:qFormat/>
    <w:rsid w:val="003545AF"/>
    <w:pPr>
      <w:numPr>
        <w:numId w:val="34"/>
      </w:numPr>
    </w:pPr>
  </w:style>
  <w:style w:type="paragraph" w:customStyle="1" w:styleId="TableTitlecont">
    <w:name w:val="TableTitle(cont.)"/>
    <w:basedOn w:val="TableTitle"/>
    <w:pPr>
      <w:tabs>
        <w:tab w:val="left" w:pos="1296"/>
      </w:tabs>
      <w:ind w:left="0" w:firstLine="0"/>
    </w:pPr>
  </w:style>
  <w:style w:type="paragraph" w:customStyle="1" w:styleId="Bullet20">
    <w:name w:val="Bullet2(0)"/>
    <w:basedOn w:val="Bullet0"/>
    <w:rsid w:val="00490E7D"/>
    <w:pPr>
      <w:numPr>
        <w:numId w:val="14"/>
      </w:numPr>
      <w:spacing w:line="280" w:lineRule="atLeast"/>
    </w:pPr>
  </w:style>
  <w:style w:type="paragraph" w:customStyle="1" w:styleId="Normal0">
    <w:name w:val="Normal(0)"/>
    <w:basedOn w:val="Normal"/>
    <w:pPr>
      <w:spacing w:after="0"/>
    </w:pPr>
  </w:style>
  <w:style w:type="paragraph" w:customStyle="1" w:styleId="Bullet214">
    <w:name w:val="Bullet2(14)"/>
    <w:basedOn w:val="Bullet20"/>
    <w:rsid w:val="00490E7D"/>
    <w:pPr>
      <w:numPr>
        <w:numId w:val="15"/>
      </w:numPr>
      <w:spacing w:after="280"/>
    </w:pPr>
  </w:style>
  <w:style w:type="paragraph" w:customStyle="1" w:styleId="Heading-Un1">
    <w:name w:val="Heading-Un#1"/>
    <w:basedOn w:val="Normal"/>
    <w:pPr>
      <w:keepNext/>
    </w:pPr>
    <w:rPr>
      <w:b/>
    </w:rPr>
  </w:style>
  <w:style w:type="paragraph" w:customStyle="1" w:styleId="Heading-Un2">
    <w:name w:val="Heading-Un#2"/>
    <w:basedOn w:val="Normal"/>
    <w:pPr>
      <w:keepNext/>
    </w:pPr>
    <w:rPr>
      <w:u w:val="single"/>
    </w:rPr>
  </w:style>
  <w:style w:type="paragraph" w:customStyle="1" w:styleId="TOC71">
    <w:name w:val="TOC 71"/>
    <w:basedOn w:val="Normal"/>
    <w:pPr>
      <w:tabs>
        <w:tab w:val="clear" w:pos="720"/>
        <w:tab w:val="clear" w:pos="1296"/>
        <w:tab w:val="clear" w:pos="1872"/>
        <w:tab w:val="clear" w:pos="2448"/>
        <w:tab w:val="left" w:pos="1440"/>
        <w:tab w:val="right" w:leader="dot" w:pos="9360"/>
      </w:tabs>
      <w:spacing w:after="140"/>
      <w:ind w:left="1440" w:hanging="1440"/>
    </w:pPr>
  </w:style>
  <w:style w:type="paragraph" w:customStyle="1" w:styleId="Center10pt7">
    <w:name w:val="Center(10pt)(7)"/>
    <w:basedOn w:val="Center10pt0"/>
    <w:pPr>
      <w:spacing w:after="140"/>
    </w:pPr>
  </w:style>
  <w:style w:type="paragraph" w:customStyle="1" w:styleId="W-Prop-Class">
    <w:name w:val="W-Prop-Class"/>
    <w:basedOn w:val="Normal"/>
    <w:semiHidden/>
    <w:pPr>
      <w:tabs>
        <w:tab w:val="clear" w:pos="720"/>
        <w:tab w:val="clear" w:pos="1296"/>
        <w:tab w:val="clear" w:pos="1872"/>
        <w:tab w:val="clear" w:pos="2448"/>
      </w:tabs>
      <w:spacing w:after="360"/>
      <w:jc w:val="center"/>
    </w:pPr>
    <w:rPr>
      <w:rFonts w:ascii="Tech Sans Medium" w:hAnsi="Tech Sans Medium"/>
      <w:b/>
      <w:sz w:val="24"/>
    </w:rPr>
  </w:style>
  <w:style w:type="paragraph" w:customStyle="1" w:styleId="WCAP">
    <w:name w:val="WCAP#"/>
    <w:basedOn w:val="Normal"/>
    <w:semiHidden/>
    <w:pPr>
      <w:tabs>
        <w:tab w:val="clear" w:pos="720"/>
        <w:tab w:val="clear" w:pos="1296"/>
        <w:tab w:val="clear" w:pos="1872"/>
        <w:tab w:val="clear" w:pos="2448"/>
        <w:tab w:val="right" w:pos="8827"/>
      </w:tabs>
      <w:spacing w:after="0"/>
    </w:pPr>
    <w:rPr>
      <w:rFonts w:ascii="Tech Sans Medium" w:hAnsi="Tech Sans Medium"/>
      <w:sz w:val="24"/>
    </w:rPr>
  </w:style>
  <w:style w:type="paragraph" w:customStyle="1" w:styleId="Revision">
    <w:name w:val="Revision#"/>
    <w:basedOn w:val="Normal"/>
    <w:semiHidden/>
    <w:pPr>
      <w:tabs>
        <w:tab w:val="clear" w:pos="720"/>
        <w:tab w:val="clear" w:pos="1296"/>
        <w:tab w:val="clear" w:pos="1872"/>
        <w:tab w:val="clear" w:pos="2448"/>
      </w:tabs>
      <w:spacing w:after="1720"/>
    </w:pPr>
    <w:rPr>
      <w:rFonts w:ascii="Tech Sans Medium" w:hAnsi="Tech Sans Medium"/>
      <w:sz w:val="24"/>
    </w:rPr>
  </w:style>
  <w:style w:type="paragraph" w:customStyle="1" w:styleId="WCAP-Title">
    <w:name w:val="WCAP-Title"/>
    <w:basedOn w:val="Normal"/>
    <w:rsid w:val="00B43ABB"/>
    <w:pPr>
      <w:tabs>
        <w:tab w:val="clear" w:pos="720"/>
        <w:tab w:val="clear" w:pos="1296"/>
        <w:tab w:val="clear" w:pos="1872"/>
        <w:tab w:val="clear" w:pos="2448"/>
        <w:tab w:val="right" w:pos="8827"/>
      </w:tabs>
      <w:ind w:left="1627" w:right="1987"/>
    </w:pPr>
    <w:rPr>
      <w:rFonts w:ascii="Arial" w:hAnsi="Arial" w:cs="Arial"/>
      <w:b/>
      <w:sz w:val="48"/>
      <w:szCs w:val="48"/>
    </w:rPr>
  </w:style>
  <w:style w:type="paragraph" w:customStyle="1" w:styleId="Center-14B">
    <w:name w:val="Center-14B"/>
    <w:basedOn w:val="Normal"/>
    <w:pPr>
      <w:spacing w:after="320" w:line="320" w:lineRule="atLeast"/>
      <w:jc w:val="center"/>
    </w:pPr>
    <w:rPr>
      <w:b/>
      <w:sz w:val="28"/>
    </w:rPr>
  </w:style>
  <w:style w:type="paragraph" w:customStyle="1" w:styleId="where14">
    <w:name w:val="where(14)"/>
    <w:basedOn w:val="Normal"/>
    <w:pPr>
      <w:tabs>
        <w:tab w:val="clear" w:pos="720"/>
        <w:tab w:val="clear" w:pos="1296"/>
        <w:tab w:val="clear" w:pos="1872"/>
        <w:tab w:val="clear" w:pos="2448"/>
        <w:tab w:val="left" w:pos="2070"/>
        <w:tab w:val="left" w:pos="2430"/>
      </w:tabs>
      <w:ind w:left="720"/>
    </w:pPr>
  </w:style>
  <w:style w:type="paragraph" w:customStyle="1" w:styleId="where0">
    <w:name w:val="where(0)"/>
    <w:basedOn w:val="where14"/>
    <w:pPr>
      <w:spacing w:after="0"/>
    </w:pPr>
  </w:style>
  <w:style w:type="paragraph" w:customStyle="1" w:styleId="TOC10">
    <w:name w:val="TOC1(0)"/>
    <w:basedOn w:val="Normal"/>
    <w:pPr>
      <w:tabs>
        <w:tab w:val="clear" w:pos="1296"/>
        <w:tab w:val="clear" w:pos="1872"/>
        <w:tab w:val="clear" w:pos="2448"/>
        <w:tab w:val="right" w:leader="dot" w:pos="9360"/>
      </w:tabs>
      <w:spacing w:before="280" w:after="0"/>
      <w:ind w:left="720" w:hanging="720"/>
    </w:pPr>
  </w:style>
  <w:style w:type="paragraph" w:customStyle="1" w:styleId="TOC20">
    <w:name w:val="TOC2(0)"/>
    <w:basedOn w:val="Normal"/>
    <w:pPr>
      <w:tabs>
        <w:tab w:val="clear" w:pos="720"/>
        <w:tab w:val="clear" w:pos="1296"/>
        <w:tab w:val="clear" w:pos="1872"/>
        <w:tab w:val="clear" w:pos="2448"/>
        <w:tab w:val="left" w:pos="1440"/>
        <w:tab w:val="right" w:leader="dot" w:pos="9360"/>
      </w:tabs>
      <w:spacing w:after="0"/>
      <w:ind w:left="1440" w:hanging="720"/>
    </w:pPr>
  </w:style>
  <w:style w:type="paragraph" w:customStyle="1" w:styleId="TOC30">
    <w:name w:val="TOC3(0)"/>
    <w:basedOn w:val="Normal"/>
    <w:pPr>
      <w:tabs>
        <w:tab w:val="clear" w:pos="720"/>
        <w:tab w:val="clear" w:pos="1296"/>
        <w:tab w:val="clear" w:pos="1872"/>
        <w:tab w:val="clear" w:pos="2448"/>
        <w:tab w:val="left" w:pos="2340"/>
        <w:tab w:val="right" w:leader="dot" w:pos="9360"/>
      </w:tabs>
      <w:spacing w:after="0"/>
      <w:ind w:left="2340" w:hanging="900"/>
    </w:pPr>
  </w:style>
  <w:style w:type="paragraph" w:styleId="TOC2">
    <w:name w:val="toc 2"/>
    <w:basedOn w:val="Normal"/>
    <w:next w:val="Normal"/>
    <w:autoRedefine/>
    <w:uiPriority w:val="39"/>
    <w:rsid w:val="00C8793C"/>
    <w:pPr>
      <w:tabs>
        <w:tab w:val="clear" w:pos="1296"/>
        <w:tab w:val="clear" w:pos="1872"/>
        <w:tab w:val="clear" w:pos="2448"/>
        <w:tab w:val="left" w:pos="1440"/>
        <w:tab w:val="right" w:leader="dot" w:pos="9360"/>
      </w:tabs>
      <w:spacing w:after="0"/>
      <w:ind w:left="720" w:right="619" w:hanging="720"/>
    </w:pPr>
    <w:rPr>
      <w:caps/>
      <w:noProof/>
    </w:rPr>
  </w:style>
  <w:style w:type="paragraph" w:styleId="TOC3">
    <w:name w:val="toc 3"/>
    <w:basedOn w:val="Normal"/>
    <w:next w:val="Normal"/>
    <w:link w:val="TOC3Char"/>
    <w:autoRedefine/>
    <w:uiPriority w:val="39"/>
    <w:rsid w:val="00C8793C"/>
    <w:pPr>
      <w:tabs>
        <w:tab w:val="clear" w:pos="720"/>
        <w:tab w:val="clear" w:pos="1296"/>
        <w:tab w:val="clear" w:pos="1872"/>
        <w:tab w:val="clear" w:pos="2448"/>
        <w:tab w:val="left" w:pos="1440"/>
        <w:tab w:val="right" w:leader="dot" w:pos="9360"/>
      </w:tabs>
      <w:spacing w:after="0"/>
      <w:ind w:left="1440" w:right="902" w:hanging="720"/>
    </w:pPr>
    <w:rPr>
      <w:caps/>
      <w:noProof/>
    </w:rPr>
  </w:style>
  <w:style w:type="paragraph" w:styleId="TOC4">
    <w:name w:val="toc 4"/>
    <w:basedOn w:val="Normal"/>
    <w:next w:val="Normal"/>
    <w:autoRedefine/>
    <w:uiPriority w:val="39"/>
    <w:rsid w:val="00021215"/>
    <w:pPr>
      <w:tabs>
        <w:tab w:val="clear" w:pos="720"/>
        <w:tab w:val="clear" w:pos="1296"/>
        <w:tab w:val="clear" w:pos="1872"/>
        <w:tab w:val="clear" w:pos="2448"/>
        <w:tab w:val="left" w:pos="2340"/>
        <w:tab w:val="right" w:leader="dot" w:pos="9350"/>
      </w:tabs>
      <w:spacing w:after="0"/>
      <w:ind w:left="2347" w:hanging="907"/>
    </w:pPr>
    <w:rPr>
      <w:noProof/>
    </w:rPr>
  </w:style>
  <w:style w:type="paragraph" w:styleId="TOC5">
    <w:name w:val="toc 5"/>
    <w:basedOn w:val="Normal"/>
    <w:next w:val="Normal"/>
    <w:autoRedefine/>
    <w:pPr>
      <w:tabs>
        <w:tab w:val="clear" w:pos="720"/>
        <w:tab w:val="clear" w:pos="1296"/>
        <w:tab w:val="clear" w:pos="1872"/>
        <w:tab w:val="clear" w:pos="2448"/>
      </w:tabs>
      <w:ind w:left="880"/>
    </w:pPr>
  </w:style>
  <w:style w:type="paragraph" w:styleId="TOC6">
    <w:name w:val="toc 6"/>
    <w:basedOn w:val="Normal"/>
    <w:next w:val="Normal"/>
    <w:autoRedefine/>
    <w:pPr>
      <w:tabs>
        <w:tab w:val="clear" w:pos="720"/>
        <w:tab w:val="clear" w:pos="1296"/>
        <w:tab w:val="clear" w:pos="1872"/>
        <w:tab w:val="clear" w:pos="2448"/>
      </w:tabs>
      <w:ind w:left="1100"/>
    </w:pPr>
  </w:style>
  <w:style w:type="paragraph" w:customStyle="1" w:styleId="toc70">
    <w:name w:val="toc 70"/>
    <w:basedOn w:val="Normal"/>
    <w:next w:val="Normal"/>
    <w:autoRedefine/>
    <w:pPr>
      <w:tabs>
        <w:tab w:val="clear" w:pos="720"/>
        <w:tab w:val="clear" w:pos="1296"/>
        <w:tab w:val="clear" w:pos="1872"/>
        <w:tab w:val="clear" w:pos="2448"/>
        <w:tab w:val="left" w:pos="1440"/>
        <w:tab w:val="right" w:leader="dot" w:pos="9360"/>
      </w:tabs>
      <w:spacing w:after="140"/>
      <w:ind w:left="1440" w:hanging="1440"/>
    </w:pPr>
  </w:style>
  <w:style w:type="paragraph" w:styleId="TOC8">
    <w:name w:val="toc 8"/>
    <w:basedOn w:val="Normal"/>
    <w:next w:val="Normal"/>
    <w:autoRedefine/>
    <w:pPr>
      <w:tabs>
        <w:tab w:val="clear" w:pos="720"/>
        <w:tab w:val="clear" w:pos="1296"/>
        <w:tab w:val="clear" w:pos="1872"/>
        <w:tab w:val="clear" w:pos="2448"/>
      </w:tabs>
      <w:ind w:left="1540"/>
    </w:pPr>
  </w:style>
  <w:style w:type="paragraph" w:styleId="TOC9">
    <w:name w:val="toc 9"/>
    <w:basedOn w:val="Normal"/>
    <w:next w:val="Normal"/>
    <w:autoRedefine/>
    <w:rsid w:val="00FD781B"/>
    <w:pPr>
      <w:tabs>
        <w:tab w:val="clear" w:pos="720"/>
        <w:tab w:val="clear" w:pos="1296"/>
        <w:tab w:val="clear" w:pos="1872"/>
        <w:tab w:val="clear" w:pos="2448"/>
        <w:tab w:val="left" w:pos="1440"/>
        <w:tab w:val="right" w:leader="dot" w:pos="9360"/>
      </w:tabs>
      <w:spacing w:after="140"/>
      <w:ind w:left="1440" w:hanging="1440"/>
    </w:pPr>
    <w:rPr>
      <w:b/>
    </w:rPr>
  </w:style>
  <w:style w:type="paragraph" w:styleId="BodyText">
    <w:name w:val="Body Text"/>
    <w:basedOn w:val="Normal"/>
    <w:link w:val="BodyTextChar"/>
    <w:rPr>
      <w:color w:val="FF0000"/>
    </w:rPr>
  </w:style>
  <w:style w:type="paragraph" w:customStyle="1" w:styleId="acronym">
    <w:name w:val="acronym"/>
    <w:basedOn w:val="Normal"/>
    <w:pPr>
      <w:tabs>
        <w:tab w:val="clear" w:pos="720"/>
        <w:tab w:val="clear" w:pos="1296"/>
        <w:tab w:val="clear" w:pos="1872"/>
        <w:tab w:val="clear" w:pos="2448"/>
        <w:tab w:val="left" w:pos="1800"/>
      </w:tabs>
      <w:spacing w:after="0"/>
      <w:ind w:left="1800" w:hanging="1800"/>
    </w:pPr>
  </w:style>
  <w:style w:type="paragraph" w:customStyle="1" w:styleId="TableNote">
    <w:name w:val="TableNote"/>
    <w:link w:val="TableNoteChar"/>
    <w:pPr>
      <w:spacing w:before="70"/>
    </w:pPr>
    <w:rPr>
      <w:rFonts w:ascii="Times New Roman Bold" w:hAnsi="Times New Roman Bold"/>
      <w:b/>
      <w:color w:val="000000"/>
      <w:kern w:val="18"/>
      <w:sz w:val="18"/>
      <w:szCs w:val="18"/>
    </w:rPr>
  </w:style>
  <w:style w:type="paragraph" w:customStyle="1" w:styleId="Heading2-Text">
    <w:name w:val="Heading 2-Text"/>
    <w:basedOn w:val="Normal"/>
    <w:pPr>
      <w:ind w:left="720" w:hanging="720"/>
    </w:pPr>
  </w:style>
  <w:style w:type="paragraph" w:customStyle="1" w:styleId="Heading3-Text">
    <w:name w:val="Heading 3-Text"/>
    <w:basedOn w:val="Heading2-Text"/>
  </w:style>
  <w:style w:type="paragraph" w:customStyle="1" w:styleId="Indent214">
    <w:name w:val="Indent2(14)"/>
    <w:basedOn w:val="Indent14"/>
    <w:pPr>
      <w:tabs>
        <w:tab w:val="clear" w:pos="1296"/>
        <w:tab w:val="clear" w:pos="1872"/>
        <w:tab w:val="clear" w:pos="2448"/>
      </w:tabs>
      <w:ind w:left="1296"/>
    </w:pPr>
  </w:style>
  <w:style w:type="paragraph" w:customStyle="1" w:styleId="Indent314">
    <w:name w:val="Indent3(14)"/>
    <w:basedOn w:val="Indent214"/>
    <w:pPr>
      <w:ind w:left="1872"/>
    </w:pPr>
  </w:style>
  <w:style w:type="paragraph" w:customStyle="1" w:styleId="Indent20">
    <w:name w:val="Indent2(0)"/>
    <w:basedOn w:val="Indent214"/>
    <w:pPr>
      <w:spacing w:after="0"/>
    </w:pPr>
  </w:style>
  <w:style w:type="paragraph" w:customStyle="1" w:styleId="Indent30">
    <w:name w:val="Indent3(0)"/>
    <w:basedOn w:val="Indent314"/>
  </w:style>
  <w:style w:type="character" w:customStyle="1" w:styleId="WCAP0">
    <w:name w:val="WCAP"/>
    <w:basedOn w:val="DefaultParagraphFont"/>
    <w:semiHidden/>
    <w:rPr>
      <w:rFonts w:ascii="Arial" w:hAnsi="Arial"/>
      <w:sz w:val="22"/>
    </w:rPr>
  </w:style>
  <w:style w:type="character" w:customStyle="1" w:styleId="MonYr">
    <w:name w:val="MonYr"/>
    <w:basedOn w:val="DefaultParagraphFont"/>
    <w:semiHidden/>
    <w:rPr>
      <w:rFonts w:ascii="Arial" w:hAnsi="Arial"/>
      <w:sz w:val="22"/>
    </w:rPr>
  </w:style>
  <w:style w:type="character" w:customStyle="1" w:styleId="RevNo">
    <w:name w:val="RevNo"/>
    <w:basedOn w:val="DefaultParagraphFont"/>
    <w:semiHidden/>
    <w:rPr>
      <w:rFonts w:ascii="Arial" w:hAnsi="Arial"/>
      <w:sz w:val="22"/>
    </w:rPr>
  </w:style>
  <w:style w:type="paragraph" w:customStyle="1" w:styleId="Endash214">
    <w:name w:val="Endash2(14)"/>
    <w:basedOn w:val="Normal"/>
    <w:pPr>
      <w:numPr>
        <w:numId w:val="6"/>
      </w:numPr>
      <w:tabs>
        <w:tab w:val="clear" w:pos="720"/>
        <w:tab w:val="clear" w:pos="1296"/>
        <w:tab w:val="clear" w:pos="1872"/>
      </w:tabs>
    </w:pPr>
  </w:style>
  <w:style w:type="paragraph" w:customStyle="1" w:styleId="Endash20">
    <w:name w:val="Endash2(0)"/>
    <w:rsid w:val="005837F2"/>
    <w:pPr>
      <w:numPr>
        <w:numId w:val="26"/>
      </w:numPr>
      <w:tabs>
        <w:tab w:val="left" w:pos="2160"/>
      </w:tabs>
      <w:spacing w:line="280" w:lineRule="atLeast"/>
    </w:pPr>
    <w:rPr>
      <w:sz w:val="22"/>
      <w:szCs w:val="22"/>
    </w:rPr>
  </w:style>
  <w:style w:type="paragraph" w:customStyle="1" w:styleId="List140">
    <w:name w:val="List#)(14)"/>
    <w:basedOn w:val="Normal"/>
    <w:rsid w:val="00B43ABB"/>
    <w:pPr>
      <w:numPr>
        <w:numId w:val="7"/>
      </w:numPr>
      <w:tabs>
        <w:tab w:val="clear" w:pos="720"/>
        <w:tab w:val="clear" w:pos="1296"/>
      </w:tabs>
    </w:pPr>
  </w:style>
  <w:style w:type="paragraph" w:customStyle="1" w:styleId="List00">
    <w:name w:val="List#)(0)"/>
    <w:basedOn w:val="List140"/>
    <w:rsid w:val="00B43ABB"/>
    <w:pPr>
      <w:spacing w:after="0"/>
    </w:pPr>
  </w:style>
  <w:style w:type="paragraph" w:customStyle="1" w:styleId="List-a14">
    <w:name w:val="List-a)(14)"/>
    <w:basedOn w:val="Normal"/>
    <w:rsid w:val="00B43ABB"/>
    <w:pPr>
      <w:numPr>
        <w:numId w:val="8"/>
      </w:numPr>
      <w:tabs>
        <w:tab w:val="clear" w:pos="720"/>
        <w:tab w:val="clear" w:pos="1296"/>
        <w:tab w:val="clear" w:pos="1872"/>
      </w:tabs>
    </w:pPr>
  </w:style>
  <w:style w:type="paragraph" w:customStyle="1" w:styleId="List-a00">
    <w:name w:val="List-a)(0)"/>
    <w:basedOn w:val="List-a14"/>
    <w:rsid w:val="00B43ABB"/>
    <w:pPr>
      <w:spacing w:after="0"/>
    </w:pPr>
  </w:style>
  <w:style w:type="paragraph" w:customStyle="1" w:styleId="TableFootnote35">
    <w:name w:val="TableFootnote (3.5)"/>
    <w:link w:val="TableFootnote35Char"/>
    <w:pPr>
      <w:spacing w:after="70"/>
      <w:ind w:left="360" w:hanging="360"/>
    </w:pPr>
    <w:rPr>
      <w:color w:val="000000"/>
      <w:kern w:val="18"/>
      <w:sz w:val="18"/>
    </w:rPr>
  </w:style>
  <w:style w:type="paragraph" w:styleId="TableofFigures">
    <w:name w:val="table of figures"/>
    <w:basedOn w:val="Normal"/>
    <w:next w:val="Normal"/>
    <w:uiPriority w:val="99"/>
    <w:pPr>
      <w:tabs>
        <w:tab w:val="clear" w:pos="720"/>
        <w:tab w:val="clear" w:pos="1296"/>
        <w:tab w:val="clear" w:pos="1872"/>
        <w:tab w:val="clear" w:pos="2448"/>
        <w:tab w:val="left" w:pos="1440"/>
        <w:tab w:val="right" w:leader="dot" w:pos="9350"/>
      </w:tabs>
      <w:spacing w:after="140"/>
      <w:ind w:left="1440" w:hanging="1440"/>
    </w:pPr>
    <w:rPr>
      <w:noProof/>
    </w:rPr>
  </w:style>
  <w:style w:type="paragraph" w:customStyle="1" w:styleId="HeaderLandscape">
    <w:name w:val="HeaderLandscape"/>
    <w:basedOn w:val="Header"/>
    <w:pPr>
      <w:tabs>
        <w:tab w:val="clear" w:pos="4680"/>
        <w:tab w:val="clear" w:pos="9360"/>
        <w:tab w:val="center" w:pos="6480"/>
        <w:tab w:val="right" w:pos="12960"/>
      </w:tabs>
      <w:jc w:val="left"/>
    </w:pPr>
  </w:style>
  <w:style w:type="paragraph" w:customStyle="1" w:styleId="FooterLandscape">
    <w:name w:val="FooterLandscape"/>
    <w:basedOn w:val="Footer"/>
    <w:pPr>
      <w:pBdr>
        <w:top w:val="single" w:sz="6" w:space="0" w:color="auto"/>
      </w:pBdr>
      <w:tabs>
        <w:tab w:val="clear" w:pos="9360"/>
        <w:tab w:val="right" w:pos="12960"/>
      </w:tabs>
    </w:pPr>
  </w:style>
  <w:style w:type="paragraph" w:customStyle="1" w:styleId="TOC414">
    <w:name w:val="TOC 4(14)"/>
    <w:basedOn w:val="TOC4"/>
    <w:pPr>
      <w:spacing w:after="280"/>
    </w:pPr>
  </w:style>
  <w:style w:type="paragraph" w:customStyle="1" w:styleId="TOC314">
    <w:name w:val="TOC 3(14)"/>
    <w:basedOn w:val="TOC3"/>
    <w:pPr>
      <w:spacing w:after="280"/>
    </w:pPr>
  </w:style>
  <w:style w:type="paragraph" w:customStyle="1" w:styleId="TOC114">
    <w:name w:val="TOC 1(14)"/>
    <w:basedOn w:val="TOC1"/>
    <w:pPr>
      <w:spacing w:after="280"/>
    </w:pPr>
  </w:style>
  <w:style w:type="character" w:customStyle="1" w:styleId="WCAPTitle">
    <w:name w:val="WCAPTitle"/>
    <w:basedOn w:val="DefaultParagraphFont"/>
    <w:semiHidden/>
    <w:rsid w:val="00B43ABB"/>
  </w:style>
  <w:style w:type="paragraph" w:customStyle="1" w:styleId="TOC214">
    <w:name w:val="TOC 2(14)"/>
    <w:basedOn w:val="TOC2"/>
    <w:pPr>
      <w:spacing w:after="280"/>
    </w:pPr>
  </w:style>
  <w:style w:type="paragraph" w:customStyle="1" w:styleId="PropStatement">
    <w:name w:val="PropStatement"/>
    <w:basedOn w:val="Normal"/>
    <w:pPr>
      <w:spacing w:before="200"/>
    </w:pPr>
  </w:style>
  <w:style w:type="paragraph" w:customStyle="1" w:styleId="EDMS">
    <w:name w:val="EDMS"/>
    <w:basedOn w:val="Normal"/>
    <w:pPr>
      <w:spacing w:after="0" w:line="240" w:lineRule="auto"/>
    </w:pPr>
    <w:rPr>
      <w:sz w:val="20"/>
    </w:rPr>
  </w:style>
  <w:style w:type="paragraph" w:customStyle="1" w:styleId="Heading4-Text">
    <w:name w:val="Heading 4-Text"/>
    <w:basedOn w:val="Heading2-Text"/>
  </w:style>
  <w:style w:type="paragraph" w:customStyle="1" w:styleId="WCAPcover">
    <w:name w:val="WCAP_cover"/>
    <w:basedOn w:val="Normal"/>
    <w:pPr>
      <w:tabs>
        <w:tab w:val="right" w:pos="8820"/>
      </w:tabs>
      <w:spacing w:before="440" w:after="1720"/>
      <w:ind w:left="1627"/>
    </w:pPr>
    <w:rPr>
      <w:rFonts w:ascii="Arial" w:hAnsi="Arial"/>
      <w:sz w:val="24"/>
      <w:szCs w:val="24"/>
    </w:rPr>
  </w:style>
  <w:style w:type="paragraph" w:styleId="FootnoteText">
    <w:name w:val="footnote text"/>
    <w:basedOn w:val="Normal"/>
    <w:link w:val="FootnoteTextChar"/>
    <w:rsid w:val="00596E86"/>
    <w:pPr>
      <w:tabs>
        <w:tab w:val="clear" w:pos="720"/>
        <w:tab w:val="clear" w:pos="1296"/>
        <w:tab w:val="clear" w:pos="1872"/>
        <w:tab w:val="clear" w:pos="2448"/>
      </w:tabs>
      <w:spacing w:after="0"/>
      <w:ind w:left="360" w:hanging="360"/>
    </w:pPr>
    <w:rPr>
      <w:sz w:val="20"/>
    </w:rPr>
  </w:style>
  <w:style w:type="character" w:styleId="FootnoteReference">
    <w:name w:val="footnote reference"/>
    <w:basedOn w:val="DefaultParagraphFont"/>
    <w:semiHidden/>
    <w:rsid w:val="00596E86"/>
    <w:rPr>
      <w:vertAlign w:val="superscript"/>
    </w:rPr>
  </w:style>
  <w:style w:type="paragraph" w:customStyle="1" w:styleId="Table-10ptcenter-12above">
    <w:name w:val="Table-10pt(center)-12above"/>
    <w:basedOn w:val="Table-10ptcenter"/>
    <w:rsid w:val="00CB0D1E"/>
    <w:pPr>
      <w:spacing w:before="240"/>
    </w:pPr>
  </w:style>
  <w:style w:type="paragraph" w:customStyle="1" w:styleId="Table-10ptcenter">
    <w:name w:val="Table-10pt(center)"/>
    <w:basedOn w:val="Normal"/>
    <w:rsid w:val="003545AF"/>
    <w:pPr>
      <w:tabs>
        <w:tab w:val="clear" w:pos="720"/>
        <w:tab w:val="clear" w:pos="1296"/>
        <w:tab w:val="clear" w:pos="1872"/>
        <w:tab w:val="clear" w:pos="2448"/>
        <w:tab w:val="left" w:pos="192"/>
      </w:tabs>
      <w:suppressAutoHyphens/>
      <w:spacing w:before="120" w:after="0" w:line="240" w:lineRule="auto"/>
      <w:jc w:val="center"/>
    </w:pPr>
    <w:rPr>
      <w:rFonts w:ascii="Arial" w:hAnsi="Arial" w:cs="Arial"/>
      <w:kern w:val="0"/>
      <w:sz w:val="20"/>
    </w:rPr>
  </w:style>
  <w:style w:type="paragraph" w:customStyle="1" w:styleId="Table-9pt3-0">
    <w:name w:val="Table-9pt(3-0)"/>
    <w:rsid w:val="00CB0D1E"/>
    <w:pPr>
      <w:tabs>
        <w:tab w:val="left" w:pos="-720"/>
      </w:tabs>
      <w:suppressAutoHyphens/>
      <w:spacing w:before="60"/>
    </w:pPr>
    <w:rPr>
      <w:rFonts w:ascii="Arial" w:hAnsi="Arial" w:cs="Arial"/>
      <w:sz w:val="18"/>
    </w:rPr>
  </w:style>
  <w:style w:type="paragraph" w:customStyle="1" w:styleId="Table-8pt2-2">
    <w:name w:val="Table-8pt(2-2)"/>
    <w:link w:val="Table-8pt2-2Char"/>
    <w:rsid w:val="00CB0D1E"/>
    <w:pPr>
      <w:tabs>
        <w:tab w:val="left" w:pos="-720"/>
      </w:tabs>
      <w:suppressAutoHyphens/>
      <w:spacing w:before="40" w:after="40"/>
    </w:pPr>
    <w:rPr>
      <w:rFonts w:ascii="Arial" w:hAnsi="Arial" w:cs="Arial"/>
      <w:sz w:val="16"/>
    </w:rPr>
  </w:style>
  <w:style w:type="character" w:customStyle="1" w:styleId="Table-8pt2-2Char">
    <w:name w:val="Table-8pt(2-2) Char"/>
    <w:basedOn w:val="DefaultParagraphFont"/>
    <w:link w:val="Table-8pt2-2"/>
    <w:rsid w:val="00CB0D1E"/>
    <w:rPr>
      <w:rFonts w:ascii="Arial" w:hAnsi="Arial" w:cs="Arial"/>
      <w:sz w:val="16"/>
    </w:rPr>
  </w:style>
  <w:style w:type="paragraph" w:customStyle="1" w:styleId="Table-8pt0-0">
    <w:name w:val="Table-8pt(0-0)"/>
    <w:rsid w:val="00CB0D1E"/>
    <w:pPr>
      <w:tabs>
        <w:tab w:val="left" w:pos="192"/>
      </w:tabs>
      <w:suppressAutoHyphens/>
    </w:pPr>
    <w:rPr>
      <w:rFonts w:ascii="Arial" w:hAnsi="Arial" w:cs="Arial"/>
      <w:sz w:val="16"/>
    </w:rPr>
  </w:style>
  <w:style w:type="paragraph" w:customStyle="1" w:styleId="Table-8pt2-1">
    <w:name w:val="Table-8pt(2-1)"/>
    <w:basedOn w:val="Normal"/>
    <w:rsid w:val="00CB0D1E"/>
    <w:pPr>
      <w:tabs>
        <w:tab w:val="clear" w:pos="720"/>
        <w:tab w:val="clear" w:pos="1296"/>
        <w:tab w:val="clear" w:pos="1872"/>
        <w:tab w:val="clear" w:pos="2448"/>
        <w:tab w:val="left" w:pos="-720"/>
      </w:tabs>
      <w:suppressAutoHyphens/>
      <w:spacing w:before="40" w:after="20" w:line="240" w:lineRule="auto"/>
    </w:pPr>
    <w:rPr>
      <w:rFonts w:ascii="Arial" w:hAnsi="Arial" w:cs="Arial"/>
      <w:kern w:val="0"/>
      <w:sz w:val="16"/>
    </w:rPr>
  </w:style>
  <w:style w:type="paragraph" w:customStyle="1" w:styleId="cover">
    <w:name w:val="cover"/>
    <w:basedOn w:val="Normal"/>
    <w:rsid w:val="00CB0D1E"/>
    <w:pPr>
      <w:widowControl w:val="0"/>
      <w:tabs>
        <w:tab w:val="clear" w:pos="720"/>
        <w:tab w:val="clear" w:pos="1296"/>
        <w:tab w:val="clear" w:pos="1872"/>
        <w:tab w:val="clear" w:pos="2448"/>
      </w:tabs>
      <w:spacing w:after="0" w:line="240" w:lineRule="auto"/>
    </w:pPr>
    <w:rPr>
      <w:rFonts w:ascii="Arial" w:hAnsi="Arial"/>
      <w:b/>
      <w:kern w:val="0"/>
      <w:sz w:val="24"/>
      <w:szCs w:val="24"/>
    </w:rPr>
  </w:style>
  <w:style w:type="paragraph" w:customStyle="1" w:styleId="Table-8pt4-6">
    <w:name w:val="Table-8pt(4-6)"/>
    <w:basedOn w:val="Table-8pt2-2"/>
    <w:rsid w:val="00CB0D1E"/>
    <w:pPr>
      <w:spacing w:before="80" w:after="120"/>
    </w:pPr>
  </w:style>
  <w:style w:type="character" w:styleId="Hyperlink">
    <w:name w:val="Hyperlink"/>
    <w:basedOn w:val="DefaultParagraphFont"/>
    <w:uiPriority w:val="99"/>
    <w:rsid w:val="00CB0D1E"/>
    <w:rPr>
      <w:color w:val="0000FF"/>
      <w:u w:val="single"/>
    </w:rPr>
  </w:style>
  <w:style w:type="paragraph" w:customStyle="1" w:styleId="AP1000DocNo">
    <w:name w:val="AP1000DocNo"/>
    <w:basedOn w:val="Normal"/>
    <w:rsid w:val="003545AF"/>
    <w:pPr>
      <w:tabs>
        <w:tab w:val="clear" w:pos="720"/>
        <w:tab w:val="clear" w:pos="1296"/>
        <w:tab w:val="clear" w:pos="1872"/>
        <w:tab w:val="clear" w:pos="2448"/>
        <w:tab w:val="left" w:pos="-720"/>
      </w:tabs>
      <w:suppressAutoHyphens/>
      <w:spacing w:before="40" w:after="40" w:line="240" w:lineRule="auto"/>
    </w:pPr>
    <w:rPr>
      <w:rFonts w:ascii="Arial" w:hAnsi="Arial" w:cs="Arial"/>
      <w:kern w:val="0"/>
      <w:sz w:val="20"/>
    </w:rPr>
  </w:style>
  <w:style w:type="paragraph" w:customStyle="1" w:styleId="exportcontrol">
    <w:name w:val="exportcontrol"/>
    <w:basedOn w:val="ListParagraph"/>
    <w:qFormat/>
    <w:rsid w:val="00CB0D1E"/>
    <w:pPr>
      <w:tabs>
        <w:tab w:val="clear" w:pos="720"/>
        <w:tab w:val="clear" w:pos="1296"/>
        <w:tab w:val="clear" w:pos="1872"/>
        <w:tab w:val="clear" w:pos="2448"/>
      </w:tabs>
      <w:spacing w:after="200" w:line="276" w:lineRule="auto"/>
      <w:ind w:left="0"/>
    </w:pPr>
    <w:rPr>
      <w:rFonts w:ascii="Arial" w:eastAsia="PMingLiU" w:hAnsi="Arial" w:cs="Arial"/>
      <w:i/>
      <w:iCs/>
      <w:kern w:val="0"/>
      <w:sz w:val="16"/>
      <w:szCs w:val="16"/>
      <w:lang w:eastAsia="zh-TW"/>
    </w:rPr>
  </w:style>
  <w:style w:type="paragraph" w:styleId="ListParagraph">
    <w:name w:val="List Paragraph"/>
    <w:aliases w:val="List Paragraph in Section 2 of LAR,Resume Title,Citation List,Indent Paragraph,Bullets,Figure_name,List Paragraph1,Bullet- First level,Report Para,List Paragraph11,Number Bullets,heading 4,Graphic,Ha,Bullets1,List_Paragraph"/>
    <w:basedOn w:val="Normal"/>
    <w:link w:val="ListParagraphChar"/>
    <w:uiPriority w:val="34"/>
    <w:qFormat/>
    <w:rsid w:val="00CB0D1E"/>
    <w:pPr>
      <w:ind w:left="720"/>
      <w:contextualSpacing/>
    </w:pPr>
  </w:style>
  <w:style w:type="paragraph" w:customStyle="1" w:styleId="DocNo">
    <w:name w:val="Doc No."/>
    <w:basedOn w:val="Header"/>
    <w:rsid w:val="00CB0D1E"/>
    <w:pPr>
      <w:pBdr>
        <w:bottom w:val="none" w:sz="0" w:space="0" w:color="auto"/>
      </w:pBdr>
      <w:tabs>
        <w:tab w:val="clear" w:pos="4680"/>
        <w:tab w:val="clear" w:pos="9360"/>
        <w:tab w:val="center" w:pos="4320"/>
        <w:tab w:val="right" w:pos="8640"/>
      </w:tabs>
      <w:spacing w:after="120"/>
      <w:ind w:left="187"/>
      <w:jc w:val="left"/>
    </w:pPr>
    <w:rPr>
      <w:rFonts w:ascii="Arial" w:hAnsi="Arial" w:cs="Arial"/>
      <w:b/>
      <w:kern w:val="0"/>
      <w:sz w:val="16"/>
      <w:szCs w:val="16"/>
    </w:rPr>
  </w:style>
  <w:style w:type="paragraph" w:customStyle="1" w:styleId="HeadingCtr-cont">
    <w:name w:val="HeadingCtr-cont"/>
    <w:basedOn w:val="Normal"/>
    <w:rsid w:val="00CB0D1E"/>
    <w:pPr>
      <w:keepNext/>
      <w:tabs>
        <w:tab w:val="clear" w:pos="720"/>
        <w:tab w:val="clear" w:pos="1296"/>
        <w:tab w:val="clear" w:pos="1872"/>
        <w:tab w:val="clear" w:pos="2448"/>
      </w:tabs>
      <w:jc w:val="center"/>
    </w:pPr>
    <w:rPr>
      <w:b/>
      <w:kern w:val="24"/>
    </w:rPr>
  </w:style>
  <w:style w:type="paragraph" w:customStyle="1" w:styleId="HeadingCtr">
    <w:name w:val="HeadingCtr"/>
    <w:rsid w:val="00CB0D1E"/>
    <w:pPr>
      <w:keepNext/>
      <w:spacing w:after="280" w:line="280" w:lineRule="atLeast"/>
      <w:jc w:val="center"/>
    </w:pPr>
    <w:rPr>
      <w:b/>
      <w:kern w:val="24"/>
      <w:sz w:val="22"/>
    </w:rPr>
  </w:style>
  <w:style w:type="paragraph" w:customStyle="1" w:styleId="AcronymHead">
    <w:name w:val="AcronymHead"/>
    <w:semiHidden/>
    <w:rsid w:val="00CB0D1E"/>
    <w:pPr>
      <w:keepNext/>
      <w:tabs>
        <w:tab w:val="left" w:pos="1440"/>
      </w:tabs>
      <w:spacing w:after="280" w:line="280" w:lineRule="atLeast"/>
    </w:pPr>
    <w:rPr>
      <w:b/>
      <w:sz w:val="22"/>
      <w:szCs w:val="22"/>
    </w:rPr>
  </w:style>
  <w:style w:type="paragraph" w:customStyle="1" w:styleId="Acronym0">
    <w:name w:val="Acronym(0)"/>
    <w:rsid w:val="00CB0D1E"/>
    <w:pPr>
      <w:tabs>
        <w:tab w:val="left" w:pos="1440"/>
      </w:tabs>
      <w:spacing w:line="280" w:lineRule="atLeast"/>
    </w:pPr>
    <w:rPr>
      <w:sz w:val="22"/>
      <w:szCs w:val="22"/>
    </w:rPr>
  </w:style>
  <w:style w:type="paragraph" w:customStyle="1" w:styleId="Acronym1">
    <w:name w:val="Acronym"/>
    <w:rsid w:val="00CB0D1E"/>
    <w:pPr>
      <w:tabs>
        <w:tab w:val="left" w:pos="1440"/>
      </w:tabs>
      <w:spacing w:after="280" w:line="280" w:lineRule="atLeast"/>
      <w:ind w:left="1440" w:hanging="1440"/>
    </w:pPr>
    <w:rPr>
      <w:sz w:val="22"/>
      <w:szCs w:val="22"/>
    </w:rPr>
  </w:style>
  <w:style w:type="paragraph" w:customStyle="1" w:styleId="Indent">
    <w:name w:val="Indent"/>
    <w:next w:val="Normal"/>
    <w:rsid w:val="000563B4"/>
    <w:pPr>
      <w:tabs>
        <w:tab w:val="left" w:pos="1800"/>
      </w:tabs>
      <w:spacing w:after="280" w:line="280" w:lineRule="atLeast"/>
      <w:ind w:left="360"/>
    </w:pPr>
    <w:rPr>
      <w:sz w:val="22"/>
      <w:szCs w:val="22"/>
    </w:rPr>
  </w:style>
  <w:style w:type="paragraph" w:customStyle="1" w:styleId="Bullet12">
    <w:name w:val="Bullet(12)"/>
    <w:basedOn w:val="Normal"/>
    <w:next w:val="Normal"/>
    <w:rsid w:val="000563B4"/>
    <w:pPr>
      <w:numPr>
        <w:numId w:val="9"/>
      </w:numPr>
      <w:tabs>
        <w:tab w:val="clear" w:pos="2448"/>
      </w:tabs>
      <w:ind w:left="1512" w:hanging="432"/>
    </w:pPr>
    <w:rPr>
      <w:rFonts w:ascii="Arial" w:hAnsi="Arial"/>
      <w:szCs w:val="24"/>
    </w:rPr>
  </w:style>
  <w:style w:type="character" w:customStyle="1" w:styleId="EndnoteTextChar">
    <w:name w:val="Endnote Text Char"/>
    <w:basedOn w:val="DefaultParagraphFont"/>
    <w:link w:val="EndnoteText"/>
    <w:semiHidden/>
    <w:rsid w:val="000563B4"/>
    <w:rPr>
      <w:rFonts w:ascii="Arial" w:hAnsi="Arial"/>
      <w:sz w:val="24"/>
      <w:szCs w:val="22"/>
    </w:rPr>
  </w:style>
  <w:style w:type="paragraph" w:styleId="EndnoteText">
    <w:name w:val="endnote text"/>
    <w:basedOn w:val="Normal"/>
    <w:link w:val="EndnoteTextChar"/>
    <w:semiHidden/>
    <w:rsid w:val="000563B4"/>
    <w:pPr>
      <w:widowControl w:val="0"/>
      <w:tabs>
        <w:tab w:val="clear" w:pos="720"/>
        <w:tab w:val="clear" w:pos="1296"/>
        <w:tab w:val="clear" w:pos="1872"/>
        <w:tab w:val="clear" w:pos="2448"/>
      </w:tabs>
      <w:spacing w:after="0" w:line="240" w:lineRule="auto"/>
    </w:pPr>
    <w:rPr>
      <w:rFonts w:ascii="Arial" w:hAnsi="Arial"/>
      <w:kern w:val="0"/>
      <w:sz w:val="24"/>
    </w:rPr>
  </w:style>
  <w:style w:type="paragraph" w:styleId="Index1">
    <w:name w:val="index 1"/>
    <w:basedOn w:val="Normal"/>
    <w:next w:val="Normal"/>
    <w:semiHidden/>
    <w:rsid w:val="000563B4"/>
    <w:pPr>
      <w:widowControl w:val="0"/>
      <w:tabs>
        <w:tab w:val="clear" w:pos="720"/>
        <w:tab w:val="clear" w:pos="1296"/>
        <w:tab w:val="clear" w:pos="1872"/>
        <w:tab w:val="clear" w:pos="2448"/>
        <w:tab w:val="right" w:leader="dot" w:pos="9360"/>
      </w:tabs>
      <w:suppressAutoHyphens/>
      <w:spacing w:after="0" w:line="240" w:lineRule="auto"/>
      <w:ind w:left="1440" w:right="720" w:hanging="1440"/>
    </w:pPr>
    <w:rPr>
      <w:rFonts w:ascii="Arial" w:hAnsi="Arial"/>
      <w:kern w:val="0"/>
    </w:rPr>
  </w:style>
  <w:style w:type="paragraph" w:styleId="Caption">
    <w:name w:val="caption"/>
    <w:aliases w:val="Caption Char"/>
    <w:basedOn w:val="Normal"/>
    <w:next w:val="Normal"/>
    <w:link w:val="CaptionChar1"/>
    <w:uiPriority w:val="35"/>
    <w:qFormat/>
    <w:rsid w:val="000563B4"/>
    <w:pPr>
      <w:widowControl w:val="0"/>
      <w:tabs>
        <w:tab w:val="clear" w:pos="720"/>
        <w:tab w:val="clear" w:pos="1296"/>
        <w:tab w:val="clear" w:pos="1872"/>
        <w:tab w:val="clear" w:pos="2448"/>
      </w:tabs>
      <w:spacing w:after="0" w:line="240" w:lineRule="auto"/>
    </w:pPr>
    <w:rPr>
      <w:rFonts w:ascii="Arial" w:hAnsi="Arial"/>
      <w:kern w:val="0"/>
      <w:sz w:val="24"/>
    </w:rPr>
  </w:style>
  <w:style w:type="paragraph" w:customStyle="1" w:styleId="Form-Title">
    <w:name w:val="Form-Title"/>
    <w:rsid w:val="000563B4"/>
    <w:rPr>
      <w:rFonts w:ascii="Arial" w:hAnsi="Arial" w:cs="Arial"/>
      <w:sz w:val="32"/>
    </w:rPr>
  </w:style>
  <w:style w:type="paragraph" w:customStyle="1" w:styleId="Plant">
    <w:name w:val="Plant"/>
    <w:basedOn w:val="Normal"/>
    <w:link w:val="PlantChar"/>
    <w:rsid w:val="000563B4"/>
    <w:pPr>
      <w:widowControl w:val="0"/>
      <w:tabs>
        <w:tab w:val="clear" w:pos="720"/>
        <w:tab w:val="clear" w:pos="1296"/>
        <w:tab w:val="clear" w:pos="1872"/>
        <w:tab w:val="clear" w:pos="2448"/>
        <w:tab w:val="left" w:pos="1952"/>
        <w:tab w:val="left" w:pos="4202"/>
      </w:tabs>
      <w:spacing w:before="20" w:after="0" w:line="240" w:lineRule="auto"/>
    </w:pPr>
    <w:rPr>
      <w:rFonts w:ascii="Arial" w:hAnsi="Arial" w:cs="Arial"/>
      <w:b/>
      <w:color w:val="FF0000"/>
      <w:kern w:val="0"/>
      <w:sz w:val="18"/>
      <w:szCs w:val="18"/>
    </w:rPr>
  </w:style>
  <w:style w:type="character" w:customStyle="1" w:styleId="PlantChar">
    <w:name w:val="Plant Char"/>
    <w:basedOn w:val="DefaultParagraphFont"/>
    <w:link w:val="Plant"/>
    <w:rsid w:val="000563B4"/>
    <w:rPr>
      <w:rFonts w:ascii="Arial" w:hAnsi="Arial" w:cs="Arial"/>
      <w:b/>
      <w:color w:val="FF0000"/>
      <w:sz w:val="18"/>
      <w:szCs w:val="18"/>
    </w:rPr>
  </w:style>
  <w:style w:type="paragraph" w:customStyle="1" w:styleId="Table-8pt6-0">
    <w:name w:val="Table-8pt(6-0)"/>
    <w:rsid w:val="000563B4"/>
    <w:pPr>
      <w:tabs>
        <w:tab w:val="left" w:pos="-720"/>
      </w:tabs>
      <w:suppressAutoHyphens/>
      <w:spacing w:before="120"/>
    </w:pPr>
    <w:rPr>
      <w:rFonts w:ascii="Arial" w:hAnsi="Arial" w:cs="Arial"/>
      <w:sz w:val="16"/>
    </w:rPr>
  </w:style>
  <w:style w:type="paragraph" w:customStyle="1" w:styleId="Form-10pt6-0bold">
    <w:name w:val="Form-10pt(6-0)(bold)"/>
    <w:rsid w:val="000563B4"/>
    <w:pPr>
      <w:tabs>
        <w:tab w:val="left" w:pos="-720"/>
      </w:tabs>
      <w:suppressAutoHyphens/>
      <w:spacing w:before="120"/>
    </w:pPr>
    <w:rPr>
      <w:rFonts w:ascii="Arial" w:hAnsi="Arial" w:cs="Arial"/>
      <w:b/>
    </w:rPr>
  </w:style>
  <w:style w:type="paragraph" w:customStyle="1" w:styleId="Form-return">
    <w:name w:val="Form-return"/>
    <w:basedOn w:val="Normal"/>
    <w:rsid w:val="000563B4"/>
    <w:pPr>
      <w:widowControl w:val="0"/>
      <w:tabs>
        <w:tab w:val="clear" w:pos="720"/>
        <w:tab w:val="clear" w:pos="1296"/>
        <w:tab w:val="clear" w:pos="1872"/>
        <w:tab w:val="clear" w:pos="2448"/>
        <w:tab w:val="center" w:pos="5400"/>
        <w:tab w:val="right" w:pos="10440"/>
      </w:tabs>
      <w:suppressAutoHyphens/>
      <w:spacing w:after="0" w:line="240" w:lineRule="auto"/>
      <w:jc w:val="both"/>
    </w:pPr>
    <w:rPr>
      <w:rFonts w:ascii="Arial" w:hAnsi="Arial"/>
      <w:spacing w:val="-2"/>
      <w:kern w:val="0"/>
      <w:sz w:val="12"/>
      <w:szCs w:val="12"/>
    </w:rPr>
  </w:style>
  <w:style w:type="character" w:customStyle="1" w:styleId="BalloonTextChar">
    <w:name w:val="Balloon Text Char"/>
    <w:basedOn w:val="DefaultParagraphFont"/>
    <w:link w:val="BalloonText"/>
    <w:uiPriority w:val="99"/>
    <w:semiHidden/>
    <w:rsid w:val="000563B4"/>
    <w:rPr>
      <w:rFonts w:ascii="Tahoma" w:hAnsi="Tahoma" w:cs="Tahoma"/>
      <w:sz w:val="16"/>
      <w:szCs w:val="16"/>
    </w:rPr>
  </w:style>
  <w:style w:type="paragraph" w:styleId="BalloonText">
    <w:name w:val="Balloon Text"/>
    <w:basedOn w:val="Normal"/>
    <w:link w:val="BalloonTextChar"/>
    <w:semiHidden/>
    <w:rsid w:val="000563B4"/>
    <w:pPr>
      <w:widowControl w:val="0"/>
      <w:tabs>
        <w:tab w:val="clear" w:pos="720"/>
        <w:tab w:val="clear" w:pos="1296"/>
        <w:tab w:val="clear" w:pos="1872"/>
        <w:tab w:val="clear" w:pos="2448"/>
      </w:tabs>
      <w:spacing w:after="0" w:line="240" w:lineRule="auto"/>
    </w:pPr>
    <w:rPr>
      <w:rFonts w:ascii="Tahoma" w:hAnsi="Tahoma" w:cs="Tahoma"/>
      <w:kern w:val="0"/>
      <w:sz w:val="16"/>
      <w:szCs w:val="16"/>
    </w:rPr>
  </w:style>
  <w:style w:type="character" w:styleId="CommentReference">
    <w:name w:val="annotation reference"/>
    <w:basedOn w:val="DefaultParagraphFont"/>
    <w:uiPriority w:val="99"/>
    <w:rsid w:val="000563B4"/>
    <w:rPr>
      <w:sz w:val="16"/>
      <w:szCs w:val="16"/>
    </w:rPr>
  </w:style>
  <w:style w:type="paragraph" w:styleId="CommentText">
    <w:name w:val="annotation text"/>
    <w:basedOn w:val="Normal"/>
    <w:link w:val="CommentTextChar"/>
    <w:uiPriority w:val="99"/>
    <w:rsid w:val="000563B4"/>
    <w:pPr>
      <w:widowControl w:val="0"/>
      <w:tabs>
        <w:tab w:val="clear" w:pos="720"/>
        <w:tab w:val="clear" w:pos="1296"/>
        <w:tab w:val="clear" w:pos="1872"/>
        <w:tab w:val="clear" w:pos="2448"/>
      </w:tabs>
      <w:spacing w:after="0" w:line="240" w:lineRule="auto"/>
    </w:pPr>
    <w:rPr>
      <w:rFonts w:ascii="Arial" w:hAnsi="Arial"/>
      <w:kern w:val="0"/>
    </w:rPr>
  </w:style>
  <w:style w:type="character" w:customStyle="1" w:styleId="CommentTextChar">
    <w:name w:val="Comment Text Char"/>
    <w:basedOn w:val="DefaultParagraphFont"/>
    <w:link w:val="CommentText"/>
    <w:uiPriority w:val="99"/>
    <w:rsid w:val="000563B4"/>
    <w:rPr>
      <w:rFonts w:ascii="Arial" w:hAnsi="Arial"/>
      <w:sz w:val="22"/>
      <w:szCs w:val="22"/>
    </w:rPr>
  </w:style>
  <w:style w:type="character" w:customStyle="1" w:styleId="CommentSubjectChar">
    <w:name w:val="Comment Subject Char"/>
    <w:basedOn w:val="CommentTextChar"/>
    <w:link w:val="CommentSubject"/>
    <w:semiHidden/>
    <w:rsid w:val="000563B4"/>
    <w:rPr>
      <w:rFonts w:ascii="Arial" w:hAnsi="Arial"/>
      <w:b/>
      <w:bCs/>
      <w:sz w:val="22"/>
      <w:szCs w:val="22"/>
    </w:rPr>
  </w:style>
  <w:style w:type="paragraph" w:styleId="CommentSubject">
    <w:name w:val="annotation subject"/>
    <w:basedOn w:val="CommentText"/>
    <w:next w:val="CommentText"/>
    <w:link w:val="CommentSubjectChar"/>
    <w:semiHidden/>
    <w:rsid w:val="000563B4"/>
    <w:rPr>
      <w:b/>
      <w:bCs/>
    </w:rPr>
  </w:style>
  <w:style w:type="paragraph" w:customStyle="1" w:styleId="edms0">
    <w:name w:val="edms"/>
    <w:rsid w:val="000563B4"/>
    <w:pPr>
      <w:spacing w:before="410"/>
      <w:ind w:left="187"/>
    </w:pPr>
    <w:rPr>
      <w:rFonts w:ascii="Arial" w:hAnsi="Arial" w:cs="Arial"/>
      <w:b/>
      <w:i/>
      <w:sz w:val="16"/>
      <w:szCs w:val="16"/>
    </w:rPr>
  </w:style>
  <w:style w:type="character" w:styleId="FollowedHyperlink">
    <w:name w:val="FollowedHyperlink"/>
    <w:basedOn w:val="DefaultParagraphFont"/>
    <w:rsid w:val="000563B4"/>
    <w:rPr>
      <w:color w:val="606420"/>
      <w:u w:val="single"/>
    </w:rPr>
  </w:style>
  <w:style w:type="paragraph" w:customStyle="1" w:styleId="propstyle">
    <w:name w:val="propstyle"/>
    <w:basedOn w:val="Table-8pt4-6"/>
    <w:qFormat/>
    <w:rsid w:val="000563B4"/>
    <w:pPr>
      <w:spacing w:before="70" w:after="60"/>
    </w:pPr>
  </w:style>
  <w:style w:type="paragraph" w:customStyle="1" w:styleId="instruct">
    <w:name w:val="instruct"/>
    <w:basedOn w:val="Normal"/>
    <w:rsid w:val="000563B4"/>
    <w:pPr>
      <w:tabs>
        <w:tab w:val="clear" w:pos="720"/>
        <w:tab w:val="clear" w:pos="1296"/>
        <w:tab w:val="clear" w:pos="1872"/>
        <w:tab w:val="clear" w:pos="2448"/>
      </w:tabs>
      <w:spacing w:after="180" w:line="240" w:lineRule="atLeast"/>
    </w:pPr>
    <w:rPr>
      <w:rFonts w:eastAsia="Calibri"/>
      <w:color w:val="0000FF"/>
      <w:kern w:val="0"/>
    </w:rPr>
  </w:style>
  <w:style w:type="paragraph" w:styleId="TOCHeading">
    <w:name w:val="TOC Heading"/>
    <w:basedOn w:val="Heading1"/>
    <w:next w:val="Normal"/>
    <w:uiPriority w:val="39"/>
    <w:unhideWhenUsed/>
    <w:qFormat/>
    <w:rsid w:val="000563B4"/>
    <w:pPr>
      <w:keepLines/>
      <w:numPr>
        <w:numId w:val="0"/>
      </w:numPr>
      <w:spacing w:before="480" w:after="0" w:line="276" w:lineRule="auto"/>
      <w:outlineLvl w:val="9"/>
    </w:pPr>
    <w:rPr>
      <w:rFonts w:ascii="Cambria" w:hAnsi="Cambria"/>
      <w:bCs/>
      <w:caps w:val="0"/>
      <w:noProof w:val="0"/>
      <w:color w:val="365F91"/>
      <w:kern w:val="0"/>
      <w:szCs w:val="28"/>
    </w:rPr>
  </w:style>
  <w:style w:type="paragraph" w:styleId="NormalWeb">
    <w:name w:val="Normal (Web)"/>
    <w:basedOn w:val="Normal"/>
    <w:link w:val="NormalWebChar"/>
    <w:uiPriority w:val="99"/>
    <w:unhideWhenUsed/>
    <w:rsid w:val="000563B4"/>
    <w:pPr>
      <w:tabs>
        <w:tab w:val="clear" w:pos="720"/>
        <w:tab w:val="clear" w:pos="1296"/>
        <w:tab w:val="clear" w:pos="1872"/>
        <w:tab w:val="clear" w:pos="2448"/>
      </w:tabs>
      <w:spacing w:before="100" w:beforeAutospacing="1" w:after="100" w:afterAutospacing="1" w:line="240" w:lineRule="auto"/>
    </w:pPr>
    <w:rPr>
      <w:kern w:val="0"/>
      <w:sz w:val="24"/>
      <w:szCs w:val="24"/>
    </w:rPr>
  </w:style>
  <w:style w:type="paragraph" w:customStyle="1" w:styleId="Bullet27">
    <w:name w:val="Bullet2(7)"/>
    <w:rsid w:val="000563B4"/>
    <w:pPr>
      <w:numPr>
        <w:numId w:val="10"/>
      </w:numPr>
      <w:tabs>
        <w:tab w:val="left" w:pos="1440"/>
      </w:tabs>
      <w:spacing w:after="140"/>
    </w:pPr>
    <w:rPr>
      <w:rFonts w:ascii="Arial" w:hAnsi="Arial"/>
      <w:sz w:val="22"/>
      <w:szCs w:val="22"/>
    </w:rPr>
  </w:style>
  <w:style w:type="paragraph" w:customStyle="1" w:styleId="Bullet6">
    <w:name w:val="Bullet(6)"/>
    <w:basedOn w:val="Bullet0"/>
    <w:qFormat/>
    <w:rsid w:val="000563B4"/>
    <w:pPr>
      <w:spacing w:after="120" w:line="280" w:lineRule="atLeast"/>
    </w:pPr>
    <w:rPr>
      <w:rFonts w:ascii="Arial" w:hAnsi="Arial"/>
      <w:color w:val="auto"/>
      <w:szCs w:val="24"/>
    </w:rPr>
  </w:style>
  <w:style w:type="paragraph" w:customStyle="1" w:styleId="FigureTitleC">
    <w:name w:val="FigureTitle(C)"/>
    <w:basedOn w:val="Normal"/>
    <w:rsid w:val="000563B4"/>
    <w:pPr>
      <w:tabs>
        <w:tab w:val="clear" w:pos="720"/>
        <w:tab w:val="clear" w:pos="1296"/>
        <w:tab w:val="clear" w:pos="1872"/>
        <w:tab w:val="clear" w:pos="2448"/>
      </w:tabs>
      <w:jc w:val="center"/>
    </w:pPr>
    <w:rPr>
      <w:rFonts w:ascii="Arial" w:hAnsi="Arial"/>
      <w:b/>
      <w:kern w:val="0"/>
      <w:szCs w:val="24"/>
    </w:rPr>
  </w:style>
  <w:style w:type="paragraph" w:customStyle="1" w:styleId="TableHead0">
    <w:name w:val="TableHead"/>
    <w:basedOn w:val="Normal"/>
    <w:rsid w:val="009A7CFD"/>
    <w:pPr>
      <w:keepNext/>
      <w:tabs>
        <w:tab w:val="clear" w:pos="2448"/>
      </w:tabs>
      <w:spacing w:before="60" w:after="60" w:line="240" w:lineRule="auto"/>
      <w:jc w:val="center"/>
    </w:pPr>
    <w:rPr>
      <w:b/>
      <w:kern w:val="0"/>
    </w:rPr>
  </w:style>
  <w:style w:type="paragraph" w:customStyle="1" w:styleId="TableBodyL">
    <w:name w:val="TableBody(L)"/>
    <w:basedOn w:val="Normal"/>
    <w:rsid w:val="00764D15"/>
    <w:pPr>
      <w:tabs>
        <w:tab w:val="clear" w:pos="720"/>
        <w:tab w:val="clear" w:pos="1296"/>
        <w:tab w:val="clear" w:pos="1872"/>
        <w:tab w:val="clear" w:pos="2448"/>
      </w:tabs>
      <w:spacing w:before="60" w:after="60" w:line="240" w:lineRule="auto"/>
    </w:pPr>
    <w:rPr>
      <w:kern w:val="0"/>
    </w:rPr>
  </w:style>
  <w:style w:type="paragraph" w:customStyle="1" w:styleId="TableBodyC">
    <w:name w:val="TableBody(C)"/>
    <w:basedOn w:val="Normal"/>
    <w:rsid w:val="00764D15"/>
    <w:pPr>
      <w:tabs>
        <w:tab w:val="clear" w:pos="720"/>
        <w:tab w:val="clear" w:pos="1296"/>
        <w:tab w:val="clear" w:pos="1872"/>
        <w:tab w:val="clear" w:pos="2448"/>
      </w:tabs>
      <w:spacing w:before="60" w:after="60" w:line="240" w:lineRule="auto"/>
      <w:jc w:val="center"/>
    </w:pPr>
    <w:rPr>
      <w:kern w:val="0"/>
    </w:rPr>
  </w:style>
  <w:style w:type="paragraph" w:customStyle="1" w:styleId="Default">
    <w:name w:val="Default"/>
    <w:rsid w:val="000563B4"/>
    <w:pPr>
      <w:autoSpaceDE w:val="0"/>
      <w:autoSpaceDN w:val="0"/>
      <w:adjustRightInd w:val="0"/>
    </w:pPr>
    <w:rPr>
      <w:rFonts w:ascii="Arial" w:hAnsi="Arial" w:cs="Arial"/>
      <w:color w:val="000000"/>
      <w:sz w:val="24"/>
      <w:szCs w:val="24"/>
    </w:rPr>
  </w:style>
  <w:style w:type="paragraph" w:customStyle="1" w:styleId="LastPgNote">
    <w:name w:val="LastPgNote"/>
    <w:basedOn w:val="Normal"/>
    <w:next w:val="Footer"/>
    <w:link w:val="LastPgNoteChar"/>
    <w:semiHidden/>
    <w:rsid w:val="00B55EC6"/>
    <w:pPr>
      <w:tabs>
        <w:tab w:val="clear" w:pos="720"/>
        <w:tab w:val="clear" w:pos="1296"/>
        <w:tab w:val="clear" w:pos="1872"/>
        <w:tab w:val="clear" w:pos="2448"/>
      </w:tabs>
      <w:spacing w:after="0" w:line="240" w:lineRule="atLeast"/>
      <w:jc w:val="center"/>
    </w:pPr>
    <w:rPr>
      <w:kern w:val="0"/>
      <w:sz w:val="18"/>
    </w:rPr>
  </w:style>
  <w:style w:type="character" w:customStyle="1" w:styleId="LastPgNoteChar">
    <w:name w:val="LastPgNote Char"/>
    <w:basedOn w:val="DefaultParagraphFont"/>
    <w:link w:val="LastPgNote"/>
    <w:semiHidden/>
    <w:rsid w:val="00B55EC6"/>
    <w:rPr>
      <w:sz w:val="18"/>
      <w:szCs w:val="22"/>
    </w:rPr>
  </w:style>
  <w:style w:type="paragraph" w:customStyle="1" w:styleId="Emdash">
    <w:name w:val="Emdash"/>
    <w:link w:val="EmdashChar"/>
    <w:rsid w:val="005837F2"/>
    <w:pPr>
      <w:numPr>
        <w:numId w:val="16"/>
      </w:numPr>
      <w:spacing w:after="280" w:line="280" w:lineRule="atLeast"/>
    </w:pPr>
    <w:rPr>
      <w:sz w:val="22"/>
      <w:szCs w:val="22"/>
    </w:rPr>
  </w:style>
  <w:style w:type="character" w:customStyle="1" w:styleId="EmdashChar">
    <w:name w:val="Emdash Char"/>
    <w:basedOn w:val="DefaultParagraphFont"/>
    <w:link w:val="Emdash"/>
    <w:rsid w:val="005837F2"/>
    <w:rPr>
      <w:sz w:val="22"/>
      <w:szCs w:val="22"/>
    </w:rPr>
  </w:style>
  <w:style w:type="paragraph" w:customStyle="1" w:styleId="FigureTitleApp">
    <w:name w:val="Figure Title (App)"/>
    <w:basedOn w:val="Normal"/>
    <w:next w:val="Normal"/>
    <w:rsid w:val="00CC1B36"/>
    <w:pPr>
      <w:tabs>
        <w:tab w:val="clear" w:pos="720"/>
        <w:tab w:val="clear" w:pos="1296"/>
        <w:tab w:val="clear" w:pos="1872"/>
        <w:tab w:val="clear" w:pos="2448"/>
        <w:tab w:val="left" w:pos="1260"/>
      </w:tabs>
      <w:jc w:val="center"/>
    </w:pPr>
    <w:rPr>
      <w:b/>
      <w:color w:val="000000"/>
      <w:kern w:val="20"/>
    </w:rPr>
  </w:style>
  <w:style w:type="paragraph" w:styleId="Revision0">
    <w:name w:val="Revision"/>
    <w:hidden/>
    <w:uiPriority w:val="99"/>
    <w:semiHidden/>
    <w:rsid w:val="006202C9"/>
    <w:rPr>
      <w:kern w:val="22"/>
      <w:sz w:val="22"/>
    </w:rPr>
  </w:style>
  <w:style w:type="table" w:styleId="TableGrid">
    <w:name w:val="Table Grid"/>
    <w:basedOn w:val="TableNormal"/>
    <w:uiPriority w:val="39"/>
    <w:rsid w:val="00D758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semiHidden/>
    <w:rsid w:val="00897D82"/>
    <w:rPr>
      <w:vertAlign w:val="superscript"/>
    </w:rPr>
  </w:style>
  <w:style w:type="paragraph" w:styleId="Index2">
    <w:name w:val="index 2"/>
    <w:basedOn w:val="Normal"/>
    <w:next w:val="Normal"/>
    <w:semiHidden/>
    <w:rsid w:val="00897D82"/>
    <w:pPr>
      <w:widowControl w:val="0"/>
      <w:tabs>
        <w:tab w:val="clear" w:pos="720"/>
        <w:tab w:val="clear" w:pos="1296"/>
        <w:tab w:val="clear" w:pos="1872"/>
        <w:tab w:val="clear" w:pos="2448"/>
        <w:tab w:val="right" w:leader="dot" w:pos="9360"/>
      </w:tabs>
      <w:suppressAutoHyphens/>
      <w:spacing w:after="0" w:line="240" w:lineRule="auto"/>
      <w:ind w:left="1440" w:right="720" w:hanging="720"/>
    </w:pPr>
    <w:rPr>
      <w:rFonts w:ascii="Arial" w:hAnsi="Arial"/>
      <w:kern w:val="0"/>
    </w:rPr>
  </w:style>
  <w:style w:type="paragraph" w:styleId="TOAHeading">
    <w:name w:val="toa heading"/>
    <w:basedOn w:val="Normal"/>
    <w:next w:val="Normal"/>
    <w:semiHidden/>
    <w:rsid w:val="00897D82"/>
    <w:pPr>
      <w:widowControl w:val="0"/>
      <w:tabs>
        <w:tab w:val="clear" w:pos="720"/>
        <w:tab w:val="clear" w:pos="1296"/>
        <w:tab w:val="clear" w:pos="1872"/>
        <w:tab w:val="clear" w:pos="2448"/>
        <w:tab w:val="right" w:pos="9360"/>
      </w:tabs>
      <w:suppressAutoHyphens/>
      <w:spacing w:after="0" w:line="240" w:lineRule="auto"/>
    </w:pPr>
    <w:rPr>
      <w:rFonts w:ascii="Arial" w:hAnsi="Arial"/>
      <w:kern w:val="0"/>
    </w:rPr>
  </w:style>
  <w:style w:type="paragraph" w:customStyle="1" w:styleId="NormalIndent">
    <w:name w:val="NormalIndent"/>
    <w:basedOn w:val="Normal"/>
    <w:link w:val="NormalIndentChar"/>
    <w:rsid w:val="00897D82"/>
    <w:pPr>
      <w:tabs>
        <w:tab w:val="clear" w:pos="720"/>
        <w:tab w:val="clear" w:pos="1296"/>
        <w:tab w:val="clear" w:pos="1872"/>
        <w:tab w:val="clear" w:pos="2448"/>
      </w:tabs>
      <w:spacing w:after="240" w:line="240" w:lineRule="atLeast"/>
      <w:ind w:left="1080"/>
      <w:jc w:val="both"/>
    </w:pPr>
    <w:rPr>
      <w:kern w:val="0"/>
    </w:rPr>
  </w:style>
  <w:style w:type="character" w:customStyle="1" w:styleId="NormalIndentChar">
    <w:name w:val="NormalIndent Char"/>
    <w:basedOn w:val="DefaultParagraphFont"/>
    <w:link w:val="NormalIndent"/>
    <w:rsid w:val="00897D82"/>
    <w:rPr>
      <w:sz w:val="22"/>
    </w:rPr>
  </w:style>
  <w:style w:type="paragraph" w:customStyle="1" w:styleId="Endash12">
    <w:name w:val="Endash(12)"/>
    <w:basedOn w:val="Endash0"/>
    <w:rsid w:val="00897D82"/>
    <w:pPr>
      <w:spacing w:after="240" w:line="240" w:lineRule="atLeast"/>
      <w:jc w:val="both"/>
    </w:pPr>
  </w:style>
  <w:style w:type="character" w:styleId="PlaceholderText">
    <w:name w:val="Placeholder Text"/>
    <w:basedOn w:val="DefaultParagraphFont"/>
    <w:uiPriority w:val="99"/>
    <w:semiHidden/>
    <w:rsid w:val="00897D82"/>
    <w:rPr>
      <w:color w:val="808080"/>
    </w:rPr>
  </w:style>
  <w:style w:type="character" w:customStyle="1" w:styleId="FooterChar">
    <w:name w:val="Footer Char"/>
    <w:basedOn w:val="DefaultParagraphFont"/>
    <w:link w:val="Footer"/>
    <w:uiPriority w:val="99"/>
    <w:rsid w:val="00897D82"/>
    <w:rPr>
      <w:kern w:val="22"/>
    </w:rPr>
  </w:style>
  <w:style w:type="character" w:customStyle="1" w:styleId="CaptionChar1">
    <w:name w:val="Caption Char1"/>
    <w:aliases w:val="Caption Char Char"/>
    <w:basedOn w:val="DefaultParagraphFont"/>
    <w:link w:val="Caption"/>
    <w:rsid w:val="00897D82"/>
    <w:rPr>
      <w:rFonts w:ascii="Arial" w:hAnsi="Arial"/>
      <w:sz w:val="24"/>
      <w:szCs w:val="22"/>
    </w:rPr>
  </w:style>
  <w:style w:type="character" w:styleId="PageNumber">
    <w:name w:val="page number"/>
    <w:basedOn w:val="DefaultParagraphFont"/>
    <w:rsid w:val="00897D82"/>
  </w:style>
  <w:style w:type="character" w:customStyle="1" w:styleId="BodyTextChar">
    <w:name w:val="Body Text Char"/>
    <w:basedOn w:val="DefaultParagraphFont"/>
    <w:link w:val="BodyText"/>
    <w:rsid w:val="00897D82"/>
    <w:rPr>
      <w:color w:val="FF0000"/>
      <w:kern w:val="22"/>
      <w:sz w:val="22"/>
    </w:rPr>
  </w:style>
  <w:style w:type="character" w:customStyle="1" w:styleId="TableNoteChar">
    <w:name w:val="TableNote Char"/>
    <w:basedOn w:val="DefaultParagraphFont"/>
    <w:link w:val="TableNote"/>
    <w:rsid w:val="00897D82"/>
    <w:rPr>
      <w:rFonts w:ascii="Times New Roman Bold" w:hAnsi="Times New Roman Bold"/>
      <w:b/>
      <w:color w:val="000000"/>
      <w:kern w:val="18"/>
      <w:sz w:val="18"/>
      <w:szCs w:val="18"/>
    </w:rPr>
  </w:style>
  <w:style w:type="character" w:customStyle="1" w:styleId="TableFootnoteChar">
    <w:name w:val="TableFootnote Char"/>
    <w:basedOn w:val="DefaultParagraphFont"/>
    <w:link w:val="TableFootnote"/>
    <w:rsid w:val="00897D82"/>
    <w:rPr>
      <w:color w:val="000000"/>
      <w:kern w:val="18"/>
      <w:sz w:val="18"/>
    </w:rPr>
  </w:style>
  <w:style w:type="character" w:customStyle="1" w:styleId="TableFootnote35Char">
    <w:name w:val="TableFootnote (3.5) Char"/>
    <w:basedOn w:val="DefaultParagraphFont"/>
    <w:link w:val="TableFootnote35"/>
    <w:rsid w:val="00897D82"/>
    <w:rPr>
      <w:color w:val="000000"/>
      <w:kern w:val="18"/>
      <w:sz w:val="18"/>
    </w:rPr>
  </w:style>
  <w:style w:type="character" w:customStyle="1" w:styleId="List14Char">
    <w:name w:val="List#(14) Char"/>
    <w:basedOn w:val="DefaultParagraphFont"/>
    <w:link w:val="List14"/>
    <w:rsid w:val="00B95098"/>
    <w:rPr>
      <w:rFonts w:asciiTheme="minorHAnsi" w:eastAsia="PMingLiU" w:hAnsiTheme="minorHAnsi" w:cstheme="minorHAnsi"/>
      <w:kern w:val="22"/>
      <w:sz w:val="22"/>
      <w:szCs w:val="22"/>
    </w:rPr>
  </w:style>
  <w:style w:type="character" w:customStyle="1" w:styleId="EquationChar">
    <w:name w:val="Equation Char"/>
    <w:basedOn w:val="DefaultParagraphFont"/>
    <w:link w:val="Equation"/>
    <w:rsid w:val="00897D82"/>
    <w:rPr>
      <w:kern w:val="22"/>
      <w:sz w:val="22"/>
    </w:rPr>
  </w:style>
  <w:style w:type="character" w:customStyle="1" w:styleId="FigureChar">
    <w:name w:val="Figure Char"/>
    <w:basedOn w:val="DefaultParagraphFont"/>
    <w:link w:val="Figure"/>
    <w:rsid w:val="00897D82"/>
    <w:rPr>
      <w:color w:val="000000"/>
      <w:kern w:val="22"/>
      <w:sz w:val="22"/>
    </w:rPr>
  </w:style>
  <w:style w:type="character" w:customStyle="1" w:styleId="FigureCaptionCChar">
    <w:name w:val="Figure Caption(C) Char"/>
    <w:basedOn w:val="DefaultParagraphFont"/>
    <w:link w:val="FigureCaptionC"/>
    <w:rsid w:val="00897D82"/>
    <w:rPr>
      <w:b/>
      <w:noProof/>
      <w:kern w:val="22"/>
      <w:sz w:val="22"/>
    </w:rPr>
  </w:style>
  <w:style w:type="paragraph" w:customStyle="1" w:styleId="figure0">
    <w:name w:val="figure"/>
    <w:basedOn w:val="Normal"/>
    <w:next w:val="Normal"/>
    <w:rsid w:val="00897D82"/>
    <w:pPr>
      <w:keepNext/>
      <w:tabs>
        <w:tab w:val="clear" w:pos="720"/>
        <w:tab w:val="clear" w:pos="1296"/>
        <w:tab w:val="clear" w:pos="1872"/>
        <w:tab w:val="clear" w:pos="2448"/>
        <w:tab w:val="left" w:pos="1512"/>
        <w:tab w:val="left" w:pos="1944"/>
        <w:tab w:val="left" w:pos="2376"/>
      </w:tabs>
      <w:spacing w:after="240" w:line="240" w:lineRule="atLeast"/>
      <w:jc w:val="center"/>
    </w:pPr>
    <w:rPr>
      <w:snapToGrid w:val="0"/>
      <w:kern w:val="0"/>
    </w:rPr>
  </w:style>
  <w:style w:type="paragraph" w:customStyle="1" w:styleId="Emdash0">
    <w:name w:val="Emdash(0)"/>
    <w:rsid w:val="005837F2"/>
    <w:pPr>
      <w:numPr>
        <w:numId w:val="17"/>
      </w:numPr>
      <w:spacing w:line="280" w:lineRule="atLeast"/>
    </w:pPr>
    <w:rPr>
      <w:sz w:val="22"/>
      <w:szCs w:val="22"/>
    </w:rPr>
  </w:style>
  <w:style w:type="paragraph" w:customStyle="1" w:styleId="Emdash7">
    <w:name w:val="Emdash(7)"/>
    <w:rsid w:val="005837F2"/>
    <w:pPr>
      <w:numPr>
        <w:numId w:val="18"/>
      </w:numPr>
      <w:spacing w:after="140" w:line="280" w:lineRule="atLeast"/>
    </w:pPr>
    <w:rPr>
      <w:sz w:val="22"/>
      <w:szCs w:val="22"/>
    </w:rPr>
  </w:style>
  <w:style w:type="paragraph" w:customStyle="1" w:styleId="Emdash2">
    <w:name w:val="Emdash2"/>
    <w:rsid w:val="005837F2"/>
    <w:pPr>
      <w:numPr>
        <w:numId w:val="19"/>
      </w:numPr>
      <w:spacing w:after="280" w:line="280" w:lineRule="atLeast"/>
    </w:pPr>
    <w:rPr>
      <w:sz w:val="22"/>
      <w:szCs w:val="22"/>
    </w:rPr>
  </w:style>
  <w:style w:type="paragraph" w:customStyle="1" w:styleId="Emdash20">
    <w:name w:val="Emdash2(0)"/>
    <w:rsid w:val="005837F2"/>
    <w:pPr>
      <w:numPr>
        <w:numId w:val="20"/>
      </w:numPr>
      <w:spacing w:line="280" w:lineRule="atLeast"/>
    </w:pPr>
    <w:rPr>
      <w:sz w:val="22"/>
      <w:szCs w:val="22"/>
    </w:rPr>
  </w:style>
  <w:style w:type="paragraph" w:customStyle="1" w:styleId="Emdash27">
    <w:name w:val="Emdash2(7)"/>
    <w:rsid w:val="005837F2"/>
    <w:pPr>
      <w:numPr>
        <w:numId w:val="21"/>
      </w:numPr>
      <w:spacing w:after="140" w:line="280" w:lineRule="atLeast"/>
    </w:pPr>
    <w:rPr>
      <w:sz w:val="22"/>
      <w:szCs w:val="22"/>
    </w:rPr>
  </w:style>
  <w:style w:type="paragraph" w:customStyle="1" w:styleId="Endash">
    <w:name w:val="Endash"/>
    <w:rsid w:val="005837F2"/>
    <w:pPr>
      <w:numPr>
        <w:numId w:val="22"/>
      </w:numPr>
      <w:tabs>
        <w:tab w:val="left" w:pos="1440"/>
        <w:tab w:val="left" w:pos="1800"/>
      </w:tabs>
      <w:spacing w:after="280" w:line="280" w:lineRule="atLeast"/>
    </w:pPr>
    <w:rPr>
      <w:sz w:val="22"/>
      <w:szCs w:val="22"/>
    </w:rPr>
  </w:style>
  <w:style w:type="paragraph" w:customStyle="1" w:styleId="Endash7">
    <w:name w:val="Endash(7)"/>
    <w:rsid w:val="005837F2"/>
    <w:pPr>
      <w:numPr>
        <w:numId w:val="24"/>
      </w:numPr>
      <w:spacing w:after="140" w:line="280" w:lineRule="atLeast"/>
    </w:pPr>
    <w:rPr>
      <w:sz w:val="22"/>
      <w:szCs w:val="22"/>
    </w:rPr>
  </w:style>
  <w:style w:type="paragraph" w:customStyle="1" w:styleId="Endash2">
    <w:name w:val="Endash2"/>
    <w:rsid w:val="005837F2"/>
    <w:pPr>
      <w:numPr>
        <w:numId w:val="25"/>
      </w:numPr>
      <w:tabs>
        <w:tab w:val="left" w:pos="2160"/>
      </w:tabs>
      <w:spacing w:after="280" w:line="280" w:lineRule="atLeast"/>
    </w:pPr>
    <w:rPr>
      <w:sz w:val="22"/>
      <w:szCs w:val="22"/>
    </w:rPr>
  </w:style>
  <w:style w:type="paragraph" w:customStyle="1" w:styleId="Endash27">
    <w:name w:val="Endash2(7)"/>
    <w:rsid w:val="005837F2"/>
    <w:pPr>
      <w:numPr>
        <w:numId w:val="27"/>
      </w:numPr>
      <w:tabs>
        <w:tab w:val="left" w:pos="2160"/>
      </w:tabs>
      <w:spacing w:after="140" w:line="280" w:lineRule="atLeast"/>
    </w:pPr>
    <w:rPr>
      <w:sz w:val="22"/>
      <w:szCs w:val="22"/>
    </w:rPr>
  </w:style>
  <w:style w:type="paragraph" w:customStyle="1" w:styleId="NormalMargin">
    <w:name w:val="Normal Margin"/>
    <w:basedOn w:val="Normal"/>
    <w:rsid w:val="000C4DB6"/>
    <w:pPr>
      <w:tabs>
        <w:tab w:val="clear" w:pos="720"/>
        <w:tab w:val="clear" w:pos="1296"/>
        <w:tab w:val="clear" w:pos="1872"/>
        <w:tab w:val="clear" w:pos="2448"/>
        <w:tab w:val="left" w:pos="1512"/>
        <w:tab w:val="left" w:pos="1944"/>
        <w:tab w:val="left" w:pos="2376"/>
      </w:tabs>
      <w:snapToGrid w:val="0"/>
      <w:spacing w:after="240" w:line="240" w:lineRule="atLeast"/>
      <w:jc w:val="both"/>
    </w:pPr>
    <w:rPr>
      <w:kern w:val="0"/>
    </w:rPr>
  </w:style>
  <w:style w:type="character" w:customStyle="1" w:styleId="Heading1Char">
    <w:name w:val="Heading 1 Char"/>
    <w:basedOn w:val="DefaultParagraphFont"/>
    <w:link w:val="Heading1"/>
    <w:rsid w:val="000C4DB6"/>
    <w:rPr>
      <w:rFonts w:asciiTheme="minorHAnsi" w:hAnsiTheme="minorHAnsi" w:cstheme="minorHAnsi"/>
      <w:b/>
      <w:caps/>
      <w:noProof/>
      <w:kern w:val="28"/>
      <w:sz w:val="28"/>
      <w:szCs w:val="22"/>
    </w:rPr>
  </w:style>
  <w:style w:type="paragraph" w:customStyle="1" w:styleId="Bullet">
    <w:name w:val="Bullet"/>
    <w:link w:val="BulletChar"/>
    <w:rsid w:val="000C4DB6"/>
    <w:pPr>
      <w:numPr>
        <w:numId w:val="29"/>
      </w:numPr>
      <w:tabs>
        <w:tab w:val="clear" w:pos="2520"/>
        <w:tab w:val="num" w:pos="360"/>
        <w:tab w:val="left" w:pos="1080"/>
      </w:tabs>
      <w:spacing w:after="280" w:line="280" w:lineRule="atLeast"/>
      <w:ind w:left="0" w:firstLine="0"/>
    </w:pPr>
    <w:rPr>
      <w:rFonts w:ascii="Arial" w:hAnsi="Arial"/>
      <w:sz w:val="22"/>
      <w:szCs w:val="22"/>
    </w:rPr>
  </w:style>
  <w:style w:type="character" w:customStyle="1" w:styleId="NormalWebChar">
    <w:name w:val="Normal (Web) Char"/>
    <w:link w:val="NormalWeb"/>
    <w:rsid w:val="000C4DB6"/>
    <w:rPr>
      <w:sz w:val="24"/>
      <w:szCs w:val="24"/>
    </w:rPr>
  </w:style>
  <w:style w:type="paragraph" w:customStyle="1" w:styleId="TableBullet0">
    <w:name w:val="Table Bullet"/>
    <w:basedOn w:val="TableBody"/>
    <w:qFormat/>
    <w:rsid w:val="000C4DB6"/>
    <w:pPr>
      <w:numPr>
        <w:numId w:val="30"/>
      </w:numPr>
      <w:tabs>
        <w:tab w:val="left" w:pos="310"/>
      </w:tabs>
      <w:ind w:left="307" w:hanging="297"/>
    </w:pPr>
    <w:rPr>
      <w:rFonts w:eastAsia="PMingLiU"/>
      <w:sz w:val="22"/>
      <w:lang w:eastAsia="zh-TW"/>
    </w:rPr>
  </w:style>
  <w:style w:type="paragraph" w:customStyle="1" w:styleId="TableBodyLeft">
    <w:name w:val="Table Body (Left)"/>
    <w:basedOn w:val="Normal"/>
    <w:rsid w:val="000C4DB6"/>
    <w:pPr>
      <w:tabs>
        <w:tab w:val="clear" w:pos="720"/>
        <w:tab w:val="clear" w:pos="1296"/>
        <w:tab w:val="clear" w:pos="1872"/>
        <w:tab w:val="clear" w:pos="2448"/>
      </w:tabs>
      <w:spacing w:before="70" w:after="70" w:line="240" w:lineRule="atLeast"/>
    </w:pPr>
    <w:rPr>
      <w:kern w:val="20"/>
      <w:sz w:val="20"/>
    </w:rPr>
  </w:style>
  <w:style w:type="paragraph" w:customStyle="1" w:styleId="TableBullet">
    <w:name w:val="TableBullet"/>
    <w:basedOn w:val="Normal"/>
    <w:rsid w:val="000C4DB6"/>
    <w:pPr>
      <w:numPr>
        <w:numId w:val="31"/>
      </w:numPr>
      <w:tabs>
        <w:tab w:val="clear" w:pos="1296"/>
        <w:tab w:val="clear" w:pos="1872"/>
        <w:tab w:val="clear" w:pos="2448"/>
        <w:tab w:val="left" w:pos="1512"/>
        <w:tab w:val="left" w:pos="1944"/>
        <w:tab w:val="left" w:pos="2376"/>
      </w:tabs>
      <w:spacing w:after="0" w:line="240" w:lineRule="atLeast"/>
      <w:jc w:val="both"/>
    </w:pPr>
    <w:rPr>
      <w:snapToGrid w:val="0"/>
      <w:kern w:val="0"/>
      <w:sz w:val="20"/>
    </w:rPr>
  </w:style>
  <w:style w:type="paragraph" w:customStyle="1" w:styleId="TableBullet-Mar">
    <w:name w:val="TableBullet-Mar"/>
    <w:basedOn w:val="TableBullet"/>
    <w:rsid w:val="000C4DB6"/>
    <w:pPr>
      <w:tabs>
        <w:tab w:val="clear" w:pos="720"/>
        <w:tab w:val="clear" w:pos="1512"/>
        <w:tab w:val="clear" w:pos="1944"/>
        <w:tab w:val="clear" w:pos="2376"/>
        <w:tab w:val="num" w:pos="360"/>
      </w:tabs>
      <w:spacing w:before="70" w:after="70"/>
      <w:ind w:left="360"/>
      <w:jc w:val="left"/>
    </w:pPr>
  </w:style>
  <w:style w:type="paragraph" w:customStyle="1" w:styleId="CM29">
    <w:name w:val="CM29"/>
    <w:basedOn w:val="Normal"/>
    <w:next w:val="Normal"/>
    <w:rsid w:val="000C4DB6"/>
    <w:pPr>
      <w:widowControl w:val="0"/>
      <w:tabs>
        <w:tab w:val="clear" w:pos="720"/>
        <w:tab w:val="clear" w:pos="1296"/>
        <w:tab w:val="clear" w:pos="1872"/>
        <w:tab w:val="clear" w:pos="2448"/>
      </w:tabs>
      <w:autoSpaceDE w:val="0"/>
      <w:autoSpaceDN w:val="0"/>
      <w:adjustRightInd w:val="0"/>
      <w:spacing w:after="523" w:line="240" w:lineRule="auto"/>
    </w:pPr>
    <w:rPr>
      <w:rFonts w:ascii="Arial" w:hAnsi="Arial" w:cs="Arial"/>
      <w:kern w:val="0"/>
      <w:sz w:val="24"/>
      <w:szCs w:val="24"/>
      <w:lang w:eastAsia="en-CA"/>
    </w:rPr>
  </w:style>
  <w:style w:type="paragraph" w:customStyle="1" w:styleId="secsubsec">
    <w:name w:val="secsubsec"/>
    <w:basedOn w:val="Normal"/>
    <w:rsid w:val="000C4DB6"/>
    <w:pPr>
      <w:tabs>
        <w:tab w:val="clear" w:pos="720"/>
        <w:tab w:val="clear" w:pos="1296"/>
        <w:tab w:val="clear" w:pos="1872"/>
        <w:tab w:val="clear" w:pos="2448"/>
      </w:tabs>
      <w:spacing w:before="168" w:after="100" w:afterAutospacing="1" w:line="240" w:lineRule="auto"/>
      <w:ind w:firstLine="336"/>
    </w:pPr>
    <w:rPr>
      <w:rFonts w:eastAsia="Batang"/>
      <w:kern w:val="0"/>
      <w:sz w:val="24"/>
      <w:szCs w:val="24"/>
      <w:lang w:eastAsia="ko-KR"/>
    </w:rPr>
  </w:style>
  <w:style w:type="paragraph" w:customStyle="1" w:styleId="paragraph">
    <w:name w:val="paragraph"/>
    <w:basedOn w:val="Normal"/>
    <w:rsid w:val="000C4DB6"/>
    <w:pPr>
      <w:tabs>
        <w:tab w:val="clear" w:pos="720"/>
        <w:tab w:val="clear" w:pos="1296"/>
        <w:tab w:val="clear" w:pos="1872"/>
        <w:tab w:val="clear" w:pos="2448"/>
      </w:tabs>
      <w:spacing w:before="168" w:after="100" w:afterAutospacing="1" w:line="240" w:lineRule="auto"/>
      <w:ind w:left="336"/>
    </w:pPr>
    <w:rPr>
      <w:rFonts w:eastAsia="Batang"/>
      <w:kern w:val="0"/>
      <w:sz w:val="24"/>
      <w:szCs w:val="24"/>
      <w:lang w:eastAsia="ko-KR"/>
    </w:rPr>
  </w:style>
  <w:style w:type="character" w:customStyle="1" w:styleId="italic1">
    <w:name w:val="italic1"/>
    <w:basedOn w:val="DefaultParagraphFont"/>
    <w:rsid w:val="000C4DB6"/>
    <w:rPr>
      <w:i/>
      <w:iCs/>
    </w:rPr>
  </w:style>
  <w:style w:type="character" w:customStyle="1" w:styleId="FootnoteTextChar">
    <w:name w:val="Footnote Text Char"/>
    <w:basedOn w:val="DefaultParagraphFont"/>
    <w:link w:val="FootnoteText"/>
    <w:rsid w:val="000C4DB6"/>
    <w:rPr>
      <w:kern w:val="22"/>
    </w:rPr>
  </w:style>
  <w:style w:type="character" w:styleId="Emphasis">
    <w:name w:val="Emphasis"/>
    <w:basedOn w:val="DefaultParagraphFont"/>
    <w:qFormat/>
    <w:rsid w:val="000C4DB6"/>
    <w:rPr>
      <w:i/>
      <w:iCs/>
    </w:rPr>
  </w:style>
  <w:style w:type="paragraph" w:customStyle="1" w:styleId="CM86">
    <w:name w:val="CM86"/>
    <w:basedOn w:val="Default"/>
    <w:next w:val="Default"/>
    <w:rsid w:val="000C4DB6"/>
    <w:pPr>
      <w:spacing w:line="268" w:lineRule="atLeast"/>
    </w:pPr>
    <w:rPr>
      <w:rFonts w:ascii="Times New Roman" w:hAnsi="Times New Roman" w:cs="Times New Roman"/>
      <w:color w:val="auto"/>
    </w:rPr>
  </w:style>
  <w:style w:type="paragraph" w:customStyle="1" w:styleId="CM96">
    <w:name w:val="CM96"/>
    <w:basedOn w:val="Default"/>
    <w:next w:val="Default"/>
    <w:rsid w:val="000C4DB6"/>
    <w:pPr>
      <w:spacing w:after="225"/>
    </w:pPr>
    <w:rPr>
      <w:rFonts w:ascii="Times New Roman" w:hAnsi="Times New Roman" w:cs="Times New Roman"/>
      <w:color w:val="auto"/>
    </w:rPr>
  </w:style>
  <w:style w:type="paragraph" w:customStyle="1" w:styleId="CM97">
    <w:name w:val="CM97"/>
    <w:basedOn w:val="Default"/>
    <w:next w:val="Default"/>
    <w:rsid w:val="000C4DB6"/>
    <w:pPr>
      <w:spacing w:after="115"/>
    </w:pPr>
    <w:rPr>
      <w:rFonts w:ascii="Times New Roman" w:hAnsi="Times New Roman" w:cs="Times New Roman"/>
      <w:color w:val="auto"/>
    </w:rPr>
  </w:style>
  <w:style w:type="paragraph" w:customStyle="1" w:styleId="CM4">
    <w:name w:val="CM4"/>
    <w:basedOn w:val="Default"/>
    <w:next w:val="Default"/>
    <w:rsid w:val="000C4DB6"/>
    <w:pPr>
      <w:spacing w:line="271" w:lineRule="atLeast"/>
    </w:pPr>
    <w:rPr>
      <w:rFonts w:ascii="Times New Roman" w:hAnsi="Times New Roman" w:cs="Times New Roman"/>
      <w:color w:val="auto"/>
    </w:rPr>
  </w:style>
  <w:style w:type="paragraph" w:customStyle="1" w:styleId="CM60">
    <w:name w:val="CM60"/>
    <w:basedOn w:val="Default"/>
    <w:next w:val="Default"/>
    <w:rsid w:val="000C4DB6"/>
    <w:pPr>
      <w:spacing w:line="268" w:lineRule="atLeast"/>
    </w:pPr>
    <w:rPr>
      <w:rFonts w:ascii="Times New Roman" w:hAnsi="Times New Roman" w:cs="Times New Roman"/>
      <w:color w:val="auto"/>
    </w:rPr>
  </w:style>
  <w:style w:type="paragraph" w:customStyle="1" w:styleId="CM45">
    <w:name w:val="CM45"/>
    <w:basedOn w:val="Default"/>
    <w:next w:val="Default"/>
    <w:rsid w:val="000C4DB6"/>
    <w:rPr>
      <w:rFonts w:ascii="Times New Roman" w:hAnsi="Times New Roman" w:cs="Times New Roman"/>
      <w:color w:val="auto"/>
    </w:rPr>
  </w:style>
  <w:style w:type="paragraph" w:customStyle="1" w:styleId="CM88">
    <w:name w:val="CM88"/>
    <w:basedOn w:val="Default"/>
    <w:next w:val="Default"/>
    <w:rsid w:val="000C4DB6"/>
    <w:pPr>
      <w:spacing w:line="271" w:lineRule="atLeast"/>
    </w:pPr>
    <w:rPr>
      <w:rFonts w:ascii="Times New Roman" w:hAnsi="Times New Roman" w:cs="Times New Roman"/>
      <w:color w:val="auto"/>
    </w:rPr>
  </w:style>
  <w:style w:type="paragraph" w:customStyle="1" w:styleId="CM3">
    <w:name w:val="CM3"/>
    <w:basedOn w:val="Default"/>
    <w:next w:val="Default"/>
    <w:rsid w:val="000C4DB6"/>
    <w:pPr>
      <w:spacing w:line="266" w:lineRule="atLeast"/>
    </w:pPr>
    <w:rPr>
      <w:rFonts w:ascii="Times New Roman" w:hAnsi="Times New Roman" w:cs="Times New Roman"/>
      <w:color w:val="auto"/>
    </w:rPr>
  </w:style>
  <w:style w:type="character" w:customStyle="1" w:styleId="defaultlabelstyle1">
    <w:name w:val="defaultlabelstyle1"/>
    <w:basedOn w:val="DefaultParagraphFont"/>
    <w:rsid w:val="000C4DB6"/>
    <w:rPr>
      <w:rFonts w:ascii="Trebuchet MS" w:hAnsi="Trebuchet MS" w:hint="default"/>
      <w:color w:val="333333"/>
      <w:shd w:val="clear" w:color="auto" w:fill="FFFFFF"/>
    </w:rPr>
  </w:style>
  <w:style w:type="paragraph" w:customStyle="1" w:styleId="BodyText2Italic">
    <w:name w:val="Body Text 2 Italic"/>
    <w:basedOn w:val="Default"/>
    <w:next w:val="Default"/>
    <w:rsid w:val="000C4DB6"/>
    <w:pPr>
      <w:spacing w:before="120" w:after="120"/>
    </w:pPr>
    <w:rPr>
      <w:rFonts w:ascii="Times New Roman" w:hAnsi="Times New Roman" w:cs="Times New Roman"/>
      <w:color w:val="auto"/>
    </w:rPr>
  </w:style>
  <w:style w:type="paragraph" w:styleId="BodyTextIndent">
    <w:name w:val="Body Text Indent"/>
    <w:basedOn w:val="Default"/>
    <w:next w:val="Default"/>
    <w:link w:val="BodyTextIndentChar"/>
    <w:rsid w:val="000C4DB6"/>
    <w:pPr>
      <w:spacing w:before="120" w:after="120"/>
    </w:pPr>
    <w:rPr>
      <w:rFonts w:ascii="Times New Roman" w:hAnsi="Times New Roman" w:cs="Times New Roman"/>
      <w:color w:val="auto"/>
    </w:rPr>
  </w:style>
  <w:style w:type="character" w:customStyle="1" w:styleId="BodyTextIndentChar">
    <w:name w:val="Body Text Indent Char"/>
    <w:basedOn w:val="DefaultParagraphFont"/>
    <w:link w:val="BodyTextIndent"/>
    <w:rsid w:val="000C4DB6"/>
    <w:rPr>
      <w:sz w:val="24"/>
      <w:szCs w:val="24"/>
    </w:rPr>
  </w:style>
  <w:style w:type="paragraph" w:customStyle="1" w:styleId="GlossaryTerm">
    <w:name w:val="Glossary_Term"/>
    <w:basedOn w:val="Default"/>
    <w:next w:val="Default"/>
    <w:rsid w:val="000C4DB6"/>
    <w:pPr>
      <w:spacing w:before="120" w:after="20"/>
    </w:pPr>
    <w:rPr>
      <w:rFonts w:ascii="Times New Roman" w:hAnsi="Times New Roman" w:cs="Times New Roman"/>
      <w:color w:val="auto"/>
    </w:rPr>
  </w:style>
  <w:style w:type="paragraph" w:customStyle="1" w:styleId="GlossaryDefinition">
    <w:name w:val="Glossary_Definition"/>
    <w:basedOn w:val="Default"/>
    <w:next w:val="Default"/>
    <w:rsid w:val="000C4DB6"/>
    <w:pPr>
      <w:spacing w:after="120"/>
    </w:pPr>
    <w:rPr>
      <w:rFonts w:ascii="Times New Roman" w:hAnsi="Times New Roman" w:cs="Times New Roman"/>
      <w:color w:val="auto"/>
    </w:rPr>
  </w:style>
  <w:style w:type="paragraph" w:customStyle="1" w:styleId="Table-8pt2-0">
    <w:name w:val="Table-8pt(2-0)"/>
    <w:link w:val="Table-8pt2-0Char"/>
    <w:rsid w:val="000C4DB6"/>
    <w:pPr>
      <w:tabs>
        <w:tab w:val="left" w:pos="-720"/>
      </w:tabs>
      <w:suppressAutoHyphens/>
      <w:spacing w:before="40"/>
    </w:pPr>
    <w:rPr>
      <w:rFonts w:ascii="Arial" w:eastAsia="Batang" w:hAnsi="Arial" w:cs="Arial"/>
      <w:sz w:val="16"/>
      <w:szCs w:val="24"/>
    </w:rPr>
  </w:style>
  <w:style w:type="character" w:customStyle="1" w:styleId="Table-8pt2-0Char">
    <w:name w:val="Table-8pt(2-0) Char"/>
    <w:basedOn w:val="DefaultParagraphFont"/>
    <w:link w:val="Table-8pt2-0"/>
    <w:rsid w:val="000C4DB6"/>
    <w:rPr>
      <w:rFonts w:ascii="Arial" w:eastAsia="Batang" w:hAnsi="Arial" w:cs="Arial"/>
      <w:sz w:val="16"/>
      <w:szCs w:val="24"/>
    </w:rPr>
  </w:style>
  <w:style w:type="paragraph" w:customStyle="1" w:styleId="Table-approval">
    <w:name w:val="Table-approval"/>
    <w:basedOn w:val="Table-8pt2-0"/>
    <w:link w:val="Table-approvalChar"/>
    <w:rsid w:val="000C4DB6"/>
    <w:pPr>
      <w:tabs>
        <w:tab w:val="clear" w:pos="-720"/>
        <w:tab w:val="left" w:pos="182"/>
      </w:tabs>
      <w:ind w:left="187" w:hanging="187"/>
    </w:pPr>
  </w:style>
  <w:style w:type="character" w:customStyle="1" w:styleId="Table-approvalChar">
    <w:name w:val="Table-approval Char"/>
    <w:basedOn w:val="Table-8pt2-0Char"/>
    <w:link w:val="Table-approval"/>
    <w:rsid w:val="000C4DB6"/>
    <w:rPr>
      <w:rFonts w:ascii="Arial" w:eastAsia="Batang" w:hAnsi="Arial" w:cs="Arial"/>
      <w:sz w:val="16"/>
      <w:szCs w:val="24"/>
    </w:rPr>
  </w:style>
  <w:style w:type="paragraph" w:customStyle="1" w:styleId="Form-Heading">
    <w:name w:val="Form-Heading"/>
    <w:rsid w:val="000C4DB6"/>
    <w:pPr>
      <w:spacing w:after="280"/>
    </w:pPr>
    <w:rPr>
      <w:rFonts w:ascii="Arial Bold" w:hAnsi="Arial Bold"/>
      <w:b/>
      <w:sz w:val="48"/>
      <w:szCs w:val="48"/>
    </w:rPr>
  </w:style>
  <w:style w:type="paragraph" w:customStyle="1" w:styleId="FormNo">
    <w:name w:val="FormNo."/>
    <w:rsid w:val="000C4DB6"/>
    <w:pPr>
      <w:spacing w:after="1000"/>
    </w:pPr>
    <w:rPr>
      <w:rFonts w:ascii="Arial" w:hAnsi="Arial" w:cs="Arial"/>
      <w:b/>
      <w:sz w:val="16"/>
      <w:szCs w:val="16"/>
    </w:rPr>
  </w:style>
  <w:style w:type="paragraph" w:customStyle="1" w:styleId="Form-Body">
    <w:name w:val="Form-Body"/>
    <w:basedOn w:val="Normal"/>
    <w:rsid w:val="000C4DB6"/>
    <w:pPr>
      <w:tabs>
        <w:tab w:val="clear" w:pos="720"/>
        <w:tab w:val="clear" w:pos="1296"/>
        <w:tab w:val="clear" w:pos="1872"/>
        <w:tab w:val="clear" w:pos="2448"/>
      </w:tabs>
      <w:spacing w:before="280" w:after="0" w:line="240" w:lineRule="auto"/>
    </w:pPr>
    <w:rPr>
      <w:rFonts w:ascii="Arial" w:hAnsi="Arial"/>
      <w:kern w:val="0"/>
    </w:rPr>
  </w:style>
  <w:style w:type="paragraph" w:customStyle="1" w:styleId="Form-Body-9pt">
    <w:name w:val="Form-Body-9pt"/>
    <w:basedOn w:val="Form-Body"/>
    <w:rsid w:val="000C4DB6"/>
    <w:rPr>
      <w:sz w:val="18"/>
      <w:szCs w:val="18"/>
    </w:rPr>
  </w:style>
  <w:style w:type="character" w:customStyle="1" w:styleId="TOC3Char">
    <w:name w:val="TOC 3 Char"/>
    <w:basedOn w:val="DefaultParagraphFont"/>
    <w:link w:val="TOC3"/>
    <w:uiPriority w:val="39"/>
    <w:locked/>
    <w:rsid w:val="00C8793C"/>
    <w:rPr>
      <w:rFonts w:asciiTheme="minorHAnsi" w:hAnsiTheme="minorHAnsi" w:cstheme="minorHAnsi"/>
      <w:caps/>
      <w:noProof/>
      <w:kern w:val="22"/>
      <w:sz w:val="22"/>
      <w:szCs w:val="22"/>
    </w:rPr>
  </w:style>
  <w:style w:type="paragraph" w:customStyle="1" w:styleId="TOCHeadingCtr">
    <w:name w:val="TOC Heading(Ctr)"/>
    <w:basedOn w:val="Normal"/>
    <w:rsid w:val="000C4DB6"/>
    <w:pPr>
      <w:tabs>
        <w:tab w:val="clear" w:pos="720"/>
        <w:tab w:val="clear" w:pos="1296"/>
        <w:tab w:val="clear" w:pos="1872"/>
        <w:tab w:val="clear" w:pos="2448"/>
      </w:tabs>
      <w:snapToGrid w:val="0"/>
      <w:spacing w:after="240" w:line="240" w:lineRule="atLeast"/>
      <w:jc w:val="center"/>
    </w:pPr>
    <w:rPr>
      <w:b/>
      <w:caps/>
      <w:kern w:val="0"/>
    </w:rPr>
  </w:style>
  <w:style w:type="paragraph" w:customStyle="1" w:styleId="TOCheadings">
    <w:name w:val="TOC headings"/>
    <w:basedOn w:val="TOCHeadingCtr"/>
    <w:rsid w:val="000C4DB6"/>
    <w:pPr>
      <w:tabs>
        <w:tab w:val="center" w:pos="4680"/>
        <w:tab w:val="right" w:pos="9000"/>
      </w:tabs>
      <w:jc w:val="left"/>
    </w:pPr>
    <w:rPr>
      <w:caps w:val="0"/>
    </w:rPr>
  </w:style>
  <w:style w:type="paragraph" w:customStyle="1" w:styleId="TOC11">
    <w:name w:val="TOC1"/>
    <w:basedOn w:val="TOC1"/>
    <w:rsid w:val="000C4DB6"/>
    <w:pPr>
      <w:tabs>
        <w:tab w:val="clear" w:pos="720"/>
        <w:tab w:val="clear" w:pos="9360"/>
        <w:tab w:val="left" w:pos="900"/>
        <w:tab w:val="right" w:leader="dot" w:pos="9000"/>
      </w:tabs>
      <w:snapToGrid w:val="0"/>
      <w:spacing w:after="240" w:line="240" w:lineRule="atLeast"/>
      <w:ind w:left="900" w:hanging="900"/>
    </w:pPr>
    <w:rPr>
      <w:kern w:val="0"/>
    </w:rPr>
  </w:style>
  <w:style w:type="paragraph" w:customStyle="1" w:styleId="TOC21">
    <w:name w:val="TOC2"/>
    <w:basedOn w:val="TOC2"/>
    <w:rsid w:val="000C4DB6"/>
    <w:pPr>
      <w:tabs>
        <w:tab w:val="clear" w:pos="720"/>
        <w:tab w:val="clear" w:pos="1440"/>
        <w:tab w:val="clear" w:pos="9360"/>
        <w:tab w:val="left" w:pos="900"/>
        <w:tab w:val="right" w:leader="dot" w:pos="9000"/>
      </w:tabs>
      <w:snapToGrid w:val="0"/>
      <w:spacing w:after="240" w:line="240" w:lineRule="atLeast"/>
      <w:ind w:left="900" w:right="540" w:firstLine="0"/>
    </w:pPr>
    <w:rPr>
      <w:caps w:val="0"/>
      <w:kern w:val="0"/>
    </w:rPr>
  </w:style>
  <w:style w:type="paragraph" w:customStyle="1" w:styleId="TOC31">
    <w:name w:val="TOC3"/>
    <w:basedOn w:val="TOC3"/>
    <w:rsid w:val="000C4DB6"/>
    <w:pPr>
      <w:tabs>
        <w:tab w:val="clear" w:pos="1440"/>
        <w:tab w:val="clear" w:pos="9360"/>
        <w:tab w:val="left" w:pos="2340"/>
        <w:tab w:val="right" w:leader="dot" w:pos="9000"/>
      </w:tabs>
      <w:snapToGrid w:val="0"/>
      <w:spacing w:line="240" w:lineRule="atLeast"/>
      <w:ind w:left="2340" w:right="540"/>
    </w:pPr>
    <w:rPr>
      <w:rFonts w:ascii="Calibri" w:eastAsia="Calibri" w:hAnsi="Calibri"/>
      <w:caps w:val="0"/>
      <w:snapToGrid w:val="0"/>
      <w:kern w:val="0"/>
    </w:rPr>
  </w:style>
  <w:style w:type="paragraph" w:customStyle="1" w:styleId="Center11-B">
    <w:name w:val="Center 11-B"/>
    <w:basedOn w:val="Normal"/>
    <w:rsid w:val="000C4DB6"/>
    <w:pPr>
      <w:tabs>
        <w:tab w:val="clear" w:pos="720"/>
        <w:tab w:val="clear" w:pos="1296"/>
        <w:tab w:val="clear" w:pos="1872"/>
        <w:tab w:val="clear" w:pos="2448"/>
      </w:tabs>
      <w:snapToGrid w:val="0"/>
      <w:spacing w:after="240" w:line="240" w:lineRule="atLeast"/>
      <w:jc w:val="center"/>
    </w:pPr>
    <w:rPr>
      <w:b/>
      <w:kern w:val="0"/>
    </w:rPr>
  </w:style>
  <w:style w:type="paragraph" w:customStyle="1" w:styleId="TOC212">
    <w:name w:val="TOC 2(12)"/>
    <w:basedOn w:val="TOC2"/>
    <w:rsid w:val="000C4DB6"/>
    <w:pPr>
      <w:tabs>
        <w:tab w:val="clear" w:pos="720"/>
        <w:tab w:val="clear" w:pos="1440"/>
        <w:tab w:val="clear" w:pos="9360"/>
        <w:tab w:val="left" w:pos="900"/>
        <w:tab w:val="right" w:leader="dot" w:pos="9000"/>
      </w:tabs>
      <w:snapToGrid w:val="0"/>
      <w:spacing w:after="240" w:line="240" w:lineRule="atLeast"/>
      <w:ind w:left="900" w:right="540" w:firstLine="0"/>
    </w:pPr>
    <w:rPr>
      <w:caps w:val="0"/>
      <w:kern w:val="0"/>
    </w:rPr>
  </w:style>
  <w:style w:type="character" w:customStyle="1" w:styleId="TOC312Char">
    <w:name w:val="TOC 3(12) Char"/>
    <w:basedOn w:val="TOC3Char"/>
    <w:link w:val="TOC312"/>
    <w:locked/>
    <w:rsid w:val="000C4DB6"/>
    <w:rPr>
      <w:rFonts w:asciiTheme="minorHAnsi" w:hAnsiTheme="minorHAnsi" w:cstheme="minorHAnsi"/>
      <w:caps/>
      <w:noProof/>
      <w:kern w:val="22"/>
      <w:sz w:val="22"/>
      <w:szCs w:val="22"/>
    </w:rPr>
  </w:style>
  <w:style w:type="paragraph" w:customStyle="1" w:styleId="TOC312">
    <w:name w:val="TOC 3(12)"/>
    <w:basedOn w:val="TOC3"/>
    <w:link w:val="TOC312Char"/>
    <w:rsid w:val="000C4DB6"/>
    <w:pPr>
      <w:tabs>
        <w:tab w:val="clear" w:pos="1440"/>
        <w:tab w:val="clear" w:pos="9360"/>
        <w:tab w:val="left" w:pos="2340"/>
        <w:tab w:val="right" w:leader="dot" w:pos="9000"/>
      </w:tabs>
      <w:snapToGrid w:val="0"/>
      <w:spacing w:after="240" w:line="240" w:lineRule="atLeast"/>
      <w:ind w:left="2340" w:right="540"/>
    </w:pPr>
  </w:style>
  <w:style w:type="paragraph" w:customStyle="1" w:styleId="Center11-Bnon">
    <w:name w:val="Center 11-B non"/>
    <w:basedOn w:val="Center11-B"/>
    <w:rsid w:val="000C4DB6"/>
    <w:rPr>
      <w:szCs w:val="28"/>
    </w:rPr>
  </w:style>
  <w:style w:type="paragraph" w:customStyle="1" w:styleId="TOC200">
    <w:name w:val="TOC 2(0)"/>
    <w:basedOn w:val="TOC212"/>
    <w:rsid w:val="000C4DB6"/>
    <w:pPr>
      <w:spacing w:after="0"/>
      <w:ind w:left="907" w:right="29" w:hanging="7"/>
    </w:pPr>
  </w:style>
  <w:style w:type="paragraph" w:customStyle="1" w:styleId="CharChar">
    <w:name w:val="Char Char"/>
    <w:basedOn w:val="Normal"/>
    <w:rsid w:val="000C4DB6"/>
    <w:pPr>
      <w:tabs>
        <w:tab w:val="clear" w:pos="720"/>
        <w:tab w:val="clear" w:pos="1296"/>
        <w:tab w:val="clear" w:pos="1872"/>
        <w:tab w:val="clear" w:pos="2448"/>
      </w:tabs>
      <w:spacing w:after="160" w:line="240" w:lineRule="exact"/>
    </w:pPr>
    <w:rPr>
      <w:rFonts w:ascii="Verdana" w:hAnsi="Verdana"/>
      <w:kern w:val="0"/>
      <w:sz w:val="20"/>
    </w:rPr>
  </w:style>
  <w:style w:type="paragraph" w:customStyle="1" w:styleId="List">
    <w:name w:val="List#"/>
    <w:rsid w:val="000C4DB6"/>
    <w:pPr>
      <w:numPr>
        <w:numId w:val="32"/>
      </w:numPr>
      <w:tabs>
        <w:tab w:val="left" w:pos="1080"/>
        <w:tab w:val="left" w:pos="1440"/>
        <w:tab w:val="left" w:pos="1800"/>
      </w:tabs>
      <w:spacing w:after="280" w:line="280" w:lineRule="atLeast"/>
    </w:pPr>
    <w:rPr>
      <w:sz w:val="22"/>
      <w:szCs w:val="22"/>
    </w:rPr>
  </w:style>
  <w:style w:type="character" w:customStyle="1" w:styleId="Heading3Char">
    <w:name w:val="Heading 3 Char"/>
    <w:basedOn w:val="DefaultParagraphFont"/>
    <w:link w:val="Heading3"/>
    <w:uiPriority w:val="9"/>
    <w:rsid w:val="000C4DB6"/>
    <w:rPr>
      <w:rFonts w:asciiTheme="minorHAnsi" w:hAnsiTheme="minorHAnsi" w:cstheme="minorHAnsi"/>
      <w:b/>
      <w:color w:val="000000"/>
      <w:kern w:val="24"/>
      <w:sz w:val="24"/>
      <w:szCs w:val="22"/>
    </w:rPr>
  </w:style>
  <w:style w:type="character" w:customStyle="1" w:styleId="EndnoteTextChar1">
    <w:name w:val="Endnote Text Char1"/>
    <w:basedOn w:val="DefaultParagraphFont"/>
    <w:uiPriority w:val="99"/>
    <w:semiHidden/>
    <w:rsid w:val="000C4DB6"/>
    <w:rPr>
      <w:rFonts w:ascii="Times New Roman" w:eastAsia="Times New Roman" w:hAnsi="Times New Roman" w:cs="Times New Roman"/>
      <w:kern w:val="22"/>
      <w:sz w:val="20"/>
      <w:szCs w:val="20"/>
    </w:rPr>
  </w:style>
  <w:style w:type="character" w:customStyle="1" w:styleId="BalloonTextChar1">
    <w:name w:val="Balloon Text Char1"/>
    <w:basedOn w:val="DefaultParagraphFont"/>
    <w:uiPriority w:val="99"/>
    <w:semiHidden/>
    <w:rsid w:val="000C4DB6"/>
    <w:rPr>
      <w:rFonts w:ascii="Tahoma" w:eastAsia="Times New Roman" w:hAnsi="Tahoma" w:cs="Tahoma"/>
      <w:kern w:val="22"/>
      <w:sz w:val="16"/>
      <w:szCs w:val="16"/>
    </w:rPr>
  </w:style>
  <w:style w:type="character" w:customStyle="1" w:styleId="CommentSubjectChar1">
    <w:name w:val="Comment Subject Char1"/>
    <w:basedOn w:val="CommentTextChar"/>
    <w:uiPriority w:val="99"/>
    <w:semiHidden/>
    <w:rsid w:val="000C4DB6"/>
    <w:rPr>
      <w:rFonts w:ascii="Arial" w:eastAsia="Times New Roman" w:hAnsi="Arial" w:cs="Times New Roman"/>
      <w:b/>
      <w:bCs/>
      <w:sz w:val="22"/>
      <w:szCs w:val="22"/>
    </w:rPr>
  </w:style>
  <w:style w:type="paragraph" w:customStyle="1" w:styleId="Note">
    <w:name w:val="Note"/>
    <w:next w:val="NoteBody"/>
    <w:rsid w:val="0035035B"/>
    <w:pPr>
      <w:keepNext/>
      <w:spacing w:line="280" w:lineRule="atLeast"/>
      <w:jc w:val="center"/>
    </w:pPr>
    <w:rPr>
      <w:b/>
      <w:sz w:val="22"/>
      <w:szCs w:val="22"/>
    </w:rPr>
  </w:style>
  <w:style w:type="paragraph" w:customStyle="1" w:styleId="NoteBody">
    <w:name w:val="Note Body"/>
    <w:next w:val="Normal"/>
    <w:rsid w:val="0035035B"/>
    <w:pPr>
      <w:spacing w:after="280" w:line="280" w:lineRule="atLeast"/>
      <w:ind w:left="1080" w:right="1080"/>
    </w:pPr>
    <w:rPr>
      <w:sz w:val="22"/>
      <w:szCs w:val="22"/>
    </w:rPr>
  </w:style>
  <w:style w:type="paragraph" w:customStyle="1" w:styleId="TableBulleta">
    <w:name w:val="Table Bullet (a)"/>
    <w:basedOn w:val="TableBullet0"/>
    <w:qFormat/>
    <w:rsid w:val="00DE027C"/>
    <w:pPr>
      <w:numPr>
        <w:numId w:val="33"/>
      </w:numPr>
      <w:tabs>
        <w:tab w:val="clear" w:pos="310"/>
        <w:tab w:val="left" w:pos="391"/>
      </w:tabs>
    </w:pPr>
  </w:style>
  <w:style w:type="paragraph" w:customStyle="1" w:styleId="Table-10pt2-2">
    <w:name w:val="Table-10pt(2-2)"/>
    <w:rsid w:val="00442CA3"/>
    <w:pPr>
      <w:tabs>
        <w:tab w:val="left" w:pos="-720"/>
      </w:tabs>
      <w:suppressAutoHyphens/>
      <w:spacing w:before="40" w:after="40"/>
    </w:pPr>
    <w:rPr>
      <w:rFonts w:ascii="Arial" w:hAnsi="Arial" w:cs="Arial"/>
    </w:rPr>
  </w:style>
  <w:style w:type="paragraph" w:customStyle="1" w:styleId="Table-10pt6-0">
    <w:name w:val="Table-10pt(6-0)"/>
    <w:rsid w:val="00442CA3"/>
    <w:pPr>
      <w:tabs>
        <w:tab w:val="left" w:pos="192"/>
      </w:tabs>
      <w:suppressAutoHyphens/>
      <w:spacing w:before="120"/>
    </w:pPr>
    <w:rPr>
      <w:rFonts w:ascii="Arial" w:hAnsi="Arial" w:cs="Arial"/>
    </w:rPr>
  </w:style>
  <w:style w:type="paragraph" w:customStyle="1" w:styleId="Table-10pt6-100">
    <w:name w:val="Table-10pt(6-100)"/>
    <w:basedOn w:val="Table-10pt6-0"/>
    <w:rsid w:val="00442CA3"/>
    <w:pPr>
      <w:spacing w:after="2000"/>
    </w:pPr>
  </w:style>
  <w:style w:type="paragraph" w:customStyle="1" w:styleId="List1">
    <w:name w:val="List#)"/>
    <w:rsid w:val="00821BF1"/>
    <w:pPr>
      <w:numPr>
        <w:numId w:val="35"/>
      </w:numPr>
      <w:tabs>
        <w:tab w:val="left" w:pos="1800"/>
        <w:tab w:val="left" w:pos="2160"/>
      </w:tabs>
      <w:spacing w:after="280" w:line="280" w:lineRule="atLeast"/>
    </w:pPr>
    <w:rPr>
      <w:sz w:val="22"/>
      <w:szCs w:val="22"/>
    </w:rPr>
  </w:style>
  <w:style w:type="character" w:customStyle="1" w:styleId="BulletChar">
    <w:name w:val="Bullet Char"/>
    <w:basedOn w:val="DefaultParagraphFont"/>
    <w:link w:val="Bullet"/>
    <w:rsid w:val="003D0407"/>
    <w:rPr>
      <w:rFonts w:ascii="Arial" w:hAnsi="Arial"/>
      <w:sz w:val="22"/>
      <w:szCs w:val="22"/>
    </w:rPr>
  </w:style>
  <w:style w:type="character" w:customStyle="1" w:styleId="TableTitleChar">
    <w:name w:val="TableTitle Char"/>
    <w:basedOn w:val="DefaultParagraphFont"/>
    <w:link w:val="TableTitle"/>
    <w:rsid w:val="00E834B1"/>
    <w:rPr>
      <w:b/>
      <w:color w:val="000000"/>
      <w:kern w:val="22"/>
      <w:sz w:val="22"/>
      <w:szCs w:val="22"/>
    </w:rPr>
  </w:style>
  <w:style w:type="character" w:customStyle="1" w:styleId="ListParagraphChar">
    <w:name w:val="List Paragraph Char"/>
    <w:aliases w:val="List Paragraph in Section 2 of LAR Char,Resume Title Char,Citation List Char,Indent Paragraph Char,Bullets Char,Figure_name Char,List Paragraph1 Char,Bullet- First level Char,Report Para Char,List Paragraph11 Char,Number Bullets Char"/>
    <w:basedOn w:val="DefaultParagraphFont"/>
    <w:link w:val="ListParagraph"/>
    <w:uiPriority w:val="34"/>
    <w:qFormat/>
    <w:rsid w:val="00FE55B6"/>
    <w:rPr>
      <w:kern w:val="22"/>
      <w:sz w:val="22"/>
    </w:rPr>
  </w:style>
  <w:style w:type="paragraph" w:customStyle="1" w:styleId="List-NoNum">
    <w:name w:val="List-NoNum"/>
    <w:rsid w:val="008F23EF"/>
    <w:pPr>
      <w:tabs>
        <w:tab w:val="left" w:pos="720"/>
        <w:tab w:val="left" w:pos="1080"/>
        <w:tab w:val="left" w:pos="1440"/>
      </w:tabs>
      <w:spacing w:after="280" w:line="280" w:lineRule="atLeast"/>
      <w:ind w:left="720" w:hanging="360"/>
    </w:pPr>
    <w:rPr>
      <w:rFonts w:ascii="Arial" w:hAnsi="Arial"/>
      <w:noProof/>
      <w:sz w:val="22"/>
    </w:rPr>
  </w:style>
  <w:style w:type="character" w:customStyle="1" w:styleId="defaultlabelstyle3">
    <w:name w:val="defaultlabelstyle3"/>
    <w:rsid w:val="008F23EF"/>
    <w:rPr>
      <w:rFonts w:ascii="Trebuchet MS" w:hAnsi="Trebuchet MS" w:hint="default"/>
      <w:color w:val="333333"/>
    </w:rPr>
  </w:style>
  <w:style w:type="paragraph" w:customStyle="1" w:styleId="Bullet-Ital0">
    <w:name w:val="Bullet-Ital(0)"/>
    <w:basedOn w:val="Normal"/>
    <w:rsid w:val="00CB6E9D"/>
    <w:pPr>
      <w:numPr>
        <w:numId w:val="37"/>
      </w:numPr>
      <w:tabs>
        <w:tab w:val="clear" w:pos="2448"/>
      </w:tabs>
      <w:spacing w:after="0"/>
    </w:pPr>
    <w:rPr>
      <w:rFonts w:ascii="Arial" w:hAnsi="Arial" w:cs="Arial"/>
      <w:i/>
      <w:kern w:val="0"/>
      <w:szCs w:val="24"/>
      <w:lang w:eastAsia="zh-TW"/>
    </w:rPr>
  </w:style>
  <w:style w:type="paragraph" w:customStyle="1" w:styleId="TableList-a">
    <w:name w:val="Table List-a"/>
    <w:basedOn w:val="Normal"/>
    <w:qFormat/>
    <w:rsid w:val="00F03C31"/>
    <w:pPr>
      <w:keepNext/>
      <w:tabs>
        <w:tab w:val="clear" w:pos="720"/>
        <w:tab w:val="clear" w:pos="1296"/>
        <w:tab w:val="clear" w:pos="1872"/>
        <w:tab w:val="clear" w:pos="2448"/>
        <w:tab w:val="left" w:pos="360"/>
      </w:tabs>
      <w:spacing w:before="70" w:after="70" w:line="240" w:lineRule="auto"/>
    </w:pPr>
    <w:rPr>
      <w:rFonts w:eastAsia="PMingLiU"/>
      <w:lang w:eastAsia="zh-TW"/>
    </w:rPr>
  </w:style>
  <w:style w:type="paragraph" w:styleId="NormalIndent0">
    <w:name w:val="Normal Indent"/>
    <w:aliases w:val="Normal Indent Char1,Normal Indent Char Char,Normal Indent Char1 Char Char,Normal Indent Char Char Char Char,Normal Indent Char1 Char Char Char Char,Normal Indent Char Char Char Char Char Char,Vakiosisennys Char,Обычный отступ"/>
    <w:basedOn w:val="Normal"/>
    <w:link w:val="NormalIndentChar0"/>
    <w:uiPriority w:val="99"/>
    <w:unhideWhenUsed/>
    <w:rsid w:val="000C10F1"/>
    <w:pPr>
      <w:tabs>
        <w:tab w:val="clear" w:pos="720"/>
        <w:tab w:val="clear" w:pos="1296"/>
        <w:tab w:val="clear" w:pos="1872"/>
        <w:tab w:val="clear" w:pos="2448"/>
      </w:tabs>
      <w:spacing w:after="120" w:line="240" w:lineRule="auto"/>
      <w:ind w:left="1304"/>
    </w:pPr>
    <w:rPr>
      <w:kern w:val="0"/>
      <w:sz w:val="24"/>
    </w:rPr>
  </w:style>
  <w:style w:type="character" w:customStyle="1" w:styleId="NormalIndentChar0">
    <w:name w:val="Normal Indent Char"/>
    <w:aliases w:val="Normal Indent Char1 Char,Normal Indent Char Char Char,Normal Indent Char1 Char Char Char,Normal Indent Char Char Char Char Char,Normal Indent Char1 Char Char Char Char Char,Normal Indent Char Char Char Char Char Char Char"/>
    <w:basedOn w:val="DefaultParagraphFont"/>
    <w:link w:val="NormalIndent0"/>
    <w:uiPriority w:val="99"/>
    <w:locked/>
    <w:rsid w:val="000C10F1"/>
    <w:rPr>
      <w:sz w:val="24"/>
    </w:rPr>
  </w:style>
  <w:style w:type="character" w:customStyle="1" w:styleId="Bullet14Char">
    <w:name w:val="Bullet(14) Char"/>
    <w:link w:val="Bullet14"/>
    <w:rsid w:val="00877D5F"/>
    <w:rPr>
      <w:rFonts w:asciiTheme="minorHAnsi" w:hAnsiTheme="minorHAnsi" w:cstheme="minorHAnsi"/>
      <w:kern w:val="22"/>
      <w:sz w:val="22"/>
      <w:szCs w:val="22"/>
    </w:rPr>
  </w:style>
  <w:style w:type="character" w:customStyle="1" w:styleId="UnresolvedMention">
    <w:name w:val="Unresolved Mention"/>
    <w:basedOn w:val="DefaultParagraphFont"/>
    <w:uiPriority w:val="99"/>
    <w:semiHidden/>
    <w:unhideWhenUsed/>
    <w:rsid w:val="00AB4D7B"/>
    <w:rPr>
      <w:color w:val="605E5C"/>
      <w:shd w:val="clear" w:color="auto" w:fill="E1DFDD"/>
    </w:rPr>
  </w:style>
  <w:style w:type="table" w:customStyle="1" w:styleId="TableGrid1">
    <w:name w:val="Table Grid1"/>
    <w:basedOn w:val="TableNormal"/>
    <w:next w:val="TableGrid"/>
    <w:uiPriority w:val="39"/>
    <w:rsid w:val="00067180"/>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special">
    <w:name w:val="Table Body-special"/>
    <w:basedOn w:val="TableBodyLeft"/>
    <w:rsid w:val="00CD005C"/>
    <w:pPr>
      <w:tabs>
        <w:tab w:val="left" w:pos="3225"/>
      </w:tabs>
    </w:pPr>
    <w:rPr>
      <w:rFonts w:ascii="Times New Roman" w:hAnsi="Times New Roman" w:cs="Times New Roman"/>
      <w:szCs w:val="20"/>
    </w:rPr>
  </w:style>
  <w:style w:type="paragraph" w:styleId="Bibliography">
    <w:name w:val="Bibliography"/>
    <w:basedOn w:val="Normal"/>
    <w:next w:val="Normal"/>
    <w:uiPriority w:val="37"/>
    <w:semiHidden/>
    <w:unhideWhenUsed/>
    <w:rsid w:val="001852C8"/>
  </w:style>
  <w:style w:type="paragraph" w:styleId="BlockText">
    <w:name w:val="Block Text"/>
    <w:basedOn w:val="Normal"/>
    <w:uiPriority w:val="99"/>
    <w:semiHidden/>
    <w:unhideWhenUsed/>
    <w:rsid w:val="001852C8"/>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BodyText2">
    <w:name w:val="Body Text 2"/>
    <w:basedOn w:val="Normal"/>
    <w:link w:val="BodyText2Char"/>
    <w:uiPriority w:val="99"/>
    <w:semiHidden/>
    <w:unhideWhenUsed/>
    <w:rsid w:val="001852C8"/>
    <w:pPr>
      <w:spacing w:after="120" w:line="480" w:lineRule="auto"/>
    </w:pPr>
  </w:style>
  <w:style w:type="character" w:customStyle="1" w:styleId="BodyText2Char">
    <w:name w:val="Body Text 2 Char"/>
    <w:basedOn w:val="DefaultParagraphFont"/>
    <w:link w:val="BodyText2"/>
    <w:uiPriority w:val="99"/>
    <w:semiHidden/>
    <w:rsid w:val="001852C8"/>
    <w:rPr>
      <w:rFonts w:asciiTheme="minorHAnsi" w:hAnsiTheme="minorHAnsi" w:cstheme="minorHAnsi"/>
      <w:kern w:val="22"/>
      <w:sz w:val="22"/>
      <w:szCs w:val="22"/>
    </w:rPr>
  </w:style>
  <w:style w:type="paragraph" w:styleId="BodyText3">
    <w:name w:val="Body Text 3"/>
    <w:basedOn w:val="Normal"/>
    <w:link w:val="BodyText3Char"/>
    <w:uiPriority w:val="99"/>
    <w:semiHidden/>
    <w:unhideWhenUsed/>
    <w:rsid w:val="001852C8"/>
    <w:pPr>
      <w:spacing w:after="120"/>
    </w:pPr>
    <w:rPr>
      <w:sz w:val="16"/>
      <w:szCs w:val="16"/>
    </w:rPr>
  </w:style>
  <w:style w:type="character" w:customStyle="1" w:styleId="BodyText3Char">
    <w:name w:val="Body Text 3 Char"/>
    <w:basedOn w:val="DefaultParagraphFont"/>
    <w:link w:val="BodyText3"/>
    <w:uiPriority w:val="99"/>
    <w:semiHidden/>
    <w:rsid w:val="001852C8"/>
    <w:rPr>
      <w:rFonts w:asciiTheme="minorHAnsi" w:hAnsiTheme="minorHAnsi" w:cstheme="minorHAnsi"/>
      <w:kern w:val="22"/>
      <w:sz w:val="16"/>
      <w:szCs w:val="16"/>
    </w:rPr>
  </w:style>
  <w:style w:type="paragraph" w:styleId="BodyTextFirstIndent">
    <w:name w:val="Body Text First Indent"/>
    <w:basedOn w:val="BodyText"/>
    <w:link w:val="BodyTextFirstIndentChar"/>
    <w:uiPriority w:val="99"/>
    <w:semiHidden/>
    <w:unhideWhenUsed/>
    <w:rsid w:val="001852C8"/>
    <w:pPr>
      <w:ind w:firstLine="360"/>
    </w:pPr>
    <w:rPr>
      <w:color w:val="auto"/>
    </w:rPr>
  </w:style>
  <w:style w:type="character" w:customStyle="1" w:styleId="BodyTextFirstIndentChar">
    <w:name w:val="Body Text First Indent Char"/>
    <w:basedOn w:val="BodyTextChar"/>
    <w:link w:val="BodyTextFirstIndent"/>
    <w:uiPriority w:val="99"/>
    <w:semiHidden/>
    <w:rsid w:val="001852C8"/>
    <w:rPr>
      <w:rFonts w:asciiTheme="minorHAnsi" w:hAnsiTheme="minorHAnsi" w:cstheme="minorHAnsi"/>
      <w:color w:val="FF0000"/>
      <w:kern w:val="22"/>
      <w:sz w:val="22"/>
      <w:szCs w:val="22"/>
    </w:rPr>
  </w:style>
  <w:style w:type="paragraph" w:styleId="BodyTextFirstIndent2">
    <w:name w:val="Body Text First Indent 2"/>
    <w:basedOn w:val="BodyTextIndent"/>
    <w:link w:val="BodyTextFirstIndent2Char"/>
    <w:uiPriority w:val="99"/>
    <w:semiHidden/>
    <w:unhideWhenUsed/>
    <w:rsid w:val="001852C8"/>
    <w:pPr>
      <w:tabs>
        <w:tab w:val="left" w:pos="720"/>
        <w:tab w:val="left" w:pos="1296"/>
        <w:tab w:val="left" w:pos="1872"/>
        <w:tab w:val="left" w:pos="2448"/>
      </w:tabs>
      <w:autoSpaceDE/>
      <w:autoSpaceDN/>
      <w:adjustRightInd/>
      <w:spacing w:before="0" w:after="280" w:line="280" w:lineRule="atLeast"/>
      <w:ind w:left="360" w:firstLine="360"/>
    </w:pPr>
    <w:rPr>
      <w:rFonts w:asciiTheme="minorHAnsi" w:hAnsiTheme="minorHAnsi" w:cstheme="minorHAnsi"/>
      <w:kern w:val="22"/>
      <w:sz w:val="22"/>
      <w:szCs w:val="22"/>
    </w:rPr>
  </w:style>
  <w:style w:type="character" w:customStyle="1" w:styleId="BodyTextFirstIndent2Char">
    <w:name w:val="Body Text First Indent 2 Char"/>
    <w:basedOn w:val="BodyTextIndentChar"/>
    <w:link w:val="BodyTextFirstIndent2"/>
    <w:uiPriority w:val="99"/>
    <w:semiHidden/>
    <w:rsid w:val="001852C8"/>
    <w:rPr>
      <w:rFonts w:asciiTheme="minorHAnsi" w:hAnsiTheme="minorHAnsi" w:cstheme="minorHAnsi"/>
      <w:kern w:val="22"/>
      <w:sz w:val="22"/>
      <w:szCs w:val="22"/>
    </w:rPr>
  </w:style>
  <w:style w:type="paragraph" w:styleId="BodyTextIndent2">
    <w:name w:val="Body Text Indent 2"/>
    <w:basedOn w:val="Normal"/>
    <w:link w:val="BodyTextIndent2Char"/>
    <w:uiPriority w:val="99"/>
    <w:semiHidden/>
    <w:unhideWhenUsed/>
    <w:rsid w:val="001852C8"/>
    <w:pPr>
      <w:spacing w:after="120" w:line="480" w:lineRule="auto"/>
      <w:ind w:left="360"/>
    </w:pPr>
  </w:style>
  <w:style w:type="character" w:customStyle="1" w:styleId="BodyTextIndent2Char">
    <w:name w:val="Body Text Indent 2 Char"/>
    <w:basedOn w:val="DefaultParagraphFont"/>
    <w:link w:val="BodyTextIndent2"/>
    <w:uiPriority w:val="99"/>
    <w:semiHidden/>
    <w:rsid w:val="001852C8"/>
    <w:rPr>
      <w:rFonts w:asciiTheme="minorHAnsi" w:hAnsiTheme="minorHAnsi" w:cstheme="minorHAnsi"/>
      <w:kern w:val="22"/>
      <w:sz w:val="22"/>
      <w:szCs w:val="22"/>
    </w:rPr>
  </w:style>
  <w:style w:type="paragraph" w:styleId="BodyTextIndent3">
    <w:name w:val="Body Text Indent 3"/>
    <w:basedOn w:val="Normal"/>
    <w:link w:val="BodyTextIndent3Char"/>
    <w:uiPriority w:val="99"/>
    <w:semiHidden/>
    <w:unhideWhenUsed/>
    <w:rsid w:val="001852C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1852C8"/>
    <w:rPr>
      <w:rFonts w:asciiTheme="minorHAnsi" w:hAnsiTheme="minorHAnsi" w:cstheme="minorHAnsi"/>
      <w:kern w:val="22"/>
      <w:sz w:val="16"/>
      <w:szCs w:val="16"/>
    </w:rPr>
  </w:style>
  <w:style w:type="paragraph" w:styleId="Closing">
    <w:name w:val="Closing"/>
    <w:basedOn w:val="Normal"/>
    <w:link w:val="ClosingChar"/>
    <w:uiPriority w:val="99"/>
    <w:semiHidden/>
    <w:unhideWhenUsed/>
    <w:rsid w:val="001852C8"/>
    <w:pPr>
      <w:spacing w:after="0" w:line="240" w:lineRule="auto"/>
      <w:ind w:left="4320"/>
    </w:pPr>
  </w:style>
  <w:style w:type="character" w:customStyle="1" w:styleId="ClosingChar">
    <w:name w:val="Closing Char"/>
    <w:basedOn w:val="DefaultParagraphFont"/>
    <w:link w:val="Closing"/>
    <w:uiPriority w:val="99"/>
    <w:semiHidden/>
    <w:rsid w:val="001852C8"/>
    <w:rPr>
      <w:rFonts w:asciiTheme="minorHAnsi" w:hAnsiTheme="minorHAnsi" w:cstheme="minorHAnsi"/>
      <w:kern w:val="22"/>
      <w:sz w:val="22"/>
      <w:szCs w:val="22"/>
    </w:rPr>
  </w:style>
  <w:style w:type="paragraph" w:styleId="Date">
    <w:name w:val="Date"/>
    <w:basedOn w:val="Normal"/>
    <w:next w:val="Normal"/>
    <w:link w:val="DateChar"/>
    <w:uiPriority w:val="99"/>
    <w:semiHidden/>
    <w:unhideWhenUsed/>
    <w:rsid w:val="001852C8"/>
  </w:style>
  <w:style w:type="character" w:customStyle="1" w:styleId="DateChar">
    <w:name w:val="Date Char"/>
    <w:basedOn w:val="DefaultParagraphFont"/>
    <w:link w:val="Date"/>
    <w:uiPriority w:val="99"/>
    <w:semiHidden/>
    <w:rsid w:val="001852C8"/>
    <w:rPr>
      <w:rFonts w:asciiTheme="minorHAnsi" w:hAnsiTheme="minorHAnsi" w:cstheme="minorHAnsi"/>
      <w:kern w:val="22"/>
      <w:sz w:val="22"/>
      <w:szCs w:val="22"/>
    </w:rPr>
  </w:style>
  <w:style w:type="paragraph" w:styleId="DocumentMap">
    <w:name w:val="Document Map"/>
    <w:basedOn w:val="Normal"/>
    <w:link w:val="DocumentMapChar"/>
    <w:uiPriority w:val="99"/>
    <w:semiHidden/>
    <w:unhideWhenUsed/>
    <w:rsid w:val="001852C8"/>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1852C8"/>
    <w:rPr>
      <w:rFonts w:ascii="Segoe UI" w:hAnsi="Segoe UI" w:cs="Segoe UI"/>
      <w:kern w:val="22"/>
      <w:sz w:val="16"/>
      <w:szCs w:val="16"/>
    </w:rPr>
  </w:style>
  <w:style w:type="paragraph" w:styleId="E-mailSignature">
    <w:name w:val="E-mail Signature"/>
    <w:basedOn w:val="Normal"/>
    <w:link w:val="E-mailSignatureChar"/>
    <w:uiPriority w:val="99"/>
    <w:semiHidden/>
    <w:unhideWhenUsed/>
    <w:rsid w:val="001852C8"/>
    <w:pPr>
      <w:spacing w:after="0" w:line="240" w:lineRule="auto"/>
    </w:pPr>
  </w:style>
  <w:style w:type="character" w:customStyle="1" w:styleId="E-mailSignatureChar">
    <w:name w:val="E-mail Signature Char"/>
    <w:basedOn w:val="DefaultParagraphFont"/>
    <w:link w:val="E-mailSignature"/>
    <w:uiPriority w:val="99"/>
    <w:semiHidden/>
    <w:rsid w:val="001852C8"/>
    <w:rPr>
      <w:rFonts w:asciiTheme="minorHAnsi" w:hAnsiTheme="minorHAnsi" w:cstheme="minorHAnsi"/>
      <w:kern w:val="22"/>
      <w:sz w:val="22"/>
      <w:szCs w:val="22"/>
    </w:rPr>
  </w:style>
  <w:style w:type="paragraph" w:styleId="EnvelopeAddress">
    <w:name w:val="envelope address"/>
    <w:basedOn w:val="Normal"/>
    <w:uiPriority w:val="99"/>
    <w:semiHidden/>
    <w:unhideWhenUsed/>
    <w:rsid w:val="001852C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1852C8"/>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1852C8"/>
    <w:pPr>
      <w:spacing w:after="0" w:line="240" w:lineRule="auto"/>
    </w:pPr>
    <w:rPr>
      <w:i/>
      <w:iCs/>
    </w:rPr>
  </w:style>
  <w:style w:type="character" w:customStyle="1" w:styleId="HTMLAddressChar">
    <w:name w:val="HTML Address Char"/>
    <w:basedOn w:val="DefaultParagraphFont"/>
    <w:link w:val="HTMLAddress"/>
    <w:uiPriority w:val="99"/>
    <w:semiHidden/>
    <w:rsid w:val="001852C8"/>
    <w:rPr>
      <w:rFonts w:asciiTheme="minorHAnsi" w:hAnsiTheme="minorHAnsi" w:cstheme="minorHAnsi"/>
      <w:i/>
      <w:iCs/>
      <w:kern w:val="22"/>
      <w:sz w:val="22"/>
      <w:szCs w:val="22"/>
    </w:rPr>
  </w:style>
  <w:style w:type="paragraph" w:styleId="HTMLPreformatted">
    <w:name w:val="HTML Preformatted"/>
    <w:basedOn w:val="Normal"/>
    <w:link w:val="HTMLPreformattedChar"/>
    <w:uiPriority w:val="99"/>
    <w:semiHidden/>
    <w:unhideWhenUsed/>
    <w:rsid w:val="001852C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852C8"/>
    <w:rPr>
      <w:rFonts w:ascii="Consolas" w:hAnsi="Consolas" w:cstheme="minorHAnsi"/>
      <w:kern w:val="22"/>
    </w:rPr>
  </w:style>
  <w:style w:type="paragraph" w:styleId="Index3">
    <w:name w:val="index 3"/>
    <w:basedOn w:val="Normal"/>
    <w:next w:val="Normal"/>
    <w:autoRedefine/>
    <w:uiPriority w:val="99"/>
    <w:semiHidden/>
    <w:unhideWhenUsed/>
    <w:rsid w:val="001852C8"/>
    <w:pPr>
      <w:tabs>
        <w:tab w:val="clear" w:pos="720"/>
        <w:tab w:val="clear" w:pos="1296"/>
        <w:tab w:val="clear" w:pos="1872"/>
        <w:tab w:val="clear" w:pos="2448"/>
      </w:tabs>
      <w:spacing w:after="0" w:line="240" w:lineRule="auto"/>
      <w:ind w:left="660" w:hanging="220"/>
    </w:pPr>
  </w:style>
  <w:style w:type="paragraph" w:styleId="Index4">
    <w:name w:val="index 4"/>
    <w:basedOn w:val="Normal"/>
    <w:next w:val="Normal"/>
    <w:autoRedefine/>
    <w:uiPriority w:val="99"/>
    <w:semiHidden/>
    <w:unhideWhenUsed/>
    <w:rsid w:val="001852C8"/>
    <w:pPr>
      <w:tabs>
        <w:tab w:val="clear" w:pos="720"/>
        <w:tab w:val="clear" w:pos="1296"/>
        <w:tab w:val="clear" w:pos="1872"/>
        <w:tab w:val="clear" w:pos="2448"/>
      </w:tabs>
      <w:spacing w:after="0" w:line="240" w:lineRule="auto"/>
      <w:ind w:left="880" w:hanging="220"/>
    </w:pPr>
  </w:style>
  <w:style w:type="paragraph" w:styleId="Index5">
    <w:name w:val="index 5"/>
    <w:basedOn w:val="Normal"/>
    <w:next w:val="Normal"/>
    <w:autoRedefine/>
    <w:uiPriority w:val="99"/>
    <w:semiHidden/>
    <w:unhideWhenUsed/>
    <w:rsid w:val="001852C8"/>
    <w:pPr>
      <w:tabs>
        <w:tab w:val="clear" w:pos="720"/>
        <w:tab w:val="clear" w:pos="1296"/>
        <w:tab w:val="clear" w:pos="1872"/>
        <w:tab w:val="clear" w:pos="2448"/>
      </w:tabs>
      <w:spacing w:after="0" w:line="240" w:lineRule="auto"/>
      <w:ind w:left="1100" w:hanging="220"/>
    </w:pPr>
  </w:style>
  <w:style w:type="paragraph" w:styleId="Index6">
    <w:name w:val="index 6"/>
    <w:basedOn w:val="Normal"/>
    <w:next w:val="Normal"/>
    <w:autoRedefine/>
    <w:uiPriority w:val="99"/>
    <w:semiHidden/>
    <w:unhideWhenUsed/>
    <w:rsid w:val="001852C8"/>
    <w:pPr>
      <w:tabs>
        <w:tab w:val="clear" w:pos="720"/>
        <w:tab w:val="clear" w:pos="1296"/>
        <w:tab w:val="clear" w:pos="1872"/>
        <w:tab w:val="clear" w:pos="2448"/>
      </w:tabs>
      <w:spacing w:after="0" w:line="240" w:lineRule="auto"/>
      <w:ind w:left="1320" w:hanging="220"/>
    </w:pPr>
  </w:style>
  <w:style w:type="paragraph" w:styleId="Index7">
    <w:name w:val="index 7"/>
    <w:basedOn w:val="Normal"/>
    <w:next w:val="Normal"/>
    <w:autoRedefine/>
    <w:uiPriority w:val="99"/>
    <w:semiHidden/>
    <w:unhideWhenUsed/>
    <w:rsid w:val="001852C8"/>
    <w:pPr>
      <w:tabs>
        <w:tab w:val="clear" w:pos="720"/>
        <w:tab w:val="clear" w:pos="1296"/>
        <w:tab w:val="clear" w:pos="1872"/>
        <w:tab w:val="clear" w:pos="2448"/>
      </w:tabs>
      <w:spacing w:after="0" w:line="240" w:lineRule="auto"/>
      <w:ind w:left="1540" w:hanging="220"/>
    </w:pPr>
  </w:style>
  <w:style w:type="paragraph" w:styleId="Index8">
    <w:name w:val="index 8"/>
    <w:basedOn w:val="Normal"/>
    <w:next w:val="Normal"/>
    <w:autoRedefine/>
    <w:uiPriority w:val="99"/>
    <w:semiHidden/>
    <w:unhideWhenUsed/>
    <w:rsid w:val="001852C8"/>
    <w:pPr>
      <w:tabs>
        <w:tab w:val="clear" w:pos="720"/>
        <w:tab w:val="clear" w:pos="1296"/>
        <w:tab w:val="clear" w:pos="1872"/>
        <w:tab w:val="clear" w:pos="2448"/>
      </w:tabs>
      <w:spacing w:after="0" w:line="240" w:lineRule="auto"/>
      <w:ind w:left="1760" w:hanging="220"/>
    </w:pPr>
  </w:style>
  <w:style w:type="paragraph" w:styleId="Index9">
    <w:name w:val="index 9"/>
    <w:basedOn w:val="Normal"/>
    <w:next w:val="Normal"/>
    <w:autoRedefine/>
    <w:uiPriority w:val="99"/>
    <w:semiHidden/>
    <w:unhideWhenUsed/>
    <w:rsid w:val="001852C8"/>
    <w:pPr>
      <w:tabs>
        <w:tab w:val="clear" w:pos="720"/>
        <w:tab w:val="clear" w:pos="1296"/>
        <w:tab w:val="clear" w:pos="1872"/>
        <w:tab w:val="clear" w:pos="2448"/>
      </w:tabs>
      <w:spacing w:after="0" w:line="240" w:lineRule="auto"/>
      <w:ind w:left="1980" w:hanging="220"/>
    </w:pPr>
  </w:style>
  <w:style w:type="paragraph" w:styleId="IndexHeading">
    <w:name w:val="index heading"/>
    <w:basedOn w:val="Normal"/>
    <w:next w:val="Index1"/>
    <w:uiPriority w:val="99"/>
    <w:semiHidden/>
    <w:unhideWhenUsed/>
    <w:rsid w:val="001852C8"/>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1852C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1852C8"/>
    <w:rPr>
      <w:rFonts w:asciiTheme="minorHAnsi" w:hAnsiTheme="minorHAnsi" w:cstheme="minorHAnsi"/>
      <w:i/>
      <w:iCs/>
      <w:color w:val="4F81BD" w:themeColor="accent1"/>
      <w:kern w:val="22"/>
      <w:sz w:val="22"/>
      <w:szCs w:val="22"/>
    </w:rPr>
  </w:style>
  <w:style w:type="paragraph" w:styleId="List2">
    <w:name w:val="List"/>
    <w:basedOn w:val="Normal"/>
    <w:uiPriority w:val="99"/>
    <w:semiHidden/>
    <w:unhideWhenUsed/>
    <w:rsid w:val="001852C8"/>
    <w:pPr>
      <w:ind w:left="360" w:hanging="360"/>
      <w:contextualSpacing/>
    </w:pPr>
  </w:style>
  <w:style w:type="paragraph" w:styleId="List20">
    <w:name w:val="List 2"/>
    <w:basedOn w:val="Normal"/>
    <w:uiPriority w:val="99"/>
    <w:semiHidden/>
    <w:unhideWhenUsed/>
    <w:rsid w:val="001852C8"/>
    <w:pPr>
      <w:ind w:left="720" w:hanging="360"/>
      <w:contextualSpacing/>
    </w:pPr>
  </w:style>
  <w:style w:type="paragraph" w:styleId="List3">
    <w:name w:val="List 3"/>
    <w:basedOn w:val="Normal"/>
    <w:uiPriority w:val="99"/>
    <w:semiHidden/>
    <w:unhideWhenUsed/>
    <w:rsid w:val="001852C8"/>
    <w:pPr>
      <w:ind w:left="1080" w:hanging="360"/>
      <w:contextualSpacing/>
    </w:pPr>
  </w:style>
  <w:style w:type="paragraph" w:styleId="List4">
    <w:name w:val="List 4"/>
    <w:basedOn w:val="Normal"/>
    <w:uiPriority w:val="99"/>
    <w:semiHidden/>
    <w:unhideWhenUsed/>
    <w:rsid w:val="001852C8"/>
    <w:pPr>
      <w:ind w:left="1440" w:hanging="360"/>
      <w:contextualSpacing/>
    </w:pPr>
  </w:style>
  <w:style w:type="paragraph" w:styleId="List5">
    <w:name w:val="List 5"/>
    <w:basedOn w:val="Normal"/>
    <w:uiPriority w:val="99"/>
    <w:semiHidden/>
    <w:unhideWhenUsed/>
    <w:rsid w:val="001852C8"/>
    <w:pPr>
      <w:ind w:left="1800" w:hanging="360"/>
      <w:contextualSpacing/>
    </w:pPr>
  </w:style>
  <w:style w:type="paragraph" w:styleId="ListBullet">
    <w:name w:val="List Bullet"/>
    <w:basedOn w:val="Normal"/>
    <w:uiPriority w:val="99"/>
    <w:semiHidden/>
    <w:unhideWhenUsed/>
    <w:rsid w:val="001852C8"/>
    <w:pPr>
      <w:numPr>
        <w:numId w:val="40"/>
      </w:numPr>
      <w:contextualSpacing/>
    </w:pPr>
  </w:style>
  <w:style w:type="paragraph" w:styleId="ListBullet2">
    <w:name w:val="List Bullet 2"/>
    <w:basedOn w:val="Normal"/>
    <w:uiPriority w:val="99"/>
    <w:semiHidden/>
    <w:unhideWhenUsed/>
    <w:rsid w:val="001852C8"/>
    <w:pPr>
      <w:numPr>
        <w:numId w:val="41"/>
      </w:numPr>
      <w:contextualSpacing/>
    </w:pPr>
  </w:style>
  <w:style w:type="paragraph" w:styleId="ListBullet3">
    <w:name w:val="List Bullet 3"/>
    <w:basedOn w:val="Normal"/>
    <w:uiPriority w:val="99"/>
    <w:semiHidden/>
    <w:unhideWhenUsed/>
    <w:rsid w:val="001852C8"/>
    <w:pPr>
      <w:numPr>
        <w:numId w:val="42"/>
      </w:numPr>
      <w:contextualSpacing/>
    </w:pPr>
  </w:style>
  <w:style w:type="paragraph" w:styleId="ListBullet4">
    <w:name w:val="List Bullet 4"/>
    <w:basedOn w:val="Normal"/>
    <w:uiPriority w:val="99"/>
    <w:semiHidden/>
    <w:unhideWhenUsed/>
    <w:rsid w:val="001852C8"/>
    <w:pPr>
      <w:numPr>
        <w:numId w:val="43"/>
      </w:numPr>
      <w:contextualSpacing/>
    </w:pPr>
  </w:style>
  <w:style w:type="paragraph" w:styleId="ListBullet5">
    <w:name w:val="List Bullet 5"/>
    <w:basedOn w:val="Normal"/>
    <w:uiPriority w:val="99"/>
    <w:semiHidden/>
    <w:unhideWhenUsed/>
    <w:rsid w:val="001852C8"/>
    <w:pPr>
      <w:numPr>
        <w:numId w:val="44"/>
      </w:numPr>
      <w:contextualSpacing/>
    </w:pPr>
  </w:style>
  <w:style w:type="paragraph" w:styleId="ListContinue">
    <w:name w:val="List Continue"/>
    <w:basedOn w:val="Normal"/>
    <w:uiPriority w:val="99"/>
    <w:semiHidden/>
    <w:unhideWhenUsed/>
    <w:rsid w:val="001852C8"/>
    <w:pPr>
      <w:spacing w:after="120"/>
      <w:ind w:left="360"/>
      <w:contextualSpacing/>
    </w:pPr>
  </w:style>
  <w:style w:type="paragraph" w:styleId="ListContinue2">
    <w:name w:val="List Continue 2"/>
    <w:basedOn w:val="Normal"/>
    <w:uiPriority w:val="99"/>
    <w:semiHidden/>
    <w:unhideWhenUsed/>
    <w:rsid w:val="001852C8"/>
    <w:pPr>
      <w:spacing w:after="120"/>
      <w:ind w:left="720"/>
      <w:contextualSpacing/>
    </w:pPr>
  </w:style>
  <w:style w:type="paragraph" w:styleId="ListContinue3">
    <w:name w:val="List Continue 3"/>
    <w:basedOn w:val="Normal"/>
    <w:uiPriority w:val="99"/>
    <w:semiHidden/>
    <w:unhideWhenUsed/>
    <w:rsid w:val="001852C8"/>
    <w:pPr>
      <w:spacing w:after="120"/>
      <w:ind w:left="1080"/>
      <w:contextualSpacing/>
    </w:pPr>
  </w:style>
  <w:style w:type="paragraph" w:styleId="ListContinue4">
    <w:name w:val="List Continue 4"/>
    <w:basedOn w:val="Normal"/>
    <w:uiPriority w:val="99"/>
    <w:semiHidden/>
    <w:unhideWhenUsed/>
    <w:rsid w:val="001852C8"/>
    <w:pPr>
      <w:spacing w:after="120"/>
      <w:ind w:left="1440"/>
      <w:contextualSpacing/>
    </w:pPr>
  </w:style>
  <w:style w:type="paragraph" w:styleId="ListContinue5">
    <w:name w:val="List Continue 5"/>
    <w:basedOn w:val="Normal"/>
    <w:uiPriority w:val="99"/>
    <w:semiHidden/>
    <w:unhideWhenUsed/>
    <w:rsid w:val="001852C8"/>
    <w:pPr>
      <w:spacing w:after="120"/>
      <w:ind w:left="1800"/>
      <w:contextualSpacing/>
    </w:pPr>
  </w:style>
  <w:style w:type="paragraph" w:styleId="ListNumber">
    <w:name w:val="List Number"/>
    <w:basedOn w:val="Normal"/>
    <w:uiPriority w:val="99"/>
    <w:semiHidden/>
    <w:unhideWhenUsed/>
    <w:rsid w:val="001852C8"/>
    <w:pPr>
      <w:numPr>
        <w:numId w:val="45"/>
      </w:numPr>
      <w:contextualSpacing/>
    </w:pPr>
  </w:style>
  <w:style w:type="paragraph" w:styleId="ListNumber2">
    <w:name w:val="List Number 2"/>
    <w:basedOn w:val="Normal"/>
    <w:uiPriority w:val="99"/>
    <w:semiHidden/>
    <w:unhideWhenUsed/>
    <w:rsid w:val="001852C8"/>
    <w:pPr>
      <w:numPr>
        <w:numId w:val="46"/>
      </w:numPr>
      <w:contextualSpacing/>
    </w:pPr>
  </w:style>
  <w:style w:type="paragraph" w:styleId="ListNumber3">
    <w:name w:val="List Number 3"/>
    <w:basedOn w:val="Normal"/>
    <w:uiPriority w:val="99"/>
    <w:semiHidden/>
    <w:unhideWhenUsed/>
    <w:rsid w:val="001852C8"/>
    <w:pPr>
      <w:numPr>
        <w:numId w:val="47"/>
      </w:numPr>
      <w:contextualSpacing/>
    </w:pPr>
  </w:style>
  <w:style w:type="paragraph" w:styleId="ListNumber4">
    <w:name w:val="List Number 4"/>
    <w:basedOn w:val="Normal"/>
    <w:uiPriority w:val="99"/>
    <w:semiHidden/>
    <w:unhideWhenUsed/>
    <w:rsid w:val="001852C8"/>
    <w:pPr>
      <w:numPr>
        <w:numId w:val="48"/>
      </w:numPr>
      <w:contextualSpacing/>
    </w:pPr>
  </w:style>
  <w:style w:type="paragraph" w:styleId="ListNumber5">
    <w:name w:val="List Number 5"/>
    <w:basedOn w:val="Normal"/>
    <w:uiPriority w:val="99"/>
    <w:semiHidden/>
    <w:unhideWhenUsed/>
    <w:rsid w:val="001852C8"/>
    <w:pPr>
      <w:numPr>
        <w:numId w:val="49"/>
      </w:numPr>
      <w:contextualSpacing/>
    </w:pPr>
  </w:style>
  <w:style w:type="paragraph" w:styleId="MacroText">
    <w:name w:val="macro"/>
    <w:link w:val="MacroTextChar"/>
    <w:uiPriority w:val="99"/>
    <w:semiHidden/>
    <w:unhideWhenUsed/>
    <w:rsid w:val="001852C8"/>
    <w:pPr>
      <w:tabs>
        <w:tab w:val="left" w:pos="480"/>
        <w:tab w:val="left" w:pos="960"/>
        <w:tab w:val="left" w:pos="1440"/>
        <w:tab w:val="left" w:pos="1920"/>
        <w:tab w:val="left" w:pos="2400"/>
        <w:tab w:val="left" w:pos="2880"/>
        <w:tab w:val="left" w:pos="3360"/>
        <w:tab w:val="left" w:pos="3840"/>
        <w:tab w:val="left" w:pos="4320"/>
      </w:tabs>
      <w:spacing w:line="280" w:lineRule="atLeast"/>
    </w:pPr>
    <w:rPr>
      <w:rFonts w:ascii="Consolas" w:hAnsi="Consolas" w:cstheme="minorHAnsi"/>
      <w:kern w:val="22"/>
    </w:rPr>
  </w:style>
  <w:style w:type="character" w:customStyle="1" w:styleId="MacroTextChar">
    <w:name w:val="Macro Text Char"/>
    <w:basedOn w:val="DefaultParagraphFont"/>
    <w:link w:val="MacroText"/>
    <w:uiPriority w:val="99"/>
    <w:semiHidden/>
    <w:rsid w:val="001852C8"/>
    <w:rPr>
      <w:rFonts w:ascii="Consolas" w:hAnsi="Consolas" w:cstheme="minorHAnsi"/>
      <w:kern w:val="22"/>
    </w:rPr>
  </w:style>
  <w:style w:type="paragraph" w:styleId="MessageHeader">
    <w:name w:val="Message Header"/>
    <w:basedOn w:val="Normal"/>
    <w:link w:val="MessageHeaderChar"/>
    <w:uiPriority w:val="99"/>
    <w:semiHidden/>
    <w:unhideWhenUsed/>
    <w:rsid w:val="001852C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852C8"/>
    <w:rPr>
      <w:rFonts w:asciiTheme="majorHAnsi" w:eastAsiaTheme="majorEastAsia" w:hAnsiTheme="majorHAnsi" w:cstheme="majorBidi"/>
      <w:kern w:val="22"/>
      <w:sz w:val="24"/>
      <w:szCs w:val="24"/>
      <w:shd w:val="pct20" w:color="auto" w:fill="auto"/>
    </w:rPr>
  </w:style>
  <w:style w:type="paragraph" w:styleId="NoSpacing">
    <w:name w:val="No Spacing"/>
    <w:uiPriority w:val="1"/>
    <w:qFormat/>
    <w:rsid w:val="001852C8"/>
    <w:pPr>
      <w:tabs>
        <w:tab w:val="left" w:pos="720"/>
        <w:tab w:val="left" w:pos="1296"/>
        <w:tab w:val="left" w:pos="1872"/>
        <w:tab w:val="left" w:pos="2448"/>
      </w:tabs>
    </w:pPr>
    <w:rPr>
      <w:rFonts w:asciiTheme="minorHAnsi" w:hAnsiTheme="minorHAnsi" w:cstheme="minorHAnsi"/>
      <w:kern w:val="22"/>
      <w:sz w:val="22"/>
      <w:szCs w:val="22"/>
    </w:rPr>
  </w:style>
  <w:style w:type="paragraph" w:styleId="NoteHeading">
    <w:name w:val="Note Heading"/>
    <w:basedOn w:val="Normal"/>
    <w:next w:val="Normal"/>
    <w:link w:val="NoteHeadingChar"/>
    <w:uiPriority w:val="99"/>
    <w:semiHidden/>
    <w:unhideWhenUsed/>
    <w:rsid w:val="001852C8"/>
    <w:pPr>
      <w:spacing w:after="0" w:line="240" w:lineRule="auto"/>
    </w:pPr>
  </w:style>
  <w:style w:type="character" w:customStyle="1" w:styleId="NoteHeadingChar">
    <w:name w:val="Note Heading Char"/>
    <w:basedOn w:val="DefaultParagraphFont"/>
    <w:link w:val="NoteHeading"/>
    <w:uiPriority w:val="99"/>
    <w:semiHidden/>
    <w:rsid w:val="001852C8"/>
    <w:rPr>
      <w:rFonts w:asciiTheme="minorHAnsi" w:hAnsiTheme="minorHAnsi" w:cstheme="minorHAnsi"/>
      <w:kern w:val="22"/>
      <w:sz w:val="22"/>
      <w:szCs w:val="22"/>
    </w:rPr>
  </w:style>
  <w:style w:type="paragraph" w:styleId="PlainText">
    <w:name w:val="Plain Text"/>
    <w:basedOn w:val="Normal"/>
    <w:link w:val="PlainTextChar"/>
    <w:uiPriority w:val="99"/>
    <w:semiHidden/>
    <w:unhideWhenUsed/>
    <w:rsid w:val="001852C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1852C8"/>
    <w:rPr>
      <w:rFonts w:ascii="Consolas" w:hAnsi="Consolas" w:cstheme="minorHAnsi"/>
      <w:kern w:val="22"/>
      <w:sz w:val="21"/>
      <w:szCs w:val="21"/>
    </w:rPr>
  </w:style>
  <w:style w:type="paragraph" w:styleId="Quote">
    <w:name w:val="Quote"/>
    <w:basedOn w:val="Normal"/>
    <w:next w:val="Normal"/>
    <w:link w:val="QuoteChar"/>
    <w:uiPriority w:val="29"/>
    <w:qFormat/>
    <w:rsid w:val="001852C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852C8"/>
    <w:rPr>
      <w:rFonts w:asciiTheme="minorHAnsi" w:hAnsiTheme="minorHAnsi" w:cstheme="minorHAnsi"/>
      <w:i/>
      <w:iCs/>
      <w:color w:val="404040" w:themeColor="text1" w:themeTint="BF"/>
      <w:kern w:val="22"/>
      <w:sz w:val="22"/>
      <w:szCs w:val="22"/>
    </w:rPr>
  </w:style>
  <w:style w:type="paragraph" w:styleId="Salutation">
    <w:name w:val="Salutation"/>
    <w:basedOn w:val="Normal"/>
    <w:next w:val="Normal"/>
    <w:link w:val="SalutationChar"/>
    <w:uiPriority w:val="99"/>
    <w:semiHidden/>
    <w:unhideWhenUsed/>
    <w:rsid w:val="001852C8"/>
  </w:style>
  <w:style w:type="character" w:customStyle="1" w:styleId="SalutationChar">
    <w:name w:val="Salutation Char"/>
    <w:basedOn w:val="DefaultParagraphFont"/>
    <w:link w:val="Salutation"/>
    <w:uiPriority w:val="99"/>
    <w:semiHidden/>
    <w:rsid w:val="001852C8"/>
    <w:rPr>
      <w:rFonts w:asciiTheme="minorHAnsi" w:hAnsiTheme="minorHAnsi" w:cstheme="minorHAnsi"/>
      <w:kern w:val="22"/>
      <w:sz w:val="22"/>
      <w:szCs w:val="22"/>
    </w:rPr>
  </w:style>
  <w:style w:type="paragraph" w:styleId="Signature">
    <w:name w:val="Signature"/>
    <w:basedOn w:val="Normal"/>
    <w:link w:val="SignatureChar"/>
    <w:uiPriority w:val="99"/>
    <w:semiHidden/>
    <w:unhideWhenUsed/>
    <w:rsid w:val="001852C8"/>
    <w:pPr>
      <w:spacing w:after="0" w:line="240" w:lineRule="auto"/>
      <w:ind w:left="4320"/>
    </w:pPr>
  </w:style>
  <w:style w:type="character" w:customStyle="1" w:styleId="SignatureChar">
    <w:name w:val="Signature Char"/>
    <w:basedOn w:val="DefaultParagraphFont"/>
    <w:link w:val="Signature"/>
    <w:uiPriority w:val="99"/>
    <w:semiHidden/>
    <w:rsid w:val="001852C8"/>
    <w:rPr>
      <w:rFonts w:asciiTheme="minorHAnsi" w:hAnsiTheme="minorHAnsi" w:cstheme="minorHAnsi"/>
      <w:kern w:val="22"/>
      <w:sz w:val="22"/>
      <w:szCs w:val="22"/>
    </w:rPr>
  </w:style>
  <w:style w:type="paragraph" w:styleId="Subtitle">
    <w:name w:val="Subtitle"/>
    <w:basedOn w:val="Normal"/>
    <w:next w:val="Normal"/>
    <w:link w:val="SubtitleChar"/>
    <w:uiPriority w:val="11"/>
    <w:qFormat/>
    <w:rsid w:val="001852C8"/>
    <w:pPr>
      <w:numPr>
        <w:ilvl w:val="1"/>
      </w:numPr>
      <w:spacing w:after="160"/>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1852C8"/>
    <w:rPr>
      <w:rFonts w:asciiTheme="minorHAnsi" w:eastAsiaTheme="minorEastAsia" w:hAnsiTheme="minorHAnsi" w:cstheme="minorBidi"/>
      <w:color w:val="5A5A5A" w:themeColor="text1" w:themeTint="A5"/>
      <w:spacing w:val="15"/>
      <w:kern w:val="22"/>
      <w:sz w:val="22"/>
      <w:szCs w:val="22"/>
    </w:rPr>
  </w:style>
  <w:style w:type="paragraph" w:styleId="TableofAuthorities">
    <w:name w:val="table of authorities"/>
    <w:basedOn w:val="Normal"/>
    <w:next w:val="Normal"/>
    <w:uiPriority w:val="99"/>
    <w:semiHidden/>
    <w:unhideWhenUsed/>
    <w:rsid w:val="001852C8"/>
    <w:pPr>
      <w:tabs>
        <w:tab w:val="clear" w:pos="720"/>
        <w:tab w:val="clear" w:pos="1296"/>
        <w:tab w:val="clear" w:pos="1872"/>
        <w:tab w:val="clear" w:pos="2448"/>
      </w:tabs>
      <w:spacing w:after="0"/>
      <w:ind w:left="220" w:hanging="220"/>
    </w:pPr>
  </w:style>
  <w:style w:type="paragraph" w:styleId="Title">
    <w:name w:val="Title"/>
    <w:basedOn w:val="Normal"/>
    <w:next w:val="Normal"/>
    <w:link w:val="TitleChar"/>
    <w:uiPriority w:val="10"/>
    <w:qFormat/>
    <w:rsid w:val="001852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2C8"/>
    <w:rPr>
      <w:rFonts w:asciiTheme="majorHAnsi" w:eastAsiaTheme="majorEastAsia" w:hAnsiTheme="majorHAnsi" w:cstheme="majorBidi"/>
      <w:spacing w:val="-10"/>
      <w:kern w:val="28"/>
      <w:sz w:val="56"/>
      <w:szCs w:val="56"/>
    </w:rPr>
  </w:style>
  <w:style w:type="character" w:customStyle="1" w:styleId="Mention">
    <w:name w:val="Mention"/>
    <w:basedOn w:val="DefaultParagraphFont"/>
    <w:uiPriority w:val="99"/>
    <w:unhideWhenUsed/>
    <w:rsid w:val="00061282"/>
    <w:rPr>
      <w:color w:val="2B579A"/>
      <w:shd w:val="clear" w:color="auto" w:fill="E1DFDD"/>
    </w:rPr>
  </w:style>
  <w:style w:type="character" w:customStyle="1" w:styleId="cf01">
    <w:name w:val="cf01"/>
    <w:basedOn w:val="DefaultParagraphFont"/>
    <w:rsid w:val="00246816"/>
    <w:rPr>
      <w:rFonts w:ascii="Segoe UI" w:hAnsi="Segoe UI" w:cs="Segoe UI" w:hint="default"/>
      <w:sz w:val="18"/>
      <w:szCs w:val="18"/>
    </w:rPr>
  </w:style>
  <w:style w:type="paragraph" w:customStyle="1" w:styleId="pf0">
    <w:name w:val="pf0"/>
    <w:basedOn w:val="Normal"/>
    <w:rsid w:val="001D1E6C"/>
    <w:pPr>
      <w:tabs>
        <w:tab w:val="clear" w:pos="720"/>
        <w:tab w:val="clear" w:pos="1296"/>
        <w:tab w:val="clear" w:pos="1872"/>
        <w:tab w:val="clear" w:pos="2448"/>
      </w:tabs>
      <w:spacing w:before="100" w:beforeAutospacing="1" w:after="100" w:afterAutospacing="1" w:line="240" w:lineRule="auto"/>
    </w:pPr>
    <w:rPr>
      <w:rFonts w:ascii="Times New Roman" w:hAnsi="Times New Roman" w:cs="Times New Roman"/>
      <w:kern w:val="0"/>
      <w:sz w:val="24"/>
      <w:szCs w:val="24"/>
      <w:lang w:eastAsia="zh-CN"/>
    </w:rPr>
  </w:style>
  <w:style w:type="paragraph" w:customStyle="1" w:styleId="TableParagraph">
    <w:name w:val="Table Paragraph"/>
    <w:basedOn w:val="Normal"/>
    <w:uiPriority w:val="1"/>
    <w:qFormat/>
    <w:rsid w:val="00F954B9"/>
    <w:pPr>
      <w:widowControl w:val="0"/>
      <w:tabs>
        <w:tab w:val="clear" w:pos="720"/>
        <w:tab w:val="clear" w:pos="1296"/>
        <w:tab w:val="clear" w:pos="1872"/>
        <w:tab w:val="clear" w:pos="2448"/>
      </w:tabs>
      <w:autoSpaceDE w:val="0"/>
      <w:autoSpaceDN w:val="0"/>
      <w:spacing w:before="88" w:after="0" w:line="240" w:lineRule="auto"/>
      <w:ind w:left="265" w:right="79"/>
      <w:jc w:val="center"/>
    </w:pPr>
    <w:rPr>
      <w:rFonts w:ascii="Arial" w:eastAsia="Arial" w:hAnsi="Arial" w:cs="Arial"/>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518929">
      <w:bodyDiv w:val="1"/>
      <w:marLeft w:val="0"/>
      <w:marRight w:val="0"/>
      <w:marTop w:val="0"/>
      <w:marBottom w:val="0"/>
      <w:divBdr>
        <w:top w:val="none" w:sz="0" w:space="0" w:color="auto"/>
        <w:left w:val="none" w:sz="0" w:space="0" w:color="auto"/>
        <w:bottom w:val="none" w:sz="0" w:space="0" w:color="auto"/>
        <w:right w:val="none" w:sz="0" w:space="0" w:color="auto"/>
      </w:divBdr>
    </w:div>
    <w:div w:id="593126002">
      <w:bodyDiv w:val="1"/>
      <w:marLeft w:val="0"/>
      <w:marRight w:val="0"/>
      <w:marTop w:val="0"/>
      <w:marBottom w:val="0"/>
      <w:divBdr>
        <w:top w:val="none" w:sz="0" w:space="0" w:color="auto"/>
        <w:left w:val="none" w:sz="0" w:space="0" w:color="auto"/>
        <w:bottom w:val="none" w:sz="0" w:space="0" w:color="auto"/>
        <w:right w:val="none" w:sz="0" w:space="0" w:color="auto"/>
      </w:divBdr>
    </w:div>
    <w:div w:id="735009590">
      <w:bodyDiv w:val="1"/>
      <w:marLeft w:val="0"/>
      <w:marRight w:val="0"/>
      <w:marTop w:val="0"/>
      <w:marBottom w:val="0"/>
      <w:divBdr>
        <w:top w:val="none" w:sz="0" w:space="0" w:color="auto"/>
        <w:left w:val="none" w:sz="0" w:space="0" w:color="auto"/>
        <w:bottom w:val="none" w:sz="0" w:space="0" w:color="auto"/>
        <w:right w:val="none" w:sz="0" w:space="0" w:color="auto"/>
      </w:divBdr>
    </w:div>
    <w:div w:id="1170023980">
      <w:bodyDiv w:val="1"/>
      <w:marLeft w:val="0"/>
      <w:marRight w:val="0"/>
      <w:marTop w:val="0"/>
      <w:marBottom w:val="0"/>
      <w:divBdr>
        <w:top w:val="none" w:sz="0" w:space="0" w:color="auto"/>
        <w:left w:val="none" w:sz="0" w:space="0" w:color="auto"/>
        <w:bottom w:val="none" w:sz="0" w:space="0" w:color="auto"/>
        <w:right w:val="none" w:sz="0" w:space="0" w:color="auto"/>
      </w:divBdr>
    </w:div>
    <w:div w:id="1338650311">
      <w:bodyDiv w:val="1"/>
      <w:marLeft w:val="0"/>
      <w:marRight w:val="0"/>
      <w:marTop w:val="0"/>
      <w:marBottom w:val="0"/>
      <w:divBdr>
        <w:top w:val="none" w:sz="0" w:space="0" w:color="auto"/>
        <w:left w:val="none" w:sz="0" w:space="0" w:color="auto"/>
        <w:bottom w:val="none" w:sz="0" w:space="0" w:color="auto"/>
        <w:right w:val="none" w:sz="0" w:space="0" w:color="auto"/>
      </w:divBdr>
    </w:div>
    <w:div w:id="1346326267">
      <w:bodyDiv w:val="1"/>
      <w:marLeft w:val="0"/>
      <w:marRight w:val="0"/>
      <w:marTop w:val="0"/>
      <w:marBottom w:val="0"/>
      <w:divBdr>
        <w:top w:val="none" w:sz="0" w:space="0" w:color="auto"/>
        <w:left w:val="none" w:sz="0" w:space="0" w:color="auto"/>
        <w:bottom w:val="none" w:sz="0" w:space="0" w:color="auto"/>
        <w:right w:val="none" w:sz="0" w:space="0" w:color="auto"/>
      </w:divBdr>
    </w:div>
    <w:div w:id="1693874809">
      <w:bodyDiv w:val="1"/>
      <w:marLeft w:val="0"/>
      <w:marRight w:val="0"/>
      <w:marTop w:val="0"/>
      <w:marBottom w:val="0"/>
      <w:divBdr>
        <w:top w:val="none" w:sz="0" w:space="0" w:color="auto"/>
        <w:left w:val="none" w:sz="0" w:space="0" w:color="auto"/>
        <w:bottom w:val="none" w:sz="0" w:space="0" w:color="auto"/>
        <w:right w:val="none" w:sz="0" w:space="0" w:color="auto"/>
      </w:divBdr>
    </w:div>
    <w:div w:id="192780887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8.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1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iaea.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11.xml"/><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header" Target="header10.xml"/><Relationship Id="rId10" Type="http://schemas.openxmlformats.org/officeDocument/2006/relationships/endnotes" Target="endnotes.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eader" Target="header9.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56CE6BF763F4494D97E69B0B2FC4309C" ma:contentTypeVersion="20" ma:contentTypeDescription="Създаване на нов документ" ma:contentTypeScope="" ma:versionID="2e59f276840e462ab306fbf4cedc723e">
  <xsd:schema xmlns:xsd="http://www.w3.org/2001/XMLSchema" xmlns:xs="http://www.w3.org/2001/XMLSchema" xmlns:p="http://schemas.microsoft.com/office/2006/metadata/properties" xmlns:ns2="ef6a5488-38c7-42eb-aae4-0b47a9a85694" xmlns:ns3="36f32f92-d7ca-46db-951a-16f46a2863d9" targetNamespace="http://schemas.microsoft.com/office/2006/metadata/properties" ma:root="true" ma:fieldsID="a45f06e9a97ac82ba429257b20a9e6df" ns2:_="" ns3:_="">
    <xsd:import namespace="ef6a5488-38c7-42eb-aae4-0b47a9a85694"/>
    <xsd:import namespace="36f32f92-d7ca-46db-951a-16f46a2863d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_Flow_SignoffStatus" minOccurs="0"/>
                <xsd:element ref="ns3:SharedWithUsers" minOccurs="0"/>
                <xsd:element ref="ns3:SharedWithDetails" minOccurs="0"/>
                <xsd:element ref="ns3:TaxCatchAll" minOccurs="0"/>
                <xsd:element ref="ns2:lcf76f155ced4ddcb4097134ff3c332f" minOccurs="0"/>
                <xsd:element ref="ns2:MediaServiceObjectDetectorVersions" minOccurs="0"/>
                <xsd:element ref="ns2:Lin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6a5488-38c7-42eb-aae4-0b47a9a856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_Flow_SignoffStatus" ma:index="18" nillable="true" ma:displayName="Sign-off status" ma:internalName="Sign_x002d_off_x0020_status">
      <xsd:simpleType>
        <xsd:restriction base="dms:Text"/>
      </xsd:simpleType>
    </xsd:element>
    <xsd:element name="lcf76f155ced4ddcb4097134ff3c332f" ma:index="23" nillable="true" ma:taxonomy="true" ma:internalName="lcf76f155ced4ddcb4097134ff3c332f" ma:taxonomyFieldName="MediaServiceImageTags" ma:displayName="Етикети за изображения" ma:readOnly="false" ma:fieldId="{5cf76f15-5ced-4ddc-b409-7134ff3c332f}" ma:taxonomyMulti="true" ma:sspId="4ea72448-83e6-4275-90f8-00c34d862af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Link" ma:index="25"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6f32f92-d7ca-46db-951a-16f46a2863d9" elementFormDefault="qualified">
    <xsd:import namespace="http://schemas.microsoft.com/office/2006/documentManagement/types"/>
    <xsd:import namespace="http://schemas.microsoft.com/office/infopath/2007/PartnerControls"/>
    <xsd:element name="SharedWithUsers" ma:index="19" nillable="true" ma:displayName="Споделено 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Споделени с подробности" ma:internalName="SharedWithDetails" ma:readOnly="true">
      <xsd:simpleType>
        <xsd:restriction base="dms:Note">
          <xsd:maxLength value="255"/>
        </xsd:restriction>
      </xsd:simpleType>
    </xsd:element>
    <xsd:element name="TaxCatchAll" ma:index="21" nillable="true" ma:displayName="Taxonomy Catch All Column" ma:hidden="true" ma:list="{f669d843-c341-4ceb-bb38-c14fb24b919b}" ma:internalName="TaxCatchAll" ma:showField="CatchAllData" ma:web="36f32f92-d7ca-46db-951a-16f46a2863d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6f32f92-d7ca-46db-951a-16f46a2863d9" xsi:nil="true"/>
    <lcf76f155ced4ddcb4097134ff3c332f xmlns="ef6a5488-38c7-42eb-aae4-0b47a9a85694">
      <Terms xmlns="http://schemas.microsoft.com/office/infopath/2007/PartnerControls"/>
    </lcf76f155ced4ddcb4097134ff3c332f>
    <_Flow_SignoffStatus xmlns="ef6a5488-38c7-42eb-aae4-0b47a9a85694" xsi:nil="true"/>
    <Link xmlns="ef6a5488-38c7-42eb-aae4-0b47a9a85694">
      <Url xsi:nil="true"/>
      <Description xsi:nil="true"/>
    </Link>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41E40A-AB89-440F-B831-4E563D4A7C19}">
  <ds:schemaRefs>
    <ds:schemaRef ds:uri="http://schemas.microsoft.com/sharepoint/v3/contenttype/forms"/>
  </ds:schemaRefs>
</ds:datastoreItem>
</file>

<file path=customXml/itemProps2.xml><?xml version="1.0" encoding="utf-8"?>
<ds:datastoreItem xmlns:ds="http://schemas.openxmlformats.org/officeDocument/2006/customXml" ds:itemID="{294AD881-50AB-49B6-A065-C75B8AAD2A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6a5488-38c7-42eb-aae4-0b47a9a85694"/>
    <ds:schemaRef ds:uri="36f32f92-d7ca-46db-951a-16f46a2863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D8FBF4-46E0-4C66-BE25-F3F45045704A}">
  <ds:schemaRefs>
    <ds:schemaRef ds:uri="http://purl.org/dc/elements/1.1/"/>
    <ds:schemaRef ds:uri="http://schemas.microsoft.com/office/2006/documentManagement/types"/>
    <ds:schemaRef ds:uri="http://purl.org/dc/terms/"/>
    <ds:schemaRef ds:uri="http://purl.org/dc/dcmitype/"/>
    <ds:schemaRef ds:uri="ef6a5488-38c7-42eb-aae4-0b47a9a85694"/>
    <ds:schemaRef ds:uri="http://www.w3.org/XML/1998/namespace"/>
    <ds:schemaRef ds:uri="http://schemas.microsoft.com/office/infopath/2007/PartnerControls"/>
    <ds:schemaRef ds:uri="http://schemas.openxmlformats.org/package/2006/metadata/core-properties"/>
    <ds:schemaRef ds:uri="36f32f92-d7ca-46db-951a-16f46a2863d9"/>
    <ds:schemaRef ds:uri="http://schemas.microsoft.com/office/2006/metadata/properties"/>
  </ds:schemaRefs>
</ds:datastoreItem>
</file>

<file path=customXml/itemProps4.xml><?xml version="1.0" encoding="utf-8"?>
<ds:datastoreItem xmlns:ds="http://schemas.openxmlformats.org/officeDocument/2006/customXml" ds:itemID="{D3EA50D7-9240-4AE4-8155-11518F7A6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213</Pages>
  <Words>49209</Words>
  <Characters>280496</Characters>
  <Application>Microsoft Office Word</Application>
  <DocSecurity>0</DocSecurity>
  <Lines>2337</Lines>
  <Paragraphs>658</Paragraphs>
  <ScaleCrop>false</ScaleCrop>
  <HeadingPairs>
    <vt:vector size="2" baseType="variant">
      <vt:variant>
        <vt:lpstr>Title</vt:lpstr>
      </vt:variant>
      <vt:variant>
        <vt:i4>1</vt:i4>
      </vt:variant>
    </vt:vector>
  </HeadingPairs>
  <TitlesOfParts>
    <vt:vector size="1" baseType="lpstr">
      <vt:lpstr>WCAP Format</vt:lpstr>
    </vt:vector>
  </TitlesOfParts>
  <Company>Westinghouse Electric Corp.</Company>
  <LinksUpToDate>false</LinksUpToDate>
  <CharactersWithSpaces>329047</CharactersWithSpaces>
  <SharedDoc>false</SharedDoc>
  <HLinks>
    <vt:vector size="456" baseType="variant">
      <vt:variant>
        <vt:i4>4194320</vt:i4>
      </vt:variant>
      <vt:variant>
        <vt:i4>513</vt:i4>
      </vt:variant>
      <vt:variant>
        <vt:i4>0</vt:i4>
      </vt:variant>
      <vt:variant>
        <vt:i4>5</vt:i4>
      </vt:variant>
      <vt:variant>
        <vt:lpwstr>https://www.iaea.org/</vt:lpwstr>
      </vt:variant>
      <vt:variant>
        <vt:lpwstr/>
      </vt:variant>
      <vt:variant>
        <vt:i4>1441842</vt:i4>
      </vt:variant>
      <vt:variant>
        <vt:i4>505</vt:i4>
      </vt:variant>
      <vt:variant>
        <vt:i4>0</vt:i4>
      </vt:variant>
      <vt:variant>
        <vt:i4>5</vt:i4>
      </vt:variant>
      <vt:variant>
        <vt:lpwstr/>
      </vt:variant>
      <vt:variant>
        <vt:lpwstr>_Toc152844587</vt:lpwstr>
      </vt:variant>
      <vt:variant>
        <vt:i4>1441842</vt:i4>
      </vt:variant>
      <vt:variant>
        <vt:i4>499</vt:i4>
      </vt:variant>
      <vt:variant>
        <vt:i4>0</vt:i4>
      </vt:variant>
      <vt:variant>
        <vt:i4>5</vt:i4>
      </vt:variant>
      <vt:variant>
        <vt:lpwstr/>
      </vt:variant>
      <vt:variant>
        <vt:lpwstr>_Toc152844586</vt:lpwstr>
      </vt:variant>
      <vt:variant>
        <vt:i4>1441842</vt:i4>
      </vt:variant>
      <vt:variant>
        <vt:i4>493</vt:i4>
      </vt:variant>
      <vt:variant>
        <vt:i4>0</vt:i4>
      </vt:variant>
      <vt:variant>
        <vt:i4>5</vt:i4>
      </vt:variant>
      <vt:variant>
        <vt:lpwstr/>
      </vt:variant>
      <vt:variant>
        <vt:lpwstr>_Toc152844585</vt:lpwstr>
      </vt:variant>
      <vt:variant>
        <vt:i4>1441842</vt:i4>
      </vt:variant>
      <vt:variant>
        <vt:i4>487</vt:i4>
      </vt:variant>
      <vt:variant>
        <vt:i4>0</vt:i4>
      </vt:variant>
      <vt:variant>
        <vt:i4>5</vt:i4>
      </vt:variant>
      <vt:variant>
        <vt:lpwstr/>
      </vt:variant>
      <vt:variant>
        <vt:lpwstr>_Toc152844584</vt:lpwstr>
      </vt:variant>
      <vt:variant>
        <vt:i4>1441842</vt:i4>
      </vt:variant>
      <vt:variant>
        <vt:i4>481</vt:i4>
      </vt:variant>
      <vt:variant>
        <vt:i4>0</vt:i4>
      </vt:variant>
      <vt:variant>
        <vt:i4>5</vt:i4>
      </vt:variant>
      <vt:variant>
        <vt:lpwstr/>
      </vt:variant>
      <vt:variant>
        <vt:lpwstr>_Toc152844583</vt:lpwstr>
      </vt:variant>
      <vt:variant>
        <vt:i4>1441842</vt:i4>
      </vt:variant>
      <vt:variant>
        <vt:i4>475</vt:i4>
      </vt:variant>
      <vt:variant>
        <vt:i4>0</vt:i4>
      </vt:variant>
      <vt:variant>
        <vt:i4>5</vt:i4>
      </vt:variant>
      <vt:variant>
        <vt:lpwstr/>
      </vt:variant>
      <vt:variant>
        <vt:lpwstr>_Toc152844582</vt:lpwstr>
      </vt:variant>
      <vt:variant>
        <vt:i4>1441842</vt:i4>
      </vt:variant>
      <vt:variant>
        <vt:i4>469</vt:i4>
      </vt:variant>
      <vt:variant>
        <vt:i4>0</vt:i4>
      </vt:variant>
      <vt:variant>
        <vt:i4>5</vt:i4>
      </vt:variant>
      <vt:variant>
        <vt:lpwstr/>
      </vt:variant>
      <vt:variant>
        <vt:lpwstr>_Toc152844581</vt:lpwstr>
      </vt:variant>
      <vt:variant>
        <vt:i4>1441842</vt:i4>
      </vt:variant>
      <vt:variant>
        <vt:i4>463</vt:i4>
      </vt:variant>
      <vt:variant>
        <vt:i4>0</vt:i4>
      </vt:variant>
      <vt:variant>
        <vt:i4>5</vt:i4>
      </vt:variant>
      <vt:variant>
        <vt:lpwstr/>
      </vt:variant>
      <vt:variant>
        <vt:lpwstr>_Toc152844580</vt:lpwstr>
      </vt:variant>
      <vt:variant>
        <vt:i4>1638450</vt:i4>
      </vt:variant>
      <vt:variant>
        <vt:i4>457</vt:i4>
      </vt:variant>
      <vt:variant>
        <vt:i4>0</vt:i4>
      </vt:variant>
      <vt:variant>
        <vt:i4>5</vt:i4>
      </vt:variant>
      <vt:variant>
        <vt:lpwstr/>
      </vt:variant>
      <vt:variant>
        <vt:lpwstr>_Toc152844579</vt:lpwstr>
      </vt:variant>
      <vt:variant>
        <vt:i4>1638450</vt:i4>
      </vt:variant>
      <vt:variant>
        <vt:i4>451</vt:i4>
      </vt:variant>
      <vt:variant>
        <vt:i4>0</vt:i4>
      </vt:variant>
      <vt:variant>
        <vt:i4>5</vt:i4>
      </vt:variant>
      <vt:variant>
        <vt:lpwstr/>
      </vt:variant>
      <vt:variant>
        <vt:lpwstr>_Toc152844578</vt:lpwstr>
      </vt:variant>
      <vt:variant>
        <vt:i4>1638450</vt:i4>
      </vt:variant>
      <vt:variant>
        <vt:i4>445</vt:i4>
      </vt:variant>
      <vt:variant>
        <vt:i4>0</vt:i4>
      </vt:variant>
      <vt:variant>
        <vt:i4>5</vt:i4>
      </vt:variant>
      <vt:variant>
        <vt:lpwstr/>
      </vt:variant>
      <vt:variant>
        <vt:lpwstr>_Toc152844577</vt:lpwstr>
      </vt:variant>
      <vt:variant>
        <vt:i4>1638450</vt:i4>
      </vt:variant>
      <vt:variant>
        <vt:i4>439</vt:i4>
      </vt:variant>
      <vt:variant>
        <vt:i4>0</vt:i4>
      </vt:variant>
      <vt:variant>
        <vt:i4>5</vt:i4>
      </vt:variant>
      <vt:variant>
        <vt:lpwstr/>
      </vt:variant>
      <vt:variant>
        <vt:lpwstr>_Toc152844576</vt:lpwstr>
      </vt:variant>
      <vt:variant>
        <vt:i4>1638450</vt:i4>
      </vt:variant>
      <vt:variant>
        <vt:i4>433</vt:i4>
      </vt:variant>
      <vt:variant>
        <vt:i4>0</vt:i4>
      </vt:variant>
      <vt:variant>
        <vt:i4>5</vt:i4>
      </vt:variant>
      <vt:variant>
        <vt:lpwstr/>
      </vt:variant>
      <vt:variant>
        <vt:lpwstr>_Toc152844575</vt:lpwstr>
      </vt:variant>
      <vt:variant>
        <vt:i4>1638450</vt:i4>
      </vt:variant>
      <vt:variant>
        <vt:i4>427</vt:i4>
      </vt:variant>
      <vt:variant>
        <vt:i4>0</vt:i4>
      </vt:variant>
      <vt:variant>
        <vt:i4>5</vt:i4>
      </vt:variant>
      <vt:variant>
        <vt:lpwstr/>
      </vt:variant>
      <vt:variant>
        <vt:lpwstr>_Toc152844574</vt:lpwstr>
      </vt:variant>
      <vt:variant>
        <vt:i4>1638450</vt:i4>
      </vt:variant>
      <vt:variant>
        <vt:i4>421</vt:i4>
      </vt:variant>
      <vt:variant>
        <vt:i4>0</vt:i4>
      </vt:variant>
      <vt:variant>
        <vt:i4>5</vt:i4>
      </vt:variant>
      <vt:variant>
        <vt:lpwstr/>
      </vt:variant>
      <vt:variant>
        <vt:lpwstr>_Toc152844573</vt:lpwstr>
      </vt:variant>
      <vt:variant>
        <vt:i4>1638450</vt:i4>
      </vt:variant>
      <vt:variant>
        <vt:i4>415</vt:i4>
      </vt:variant>
      <vt:variant>
        <vt:i4>0</vt:i4>
      </vt:variant>
      <vt:variant>
        <vt:i4>5</vt:i4>
      </vt:variant>
      <vt:variant>
        <vt:lpwstr/>
      </vt:variant>
      <vt:variant>
        <vt:lpwstr>_Toc152844572</vt:lpwstr>
      </vt:variant>
      <vt:variant>
        <vt:i4>1638450</vt:i4>
      </vt:variant>
      <vt:variant>
        <vt:i4>409</vt:i4>
      </vt:variant>
      <vt:variant>
        <vt:i4>0</vt:i4>
      </vt:variant>
      <vt:variant>
        <vt:i4>5</vt:i4>
      </vt:variant>
      <vt:variant>
        <vt:lpwstr/>
      </vt:variant>
      <vt:variant>
        <vt:lpwstr>_Toc152844571</vt:lpwstr>
      </vt:variant>
      <vt:variant>
        <vt:i4>1638450</vt:i4>
      </vt:variant>
      <vt:variant>
        <vt:i4>403</vt:i4>
      </vt:variant>
      <vt:variant>
        <vt:i4>0</vt:i4>
      </vt:variant>
      <vt:variant>
        <vt:i4>5</vt:i4>
      </vt:variant>
      <vt:variant>
        <vt:lpwstr/>
      </vt:variant>
      <vt:variant>
        <vt:lpwstr>_Toc152844570</vt:lpwstr>
      </vt:variant>
      <vt:variant>
        <vt:i4>1572914</vt:i4>
      </vt:variant>
      <vt:variant>
        <vt:i4>397</vt:i4>
      </vt:variant>
      <vt:variant>
        <vt:i4>0</vt:i4>
      </vt:variant>
      <vt:variant>
        <vt:i4>5</vt:i4>
      </vt:variant>
      <vt:variant>
        <vt:lpwstr/>
      </vt:variant>
      <vt:variant>
        <vt:lpwstr>_Toc152844569</vt:lpwstr>
      </vt:variant>
      <vt:variant>
        <vt:i4>1572914</vt:i4>
      </vt:variant>
      <vt:variant>
        <vt:i4>391</vt:i4>
      </vt:variant>
      <vt:variant>
        <vt:i4>0</vt:i4>
      </vt:variant>
      <vt:variant>
        <vt:i4>5</vt:i4>
      </vt:variant>
      <vt:variant>
        <vt:lpwstr/>
      </vt:variant>
      <vt:variant>
        <vt:lpwstr>_Toc152844568</vt:lpwstr>
      </vt:variant>
      <vt:variant>
        <vt:i4>1572914</vt:i4>
      </vt:variant>
      <vt:variant>
        <vt:i4>385</vt:i4>
      </vt:variant>
      <vt:variant>
        <vt:i4>0</vt:i4>
      </vt:variant>
      <vt:variant>
        <vt:i4>5</vt:i4>
      </vt:variant>
      <vt:variant>
        <vt:lpwstr/>
      </vt:variant>
      <vt:variant>
        <vt:lpwstr>_Toc152844567</vt:lpwstr>
      </vt:variant>
      <vt:variant>
        <vt:i4>1572914</vt:i4>
      </vt:variant>
      <vt:variant>
        <vt:i4>379</vt:i4>
      </vt:variant>
      <vt:variant>
        <vt:i4>0</vt:i4>
      </vt:variant>
      <vt:variant>
        <vt:i4>5</vt:i4>
      </vt:variant>
      <vt:variant>
        <vt:lpwstr/>
      </vt:variant>
      <vt:variant>
        <vt:lpwstr>_Toc152844566</vt:lpwstr>
      </vt:variant>
      <vt:variant>
        <vt:i4>1572914</vt:i4>
      </vt:variant>
      <vt:variant>
        <vt:i4>373</vt:i4>
      </vt:variant>
      <vt:variant>
        <vt:i4>0</vt:i4>
      </vt:variant>
      <vt:variant>
        <vt:i4>5</vt:i4>
      </vt:variant>
      <vt:variant>
        <vt:lpwstr/>
      </vt:variant>
      <vt:variant>
        <vt:lpwstr>_Toc152844565</vt:lpwstr>
      </vt:variant>
      <vt:variant>
        <vt:i4>1572914</vt:i4>
      </vt:variant>
      <vt:variant>
        <vt:i4>367</vt:i4>
      </vt:variant>
      <vt:variant>
        <vt:i4>0</vt:i4>
      </vt:variant>
      <vt:variant>
        <vt:i4>5</vt:i4>
      </vt:variant>
      <vt:variant>
        <vt:lpwstr/>
      </vt:variant>
      <vt:variant>
        <vt:lpwstr>_Toc152844564</vt:lpwstr>
      </vt:variant>
      <vt:variant>
        <vt:i4>1572914</vt:i4>
      </vt:variant>
      <vt:variant>
        <vt:i4>361</vt:i4>
      </vt:variant>
      <vt:variant>
        <vt:i4>0</vt:i4>
      </vt:variant>
      <vt:variant>
        <vt:i4>5</vt:i4>
      </vt:variant>
      <vt:variant>
        <vt:lpwstr/>
      </vt:variant>
      <vt:variant>
        <vt:lpwstr>_Toc152844563</vt:lpwstr>
      </vt:variant>
      <vt:variant>
        <vt:i4>1572914</vt:i4>
      </vt:variant>
      <vt:variant>
        <vt:i4>355</vt:i4>
      </vt:variant>
      <vt:variant>
        <vt:i4>0</vt:i4>
      </vt:variant>
      <vt:variant>
        <vt:i4>5</vt:i4>
      </vt:variant>
      <vt:variant>
        <vt:lpwstr/>
      </vt:variant>
      <vt:variant>
        <vt:lpwstr>_Toc152844562</vt:lpwstr>
      </vt:variant>
      <vt:variant>
        <vt:i4>1572914</vt:i4>
      </vt:variant>
      <vt:variant>
        <vt:i4>349</vt:i4>
      </vt:variant>
      <vt:variant>
        <vt:i4>0</vt:i4>
      </vt:variant>
      <vt:variant>
        <vt:i4>5</vt:i4>
      </vt:variant>
      <vt:variant>
        <vt:lpwstr/>
      </vt:variant>
      <vt:variant>
        <vt:lpwstr>_Toc152844561</vt:lpwstr>
      </vt:variant>
      <vt:variant>
        <vt:i4>1572914</vt:i4>
      </vt:variant>
      <vt:variant>
        <vt:i4>343</vt:i4>
      </vt:variant>
      <vt:variant>
        <vt:i4>0</vt:i4>
      </vt:variant>
      <vt:variant>
        <vt:i4>5</vt:i4>
      </vt:variant>
      <vt:variant>
        <vt:lpwstr/>
      </vt:variant>
      <vt:variant>
        <vt:lpwstr>_Toc152844560</vt:lpwstr>
      </vt:variant>
      <vt:variant>
        <vt:i4>1769522</vt:i4>
      </vt:variant>
      <vt:variant>
        <vt:i4>337</vt:i4>
      </vt:variant>
      <vt:variant>
        <vt:i4>0</vt:i4>
      </vt:variant>
      <vt:variant>
        <vt:i4>5</vt:i4>
      </vt:variant>
      <vt:variant>
        <vt:lpwstr/>
      </vt:variant>
      <vt:variant>
        <vt:lpwstr>_Toc152844559</vt:lpwstr>
      </vt:variant>
      <vt:variant>
        <vt:i4>1769522</vt:i4>
      </vt:variant>
      <vt:variant>
        <vt:i4>331</vt:i4>
      </vt:variant>
      <vt:variant>
        <vt:i4>0</vt:i4>
      </vt:variant>
      <vt:variant>
        <vt:i4>5</vt:i4>
      </vt:variant>
      <vt:variant>
        <vt:lpwstr/>
      </vt:variant>
      <vt:variant>
        <vt:lpwstr>_Toc152844558</vt:lpwstr>
      </vt:variant>
      <vt:variant>
        <vt:i4>1769522</vt:i4>
      </vt:variant>
      <vt:variant>
        <vt:i4>325</vt:i4>
      </vt:variant>
      <vt:variant>
        <vt:i4>0</vt:i4>
      </vt:variant>
      <vt:variant>
        <vt:i4>5</vt:i4>
      </vt:variant>
      <vt:variant>
        <vt:lpwstr/>
      </vt:variant>
      <vt:variant>
        <vt:lpwstr>_Toc152844557</vt:lpwstr>
      </vt:variant>
      <vt:variant>
        <vt:i4>1769522</vt:i4>
      </vt:variant>
      <vt:variant>
        <vt:i4>319</vt:i4>
      </vt:variant>
      <vt:variant>
        <vt:i4>0</vt:i4>
      </vt:variant>
      <vt:variant>
        <vt:i4>5</vt:i4>
      </vt:variant>
      <vt:variant>
        <vt:lpwstr/>
      </vt:variant>
      <vt:variant>
        <vt:lpwstr>_Toc152844556</vt:lpwstr>
      </vt:variant>
      <vt:variant>
        <vt:i4>1769522</vt:i4>
      </vt:variant>
      <vt:variant>
        <vt:i4>313</vt:i4>
      </vt:variant>
      <vt:variant>
        <vt:i4>0</vt:i4>
      </vt:variant>
      <vt:variant>
        <vt:i4>5</vt:i4>
      </vt:variant>
      <vt:variant>
        <vt:lpwstr/>
      </vt:variant>
      <vt:variant>
        <vt:lpwstr>_Toc152844555</vt:lpwstr>
      </vt:variant>
      <vt:variant>
        <vt:i4>1769522</vt:i4>
      </vt:variant>
      <vt:variant>
        <vt:i4>307</vt:i4>
      </vt:variant>
      <vt:variant>
        <vt:i4>0</vt:i4>
      </vt:variant>
      <vt:variant>
        <vt:i4>5</vt:i4>
      </vt:variant>
      <vt:variant>
        <vt:lpwstr/>
      </vt:variant>
      <vt:variant>
        <vt:lpwstr>_Toc152844554</vt:lpwstr>
      </vt:variant>
      <vt:variant>
        <vt:i4>1769522</vt:i4>
      </vt:variant>
      <vt:variant>
        <vt:i4>301</vt:i4>
      </vt:variant>
      <vt:variant>
        <vt:i4>0</vt:i4>
      </vt:variant>
      <vt:variant>
        <vt:i4>5</vt:i4>
      </vt:variant>
      <vt:variant>
        <vt:lpwstr/>
      </vt:variant>
      <vt:variant>
        <vt:lpwstr>_Toc152844553</vt:lpwstr>
      </vt:variant>
      <vt:variant>
        <vt:i4>1769522</vt:i4>
      </vt:variant>
      <vt:variant>
        <vt:i4>295</vt:i4>
      </vt:variant>
      <vt:variant>
        <vt:i4>0</vt:i4>
      </vt:variant>
      <vt:variant>
        <vt:i4>5</vt:i4>
      </vt:variant>
      <vt:variant>
        <vt:lpwstr/>
      </vt:variant>
      <vt:variant>
        <vt:lpwstr>_Toc152844552</vt:lpwstr>
      </vt:variant>
      <vt:variant>
        <vt:i4>1769522</vt:i4>
      </vt:variant>
      <vt:variant>
        <vt:i4>289</vt:i4>
      </vt:variant>
      <vt:variant>
        <vt:i4>0</vt:i4>
      </vt:variant>
      <vt:variant>
        <vt:i4>5</vt:i4>
      </vt:variant>
      <vt:variant>
        <vt:lpwstr/>
      </vt:variant>
      <vt:variant>
        <vt:lpwstr>_Toc152844551</vt:lpwstr>
      </vt:variant>
      <vt:variant>
        <vt:i4>1769522</vt:i4>
      </vt:variant>
      <vt:variant>
        <vt:i4>283</vt:i4>
      </vt:variant>
      <vt:variant>
        <vt:i4>0</vt:i4>
      </vt:variant>
      <vt:variant>
        <vt:i4>5</vt:i4>
      </vt:variant>
      <vt:variant>
        <vt:lpwstr/>
      </vt:variant>
      <vt:variant>
        <vt:lpwstr>_Toc152844550</vt:lpwstr>
      </vt:variant>
      <vt:variant>
        <vt:i4>1703986</vt:i4>
      </vt:variant>
      <vt:variant>
        <vt:i4>277</vt:i4>
      </vt:variant>
      <vt:variant>
        <vt:i4>0</vt:i4>
      </vt:variant>
      <vt:variant>
        <vt:i4>5</vt:i4>
      </vt:variant>
      <vt:variant>
        <vt:lpwstr/>
      </vt:variant>
      <vt:variant>
        <vt:lpwstr>_Toc152844549</vt:lpwstr>
      </vt:variant>
      <vt:variant>
        <vt:i4>1703986</vt:i4>
      </vt:variant>
      <vt:variant>
        <vt:i4>271</vt:i4>
      </vt:variant>
      <vt:variant>
        <vt:i4>0</vt:i4>
      </vt:variant>
      <vt:variant>
        <vt:i4>5</vt:i4>
      </vt:variant>
      <vt:variant>
        <vt:lpwstr/>
      </vt:variant>
      <vt:variant>
        <vt:lpwstr>_Toc152844548</vt:lpwstr>
      </vt:variant>
      <vt:variant>
        <vt:i4>1703986</vt:i4>
      </vt:variant>
      <vt:variant>
        <vt:i4>265</vt:i4>
      </vt:variant>
      <vt:variant>
        <vt:i4>0</vt:i4>
      </vt:variant>
      <vt:variant>
        <vt:i4>5</vt:i4>
      </vt:variant>
      <vt:variant>
        <vt:lpwstr/>
      </vt:variant>
      <vt:variant>
        <vt:lpwstr>_Toc152844547</vt:lpwstr>
      </vt:variant>
      <vt:variant>
        <vt:i4>1703986</vt:i4>
      </vt:variant>
      <vt:variant>
        <vt:i4>259</vt:i4>
      </vt:variant>
      <vt:variant>
        <vt:i4>0</vt:i4>
      </vt:variant>
      <vt:variant>
        <vt:i4>5</vt:i4>
      </vt:variant>
      <vt:variant>
        <vt:lpwstr/>
      </vt:variant>
      <vt:variant>
        <vt:lpwstr>_Toc152844546</vt:lpwstr>
      </vt:variant>
      <vt:variant>
        <vt:i4>1703986</vt:i4>
      </vt:variant>
      <vt:variant>
        <vt:i4>253</vt:i4>
      </vt:variant>
      <vt:variant>
        <vt:i4>0</vt:i4>
      </vt:variant>
      <vt:variant>
        <vt:i4>5</vt:i4>
      </vt:variant>
      <vt:variant>
        <vt:lpwstr/>
      </vt:variant>
      <vt:variant>
        <vt:lpwstr>_Toc152844545</vt:lpwstr>
      </vt:variant>
      <vt:variant>
        <vt:i4>1703986</vt:i4>
      </vt:variant>
      <vt:variant>
        <vt:i4>247</vt:i4>
      </vt:variant>
      <vt:variant>
        <vt:i4>0</vt:i4>
      </vt:variant>
      <vt:variant>
        <vt:i4>5</vt:i4>
      </vt:variant>
      <vt:variant>
        <vt:lpwstr/>
      </vt:variant>
      <vt:variant>
        <vt:lpwstr>_Toc152844544</vt:lpwstr>
      </vt:variant>
      <vt:variant>
        <vt:i4>1703986</vt:i4>
      </vt:variant>
      <vt:variant>
        <vt:i4>241</vt:i4>
      </vt:variant>
      <vt:variant>
        <vt:i4>0</vt:i4>
      </vt:variant>
      <vt:variant>
        <vt:i4>5</vt:i4>
      </vt:variant>
      <vt:variant>
        <vt:lpwstr/>
      </vt:variant>
      <vt:variant>
        <vt:lpwstr>_Toc152844543</vt:lpwstr>
      </vt:variant>
      <vt:variant>
        <vt:i4>1703986</vt:i4>
      </vt:variant>
      <vt:variant>
        <vt:i4>235</vt:i4>
      </vt:variant>
      <vt:variant>
        <vt:i4>0</vt:i4>
      </vt:variant>
      <vt:variant>
        <vt:i4>5</vt:i4>
      </vt:variant>
      <vt:variant>
        <vt:lpwstr/>
      </vt:variant>
      <vt:variant>
        <vt:lpwstr>_Toc152844542</vt:lpwstr>
      </vt:variant>
      <vt:variant>
        <vt:i4>1703986</vt:i4>
      </vt:variant>
      <vt:variant>
        <vt:i4>229</vt:i4>
      </vt:variant>
      <vt:variant>
        <vt:i4>0</vt:i4>
      </vt:variant>
      <vt:variant>
        <vt:i4>5</vt:i4>
      </vt:variant>
      <vt:variant>
        <vt:lpwstr/>
      </vt:variant>
      <vt:variant>
        <vt:lpwstr>_Toc152844541</vt:lpwstr>
      </vt:variant>
      <vt:variant>
        <vt:i4>1703986</vt:i4>
      </vt:variant>
      <vt:variant>
        <vt:i4>223</vt:i4>
      </vt:variant>
      <vt:variant>
        <vt:i4>0</vt:i4>
      </vt:variant>
      <vt:variant>
        <vt:i4>5</vt:i4>
      </vt:variant>
      <vt:variant>
        <vt:lpwstr/>
      </vt:variant>
      <vt:variant>
        <vt:lpwstr>_Toc152844540</vt:lpwstr>
      </vt:variant>
      <vt:variant>
        <vt:i4>1900594</vt:i4>
      </vt:variant>
      <vt:variant>
        <vt:i4>217</vt:i4>
      </vt:variant>
      <vt:variant>
        <vt:i4>0</vt:i4>
      </vt:variant>
      <vt:variant>
        <vt:i4>5</vt:i4>
      </vt:variant>
      <vt:variant>
        <vt:lpwstr/>
      </vt:variant>
      <vt:variant>
        <vt:lpwstr>_Toc152844539</vt:lpwstr>
      </vt:variant>
      <vt:variant>
        <vt:i4>1900594</vt:i4>
      </vt:variant>
      <vt:variant>
        <vt:i4>211</vt:i4>
      </vt:variant>
      <vt:variant>
        <vt:i4>0</vt:i4>
      </vt:variant>
      <vt:variant>
        <vt:i4>5</vt:i4>
      </vt:variant>
      <vt:variant>
        <vt:lpwstr/>
      </vt:variant>
      <vt:variant>
        <vt:lpwstr>_Toc152844538</vt:lpwstr>
      </vt:variant>
      <vt:variant>
        <vt:i4>1900594</vt:i4>
      </vt:variant>
      <vt:variant>
        <vt:i4>205</vt:i4>
      </vt:variant>
      <vt:variant>
        <vt:i4>0</vt:i4>
      </vt:variant>
      <vt:variant>
        <vt:i4>5</vt:i4>
      </vt:variant>
      <vt:variant>
        <vt:lpwstr/>
      </vt:variant>
      <vt:variant>
        <vt:lpwstr>_Toc152844537</vt:lpwstr>
      </vt:variant>
      <vt:variant>
        <vt:i4>1900594</vt:i4>
      </vt:variant>
      <vt:variant>
        <vt:i4>199</vt:i4>
      </vt:variant>
      <vt:variant>
        <vt:i4>0</vt:i4>
      </vt:variant>
      <vt:variant>
        <vt:i4>5</vt:i4>
      </vt:variant>
      <vt:variant>
        <vt:lpwstr/>
      </vt:variant>
      <vt:variant>
        <vt:lpwstr>_Toc152844536</vt:lpwstr>
      </vt:variant>
      <vt:variant>
        <vt:i4>1900594</vt:i4>
      </vt:variant>
      <vt:variant>
        <vt:i4>193</vt:i4>
      </vt:variant>
      <vt:variant>
        <vt:i4>0</vt:i4>
      </vt:variant>
      <vt:variant>
        <vt:i4>5</vt:i4>
      </vt:variant>
      <vt:variant>
        <vt:lpwstr/>
      </vt:variant>
      <vt:variant>
        <vt:lpwstr>_Toc152844535</vt:lpwstr>
      </vt:variant>
      <vt:variant>
        <vt:i4>1900594</vt:i4>
      </vt:variant>
      <vt:variant>
        <vt:i4>187</vt:i4>
      </vt:variant>
      <vt:variant>
        <vt:i4>0</vt:i4>
      </vt:variant>
      <vt:variant>
        <vt:i4>5</vt:i4>
      </vt:variant>
      <vt:variant>
        <vt:lpwstr/>
      </vt:variant>
      <vt:variant>
        <vt:lpwstr>_Toc152844534</vt:lpwstr>
      </vt:variant>
      <vt:variant>
        <vt:i4>1900594</vt:i4>
      </vt:variant>
      <vt:variant>
        <vt:i4>181</vt:i4>
      </vt:variant>
      <vt:variant>
        <vt:i4>0</vt:i4>
      </vt:variant>
      <vt:variant>
        <vt:i4>5</vt:i4>
      </vt:variant>
      <vt:variant>
        <vt:lpwstr/>
      </vt:variant>
      <vt:variant>
        <vt:lpwstr>_Toc152844533</vt:lpwstr>
      </vt:variant>
      <vt:variant>
        <vt:i4>1900594</vt:i4>
      </vt:variant>
      <vt:variant>
        <vt:i4>175</vt:i4>
      </vt:variant>
      <vt:variant>
        <vt:i4>0</vt:i4>
      </vt:variant>
      <vt:variant>
        <vt:i4>5</vt:i4>
      </vt:variant>
      <vt:variant>
        <vt:lpwstr/>
      </vt:variant>
      <vt:variant>
        <vt:lpwstr>_Toc152844532</vt:lpwstr>
      </vt:variant>
      <vt:variant>
        <vt:i4>1900594</vt:i4>
      </vt:variant>
      <vt:variant>
        <vt:i4>169</vt:i4>
      </vt:variant>
      <vt:variant>
        <vt:i4>0</vt:i4>
      </vt:variant>
      <vt:variant>
        <vt:i4>5</vt:i4>
      </vt:variant>
      <vt:variant>
        <vt:lpwstr/>
      </vt:variant>
      <vt:variant>
        <vt:lpwstr>_Toc152844531</vt:lpwstr>
      </vt:variant>
      <vt:variant>
        <vt:i4>1900594</vt:i4>
      </vt:variant>
      <vt:variant>
        <vt:i4>163</vt:i4>
      </vt:variant>
      <vt:variant>
        <vt:i4>0</vt:i4>
      </vt:variant>
      <vt:variant>
        <vt:i4>5</vt:i4>
      </vt:variant>
      <vt:variant>
        <vt:lpwstr/>
      </vt:variant>
      <vt:variant>
        <vt:lpwstr>_Toc152844530</vt:lpwstr>
      </vt:variant>
      <vt:variant>
        <vt:i4>1835058</vt:i4>
      </vt:variant>
      <vt:variant>
        <vt:i4>157</vt:i4>
      </vt:variant>
      <vt:variant>
        <vt:i4>0</vt:i4>
      </vt:variant>
      <vt:variant>
        <vt:i4>5</vt:i4>
      </vt:variant>
      <vt:variant>
        <vt:lpwstr/>
      </vt:variant>
      <vt:variant>
        <vt:lpwstr>_Toc152844529</vt:lpwstr>
      </vt:variant>
      <vt:variant>
        <vt:i4>1835058</vt:i4>
      </vt:variant>
      <vt:variant>
        <vt:i4>151</vt:i4>
      </vt:variant>
      <vt:variant>
        <vt:i4>0</vt:i4>
      </vt:variant>
      <vt:variant>
        <vt:i4>5</vt:i4>
      </vt:variant>
      <vt:variant>
        <vt:lpwstr/>
      </vt:variant>
      <vt:variant>
        <vt:lpwstr>_Toc152844528</vt:lpwstr>
      </vt:variant>
      <vt:variant>
        <vt:i4>1835058</vt:i4>
      </vt:variant>
      <vt:variant>
        <vt:i4>145</vt:i4>
      </vt:variant>
      <vt:variant>
        <vt:i4>0</vt:i4>
      </vt:variant>
      <vt:variant>
        <vt:i4>5</vt:i4>
      </vt:variant>
      <vt:variant>
        <vt:lpwstr/>
      </vt:variant>
      <vt:variant>
        <vt:lpwstr>_Toc152844527</vt:lpwstr>
      </vt:variant>
      <vt:variant>
        <vt:i4>1835058</vt:i4>
      </vt:variant>
      <vt:variant>
        <vt:i4>139</vt:i4>
      </vt:variant>
      <vt:variant>
        <vt:i4>0</vt:i4>
      </vt:variant>
      <vt:variant>
        <vt:i4>5</vt:i4>
      </vt:variant>
      <vt:variant>
        <vt:lpwstr/>
      </vt:variant>
      <vt:variant>
        <vt:lpwstr>_Toc152844526</vt:lpwstr>
      </vt:variant>
      <vt:variant>
        <vt:i4>1835058</vt:i4>
      </vt:variant>
      <vt:variant>
        <vt:i4>133</vt:i4>
      </vt:variant>
      <vt:variant>
        <vt:i4>0</vt:i4>
      </vt:variant>
      <vt:variant>
        <vt:i4>5</vt:i4>
      </vt:variant>
      <vt:variant>
        <vt:lpwstr/>
      </vt:variant>
      <vt:variant>
        <vt:lpwstr>_Toc152844525</vt:lpwstr>
      </vt:variant>
      <vt:variant>
        <vt:i4>1835058</vt:i4>
      </vt:variant>
      <vt:variant>
        <vt:i4>127</vt:i4>
      </vt:variant>
      <vt:variant>
        <vt:i4>0</vt:i4>
      </vt:variant>
      <vt:variant>
        <vt:i4>5</vt:i4>
      </vt:variant>
      <vt:variant>
        <vt:lpwstr/>
      </vt:variant>
      <vt:variant>
        <vt:lpwstr>_Toc152844524</vt:lpwstr>
      </vt:variant>
      <vt:variant>
        <vt:i4>1835058</vt:i4>
      </vt:variant>
      <vt:variant>
        <vt:i4>121</vt:i4>
      </vt:variant>
      <vt:variant>
        <vt:i4>0</vt:i4>
      </vt:variant>
      <vt:variant>
        <vt:i4>5</vt:i4>
      </vt:variant>
      <vt:variant>
        <vt:lpwstr/>
      </vt:variant>
      <vt:variant>
        <vt:lpwstr>_Toc152844523</vt:lpwstr>
      </vt:variant>
      <vt:variant>
        <vt:i4>1835058</vt:i4>
      </vt:variant>
      <vt:variant>
        <vt:i4>115</vt:i4>
      </vt:variant>
      <vt:variant>
        <vt:i4>0</vt:i4>
      </vt:variant>
      <vt:variant>
        <vt:i4>5</vt:i4>
      </vt:variant>
      <vt:variant>
        <vt:lpwstr/>
      </vt:variant>
      <vt:variant>
        <vt:lpwstr>_Toc152844522</vt:lpwstr>
      </vt:variant>
      <vt:variant>
        <vt:i4>1835058</vt:i4>
      </vt:variant>
      <vt:variant>
        <vt:i4>109</vt:i4>
      </vt:variant>
      <vt:variant>
        <vt:i4>0</vt:i4>
      </vt:variant>
      <vt:variant>
        <vt:i4>5</vt:i4>
      </vt:variant>
      <vt:variant>
        <vt:lpwstr/>
      </vt:variant>
      <vt:variant>
        <vt:lpwstr>_Toc152844521</vt:lpwstr>
      </vt:variant>
      <vt:variant>
        <vt:i4>1835058</vt:i4>
      </vt:variant>
      <vt:variant>
        <vt:i4>103</vt:i4>
      </vt:variant>
      <vt:variant>
        <vt:i4>0</vt:i4>
      </vt:variant>
      <vt:variant>
        <vt:i4>5</vt:i4>
      </vt:variant>
      <vt:variant>
        <vt:lpwstr/>
      </vt:variant>
      <vt:variant>
        <vt:lpwstr>_Toc152844520</vt:lpwstr>
      </vt:variant>
      <vt:variant>
        <vt:i4>2031666</vt:i4>
      </vt:variant>
      <vt:variant>
        <vt:i4>97</vt:i4>
      </vt:variant>
      <vt:variant>
        <vt:i4>0</vt:i4>
      </vt:variant>
      <vt:variant>
        <vt:i4>5</vt:i4>
      </vt:variant>
      <vt:variant>
        <vt:lpwstr/>
      </vt:variant>
      <vt:variant>
        <vt:lpwstr>_Toc152844519</vt:lpwstr>
      </vt:variant>
      <vt:variant>
        <vt:i4>2031666</vt:i4>
      </vt:variant>
      <vt:variant>
        <vt:i4>91</vt:i4>
      </vt:variant>
      <vt:variant>
        <vt:i4>0</vt:i4>
      </vt:variant>
      <vt:variant>
        <vt:i4>5</vt:i4>
      </vt:variant>
      <vt:variant>
        <vt:lpwstr/>
      </vt:variant>
      <vt:variant>
        <vt:lpwstr>_Toc152844518</vt:lpwstr>
      </vt:variant>
      <vt:variant>
        <vt:i4>2031666</vt:i4>
      </vt:variant>
      <vt:variant>
        <vt:i4>85</vt:i4>
      </vt:variant>
      <vt:variant>
        <vt:i4>0</vt:i4>
      </vt:variant>
      <vt:variant>
        <vt:i4>5</vt:i4>
      </vt:variant>
      <vt:variant>
        <vt:lpwstr/>
      </vt:variant>
      <vt:variant>
        <vt:lpwstr>_Toc152844517</vt:lpwstr>
      </vt:variant>
      <vt:variant>
        <vt:i4>2031666</vt:i4>
      </vt:variant>
      <vt:variant>
        <vt:i4>79</vt:i4>
      </vt:variant>
      <vt:variant>
        <vt:i4>0</vt:i4>
      </vt:variant>
      <vt:variant>
        <vt:i4>5</vt:i4>
      </vt:variant>
      <vt:variant>
        <vt:lpwstr/>
      </vt:variant>
      <vt:variant>
        <vt:lpwstr>_Toc152844516</vt:lpwstr>
      </vt:variant>
      <vt:variant>
        <vt:i4>2031666</vt:i4>
      </vt:variant>
      <vt:variant>
        <vt:i4>73</vt:i4>
      </vt:variant>
      <vt:variant>
        <vt:i4>0</vt:i4>
      </vt:variant>
      <vt:variant>
        <vt:i4>5</vt:i4>
      </vt:variant>
      <vt:variant>
        <vt:lpwstr/>
      </vt:variant>
      <vt:variant>
        <vt:lpwstr>_Toc152844515</vt:lpwstr>
      </vt:variant>
      <vt:variant>
        <vt:i4>2031666</vt:i4>
      </vt:variant>
      <vt:variant>
        <vt:i4>67</vt:i4>
      </vt:variant>
      <vt:variant>
        <vt:i4>0</vt:i4>
      </vt:variant>
      <vt:variant>
        <vt:i4>5</vt:i4>
      </vt:variant>
      <vt:variant>
        <vt:lpwstr/>
      </vt:variant>
      <vt:variant>
        <vt:lpwstr>_Toc152844514</vt:lpwstr>
      </vt:variant>
      <vt:variant>
        <vt:i4>2031666</vt:i4>
      </vt:variant>
      <vt:variant>
        <vt:i4>61</vt:i4>
      </vt:variant>
      <vt:variant>
        <vt:i4>0</vt:i4>
      </vt:variant>
      <vt:variant>
        <vt:i4>5</vt:i4>
      </vt:variant>
      <vt:variant>
        <vt:lpwstr/>
      </vt:variant>
      <vt:variant>
        <vt:lpwstr>_Toc152844513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WCAP Format</dc:title>
  <dc:subject/>
  <dc:creator>Information Technology</dc:creator>
  <cp:keywords/>
  <dc:description/>
  <cp:lastModifiedBy>Georgi Moikinski</cp:lastModifiedBy>
  <cp:revision>3</cp:revision>
  <cp:lastPrinted>2023-10-27T14:18:00Z</cp:lastPrinted>
  <dcterms:created xsi:type="dcterms:W3CDTF">2024-01-05T09:43:00Z</dcterms:created>
  <dcterms:modified xsi:type="dcterms:W3CDTF">2024-01-05T09:56:00Z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0x0101002BDD8154224BBA45AF866402CCFE9104</vt:lpwstr>
  </property>
  <property fmtid="{D5CDD505-2E9C-101B-9397-08002B2CF9AE}" pid="3" name="MediaServiceImageTags">
    <vt:lpwstr/>
  </property>
</Properties>
</file>