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1F4E79"/>
          <w:sz w:val="40"/>
          <w:szCs w:val="40"/>
        </w:rPr>
        <w:t xml:space="preserve">SENTINEL OFFENSIVE SECURITY LLC</w:t>
      </w:r>
    </w:p>
    <w:p>
      <w:pPr>
        <w:spacing w:after="600"/>
      </w:pPr>
      <w:r>
        <w:rPr>
          <w:color w:val="666666"/>
          <w:sz w:val="20"/>
          <w:szCs w:val="20"/>
        </w:rPr>
        <w:t xml:space="preserve">Offensive Security · Adversary Simulation · Assurance</w:t>
      </w:r>
    </w:p>
    <w:p>
      <w:pPr>
        <w:pBdr>
          <w:bottom w:val="single" w:color="1F4E79" w:sz="8" w:space="1"/>
        </w:pBdr>
        <w:spacing w:after="160"/>
      </w:pPr>
      <w:r>
        <w:t xml:space="preserve"/>
      </w:r>
    </w:p>
    <w:p>
      <w:pPr>
        <w:spacing w:after="40" w:before="600"/>
      </w:pPr>
      <w:r>
        <w:rPr>
          <w:b/>
          <w:bCs/>
          <w:color w:val="666666"/>
          <w:sz w:val="22"/>
          <w:szCs w:val="22"/>
        </w:rPr>
        <w:t xml:space="preserve">STATEMENT OF WORK &amp; PENETRATION TESTING AGREEMENT</w:t>
      </w:r>
    </w:p>
    <w:p>
      <w:pPr>
        <w:spacing w:after="600"/>
      </w:pPr>
      <w:r>
        <w:rPr>
          <w:b/>
          <w:bCs/>
          <w:color w:val="1A1A1A"/>
          <w:sz w:val="48"/>
          <w:szCs w:val="48"/>
        </w:rPr>
        <w:t xml:space="preserve">External Network &amp; Web Application Penetration Test</w:t>
      </w:r>
    </w:p>
    <w:p>
      <w:pPr>
        <w:pBdr>
          <w:bottom w:val="single" w:color="1F4E79" w:sz="8" w:space="1"/>
        </w:pBdr>
        <w:spacing w:after="160"/>
      </w:pPr>
      <w:r>
        <w:t xml:space="preserve"/>
      </w:r>
    </w:p>
    <w:p>
      <w:pPr>
        <w:spacing w:after="300"/>
      </w:pPr>
      <w:r>
        <w:t xml:space="preserve"/>
      </w:r>
    </w:p>
    <w:p>
      <w:pPr>
        <w:spacing w:after="60"/>
      </w:pPr>
      <w:r>
        <w:rPr>
          <w:b/>
          <w:bCs/>
          <w:sz w:val="20"/>
          <w:szCs w:val="20"/>
        </w:rPr>
        <w:t xml:space="preserve">Client:  </w:t>
      </w:r>
      <w:r>
        <w:rPr>
          <w:sz w:val="20"/>
          <w:szCs w:val="20"/>
        </w:rPr>
        <w:t xml:space="preserve">Northwind Retail, Inc.</w:t>
      </w:r>
    </w:p>
    <w:p>
      <w:pPr>
        <w:spacing w:after="60"/>
      </w:pPr>
      <w:r>
        <w:rPr>
          <w:b/>
          <w:bCs/>
          <w:sz w:val="20"/>
          <w:szCs w:val="20"/>
        </w:rPr>
        <w:t xml:space="preserve">Service Provider:  </w:t>
      </w:r>
      <w:r>
        <w:rPr>
          <w:sz w:val="20"/>
          <w:szCs w:val="20"/>
        </w:rPr>
        <w:t xml:space="preserve">Sentinel Offensive Security LLC</w:t>
      </w:r>
    </w:p>
    <w:p>
      <w:pPr>
        <w:spacing w:after="60"/>
      </w:pPr>
      <w:r>
        <w:rPr>
          <w:b/>
          <w:bCs/>
          <w:sz w:val="20"/>
          <w:szCs w:val="20"/>
        </w:rPr>
        <w:t xml:space="preserve">Document Reference:  </w:t>
      </w:r>
      <w:r>
        <w:rPr>
          <w:sz w:val="20"/>
          <w:szCs w:val="20"/>
        </w:rPr>
        <w:t xml:space="preserve">SOS-2026-0417-SOW</w:t>
      </w:r>
    </w:p>
    <w:p>
      <w:pPr>
        <w:spacing w:after="60"/>
      </w:pPr>
      <w:r>
        <w:rPr>
          <w:b/>
          <w:bCs/>
          <w:sz w:val="20"/>
          <w:szCs w:val="20"/>
        </w:rPr>
        <w:t xml:space="preserve">Version:  </w:t>
      </w:r>
      <w:r>
        <w:rPr>
          <w:sz w:val="20"/>
          <w:szCs w:val="20"/>
        </w:rPr>
        <w:t xml:space="preserve">1.0 (Executed)</w:t>
      </w:r>
    </w:p>
    <w:p>
      <w:pPr>
        <w:spacing w:after="60"/>
      </w:pPr>
      <w:r>
        <w:rPr>
          <w:b/>
          <w:bCs/>
          <w:sz w:val="20"/>
          <w:szCs w:val="20"/>
        </w:rPr>
        <w:t xml:space="preserve">Effective Date:  </w:t>
      </w:r>
      <w:r>
        <w:rPr>
          <w:sz w:val="20"/>
          <w:szCs w:val="20"/>
        </w:rPr>
        <w:t xml:space="preserve">8 June 2026</w:t>
      </w:r>
    </w:p>
    <w:p>
      <w:pPr>
        <w:spacing w:after="60"/>
      </w:pPr>
      <w:r>
        <w:rPr>
          <w:b/>
          <w:bCs/>
          <w:sz w:val="20"/>
          <w:szCs w:val="20"/>
        </w:rPr>
        <w:t xml:space="preserve">Prepared By:  </w:t>
      </w:r>
      <w:r>
        <w:rPr>
          <w:sz w:val="20"/>
          <w:szCs w:val="20"/>
        </w:rPr>
        <w:t xml:space="preserve">M. Okafor, Director of Delivery</w:t>
      </w:r>
    </w:p>
    <w:p>
      <w:pPr>
        <w:spacing w:after="500"/>
      </w:pPr>
      <w:r>
        <w:t xml:space="preserve"/>
      </w:r>
    </w:p>
    <w:p>
      <w:pPr>
        <w:pBdr>
          <w:top w:val="single" w:color="1F4E79" w:sz="12" w:space="6"/>
          <w:bottom w:val="single" w:color="1F4E79" w:sz="12" w:space="6"/>
        </w:pBdr>
        <w:spacing w:after="40" w:before="1400"/>
        <w:jc w:val="center"/>
      </w:pPr>
      <w:r>
        <w:rPr>
          <w:b/>
          <w:bCs/>
          <w:color w:val="C00000"/>
          <w:sz w:val="22"/>
          <w:szCs w:val="22"/>
        </w:rPr>
        <w:t xml:space="preserve">CONFIDENTIAL — ATTORNEY WORK PRODUCT</w:t>
      </w:r>
    </w:p>
    <w:p>
      <w:r>
        <w:br w:type="page"/>
      </w:r>
    </w:p>
    <w:p>
      <w:pPr>
        <w:pStyle w:val="Heading1"/>
      </w:pPr>
      <w:r>
        <w:t xml:space="preserve">1. Parties and Background</w:t>
      </w:r>
    </w:p>
    <w:p>
      <w:pPr>
        <w:spacing w:after="120" w:line="264"/>
      </w:pPr>
      <w:r>
        <w:t xml:space="preserve">This Statement of Work (“SOW”), executed under and governed by the Master Services Agreement dated 2 June 2026, is entered into between </w:t>
      </w:r>
      <w:r>
        <w:rPr>
          <w:b/>
          <w:bCs/>
        </w:rPr>
        <w:t xml:space="preserve">Sentinel Offensive Security LLC</w:t>
      </w:r>
      <w:r>
        <w:t xml:space="preserve"> (“Service Provider,” “Sentinel,” “we”), a Delaware limited liability company, and </w:t>
      </w:r>
      <w:r>
        <w:rPr>
          <w:b/>
          <w:bCs/>
        </w:rPr>
        <w:t xml:space="preserve">Northwind Retail, Inc.</w:t>
      </w:r>
      <w:r>
        <w:t xml:space="preserve"> (“Client”), a Delaware corporation (collectively, the “Parties”).</w:t>
      </w:r>
    </w:p>
    <w:p>
      <w:pPr>
        <w:spacing w:after="120" w:line="264"/>
      </w:pPr>
      <w:r>
        <w:t xml:space="preserve">The Client operates a public-facing e-commerce platform and supporting corporate infrastructure. The Client has engaged the Service Provider to perform an authorized, time-boxed penetration test to identify and validate security weaknesses before they can be exploited by a malicious actor, and to provide prioritized remediation guidance.</w:t>
      </w:r>
    </w:p>
    <w:p>
      <w:pPr>
        <w:spacing w:after="120" w:line="264"/>
      </w:pPr>
      <w:r>
        <w:rPr>
          <w:b/>
          <w:bCs/>
        </w:rPr>
        <w:t xml:space="preserve">Authorization. </w:t>
      </w:r>
      <w:r>
        <w:t xml:space="preserve">The Client represents and warrants that it is the lawful owner of, or is duly authorized to permit testing against, all in-scope assets listed in Section 3, and that the signatory below has authority to grant this permission. This SOW constitutes the Service Provider’s written authorization to conduct the activities described herein.</w:t>
      </w:r>
    </w:p>
    <w:p>
      <w:pPr>
        <w:pStyle w:val="Heading1"/>
      </w:pPr>
      <w:r>
        <w:t xml:space="preserve">2. Objectives</w:t>
      </w:r>
    </w:p>
    <w:p>
      <w:pPr>
        <w:pStyle w:val="ListParagraph"/>
        <w:numPr>
          <w:ilvl w:val="0"/>
          <w:numId w:val="2"/>
        </w:numPr>
        <w:spacing w:after="60" w:line="260"/>
      </w:pPr>
      <w:r>
        <w:t xml:space="preserve">Identify exploitable vulnerabilities in the in-scope external network and web application attack surface.</w:t>
      </w:r>
    </w:p>
    <w:p>
      <w:pPr>
        <w:pStyle w:val="ListParagraph"/>
        <w:numPr>
          <w:ilvl w:val="0"/>
          <w:numId w:val="2"/>
        </w:numPr>
        <w:spacing w:after="60" w:line="260"/>
      </w:pPr>
      <w:r>
        <w:t xml:space="preserve">Safely demonstrate business impact through controlled exploitation, without disrupting production operations.</w:t>
      </w:r>
    </w:p>
    <w:p>
      <w:pPr>
        <w:pStyle w:val="ListParagraph"/>
        <w:numPr>
          <w:ilvl w:val="0"/>
          <w:numId w:val="2"/>
        </w:numPr>
        <w:spacing w:after="60" w:line="260"/>
      </w:pPr>
      <w:r>
        <w:t xml:space="preserve">Assess the effectiveness of perimeter controls and detection/response capabilities (hybrid-evasive approach).</w:t>
      </w:r>
    </w:p>
    <w:p>
      <w:pPr>
        <w:pStyle w:val="ListParagraph"/>
        <w:numPr>
          <w:ilvl w:val="0"/>
          <w:numId w:val="2"/>
        </w:numPr>
        <w:spacing w:after="60" w:line="260"/>
      </w:pPr>
      <w:r>
        <w:t xml:space="preserve">Deliver a clear, risk-rated report with actionable, prioritized remediation guidance and an executive briefing.</w:t>
      </w:r>
    </w:p>
    <w:p>
      <w:pPr>
        <w:pStyle w:val="Heading1"/>
      </w:pPr>
      <w:r>
        <w:t xml:space="preserve">3. Scope of Work</w:t>
      </w:r>
    </w:p>
    <w:p>
      <w:pPr>
        <w:pStyle w:val="Heading2"/>
      </w:pPr>
      <w:r>
        <w:t xml:space="preserve">3.1 In-Scope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60"/>
        <w:gridCol w:w="210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20"/>
                <w:szCs w:val="20"/>
              </w:rPr>
              <w:t xml:space="preserve">Asset</w:t>
            </w:r>
          </w:p>
        </w:tc>
        <w:tc>
          <w:tcPr>
            <w:tcW w:type="dxa" w:w="40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20"/>
                <w:szCs w:val="20"/>
              </w:rPr>
              <w:t xml:space="preserve">Identifier / Range</w:t>
            </w:r>
          </w:p>
        </w:tc>
        <w:tc>
          <w:tcPr>
            <w:tcW w:type="dxa" w:w="2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20"/>
                <w:szCs w:val="20"/>
              </w:rPr>
              <w:t xml:space="preserve">Test Type</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Corporate external perimeter</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203.0.113.0/27</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External network pentest</w:t>
            </w:r>
          </w:p>
        </w:tc>
      </w:tr>
      <w:tr>
        <w:tc>
          <w:tcPr>
            <w:tcW w:type="dxa" w:w="32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E-commerce web application</w:t>
            </w:r>
          </w:p>
        </w:tc>
        <w:tc>
          <w:tcPr>
            <w:tcW w:type="dxa" w:w="40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https://shop.northwind-retail.com</w:t>
            </w:r>
          </w:p>
        </w:tc>
        <w:tc>
          <w:tcPr>
            <w:tcW w:type="dxa" w:w="21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Authenticated web app pentest</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Customer API</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https://api.northwind-retail.com</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Web service / API test</w:t>
            </w:r>
          </w:p>
        </w:tc>
      </w:tr>
      <w:tr>
        <w:tc>
          <w:tcPr>
            <w:tcW w:type="dxa" w:w="32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Email security (phishing)</w:t>
            </w:r>
          </w:p>
        </w:tc>
        <w:tc>
          <w:tcPr>
            <w:tcW w:type="dxa" w:w="40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Up to 25 named employees (list provided under separate cover)</w:t>
            </w:r>
          </w:p>
        </w:tc>
        <w:tc>
          <w:tcPr>
            <w:tcW w:type="dxa" w:w="21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Social engineering (limited)</w:t>
            </w:r>
          </w:p>
        </w:tc>
      </w:tr>
    </w:tbl>
    <w:p>
      <w:pPr>
        <w:pStyle w:val="Heading2"/>
      </w:pPr>
      <w:r>
        <w:t xml:space="preserve">3.2 Out of Scope</w:t>
      </w:r>
    </w:p>
    <w:p>
      <w:pPr>
        <w:spacing w:after="120" w:line="264"/>
      </w:pPr>
      <w:r>
        <w:t xml:space="preserve">Unless explicitly added by signed change order, the following are excluded: any system, IP, or domain not listed in Section 3.1; denial-of-service (DoS/DDoS) and load/stress testing; physical intrusion; destructive testing; third-party SaaS platforms; and the production payment processor (PCI cardholder data environment), which is tested only up to, but not into, the CDE boundary.</w:t>
      </w:r>
    </w:p>
    <w:p>
      <w:pPr>
        <w:spacing w:after="120" w:line="264"/>
      </w:pPr>
      <w:r>
        <w:rPr>
          <w:b/>
          <w:bCs/>
        </w:rPr>
        <w:t xml:space="preserve">Third parties. </w:t>
      </w:r>
      <w:r>
        <w:t xml:space="preserve">In-scope assets hosted by Amazon Web Services are tested in accordance with the AWS Customer Support Policy for Penetration Testing; no separate AWS authorization is required for the in-scope service categories. The Client is responsible for notifying any other hosting or CDN provider as needed.</w:t>
      </w:r>
    </w:p>
    <w:p>
      <w:pPr>
        <w:pStyle w:val="Heading1"/>
      </w:pPr>
      <w:r>
        <w:t xml:space="preserve">4. Approach and Methodology</w:t>
      </w:r>
    </w:p>
    <w:p>
      <w:pPr>
        <w:spacing w:after="120" w:line="264"/>
      </w:pPr>
      <w:r>
        <w:rPr>
          <w:b/>
          <w:bCs/>
        </w:rPr>
        <w:t xml:space="preserve">Knowledge level: </w:t>
      </w:r>
      <w:r>
        <w:t xml:space="preserve">Grey box — the Client will provide external IP ranges, application URLs, and two sets of low-privilege application credentials. No internal network access or source code will be provided.</w:t>
      </w:r>
    </w:p>
    <w:p>
      <w:pPr>
        <w:spacing w:after="120" w:line="264"/>
      </w:pPr>
      <w:r>
        <w:rPr>
          <w:b/>
          <w:bCs/>
        </w:rPr>
        <w:t xml:space="preserve">Evasiveness: </w:t>
      </w:r>
      <w:r>
        <w:t xml:space="preserve">Hybrid-evasive — testing begins quietly and incrementally increases in noise to assess at what threshold the Client’s security team detects activity.</w:t>
      </w:r>
    </w:p>
    <w:p>
      <w:pPr>
        <w:spacing w:after="120" w:line="264"/>
      </w:pPr>
      <w:r>
        <w:rPr>
          <w:b/>
          <w:bCs/>
        </w:rPr>
        <w:t xml:space="preserve">Frameworks: </w:t>
      </w:r>
      <w:r>
        <w:t xml:space="preserve">Engagement is conducted in accordance with the Penetration Testing Execution Standard (PTES), the OWASP Web Security Testing Guide (WSTG), and NIST SP 800-115. Findings are mapped to MITRE ATT&amp;CK and rated using CVSS v3.1.</w:t>
      </w:r>
    </w:p>
    <w:p>
      <w:pPr>
        <w:pStyle w:val="Heading1"/>
      </w:pPr>
      <w:r>
        <w:t xml:space="preserve">5. Rules of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20"/>
                <w:szCs w:val="20"/>
              </w:rPr>
              <w:t xml:space="preserve">Parameter</w:t>
            </w:r>
          </w:p>
        </w:tc>
        <w:tc>
          <w:tcPr>
            <w:tcW w:type="dxa" w:w="6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20"/>
                <w:szCs w:val="20"/>
              </w:rPr>
              <w:t xml:space="preserve">Agreed Terms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Testing window</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15 June 2026 – 26 June 2026 (10 business days)</w:t>
            </w:r>
          </w:p>
        </w:tc>
      </w:tr>
      <w:tr>
        <w:tc>
          <w:tcPr>
            <w:tcW w:type="dxa" w:w="26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Permitted hours</w:t>
            </w:r>
          </w:p>
        </w:tc>
        <w:tc>
          <w:tcPr>
            <w:tcW w:type="dxa" w:w="67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Mon–Fri, 18:00–06:00 ET; weekends unrestricted. No testing during the 21 June marketing event (blackout).</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Source IPs</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198.51.100.10, 198.51.100.11 (Sentinel will test from these only; Client to allowlist for monitoring correlation)</w:t>
            </w:r>
          </w:p>
        </w:tc>
      </w:tr>
      <w:tr>
        <w:tc>
          <w:tcPr>
            <w:tcW w:type="dxa" w:w="26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Emergency contact (Client)</w:t>
            </w:r>
          </w:p>
        </w:tc>
        <w:tc>
          <w:tcPr>
            <w:tcW w:type="dxa" w:w="67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J. Reyes, CISO — +1 (555) 0142 — reachable 24/7 during the window</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Emergency contact (Sentinel)</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M. Okafor, Engagement Lead — +1 (555) 0199</w:t>
            </w:r>
          </w:p>
        </w:tc>
      </w:tr>
      <w:tr>
        <w:tc>
          <w:tcPr>
            <w:tcW w:type="dxa" w:w="26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Stop conditions</w:t>
            </w:r>
          </w:p>
        </w:tc>
        <w:tc>
          <w:tcPr>
            <w:tcW w:type="dxa" w:w="67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Evidence of a pre-existing active breach; critical instability of a production system; discovery of unexpected sensitive data (e.g., regulated PII).</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Sensitive-data handling</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No exfiltration of real customer records. Proof-of-access limited to screenshots and minimal redacted samples.</w:t>
            </w:r>
          </w:p>
        </w:tc>
      </w:tr>
    </w:tbl>
    <w:p>
      <w:pPr>
        <w:spacing w:after="120" w:line="264"/>
      </w:pPr>
      <w:r>
        <w:rPr>
          <w:b/>
          <w:bCs/>
        </w:rPr>
        <w:t xml:space="preserve">Get-out-of-jail. </w:t>
      </w:r>
      <w:r>
        <w:t xml:space="preserve">Upon any indication that testing has caused or risks causing material disruption, or upon Client request, the Service Provider will immediately pause activity and notify the Client emergency contact. An authorization letter naming the testing window, source IPs, and lead testers is provided as Annex A.</w:t>
      </w:r>
    </w:p>
    <w:p>
      <w:pPr>
        <w:pStyle w:val="Heading1"/>
      </w:pPr>
      <w:r>
        <w:t xml:space="preserve">6. Deliverables</w:t>
      </w:r>
    </w:p>
    <w:p>
      <w:pPr>
        <w:pStyle w:val="ListParagraph"/>
        <w:numPr>
          <w:ilvl w:val="0"/>
          <w:numId w:val="2"/>
        </w:numPr>
        <w:spacing w:after="60" w:line="260"/>
      </w:pPr>
      <w:r>
        <w:t xml:space="preserve">A written penetration test report (DRAFT, then FINAL) including an executive summary, a technical findings register with CVSS ratings and reproduction steps, and prioritized remediation guidance.</w:t>
      </w:r>
    </w:p>
    <w:p>
      <w:pPr>
        <w:pStyle w:val="ListParagraph"/>
        <w:numPr>
          <w:ilvl w:val="0"/>
          <w:numId w:val="2"/>
        </w:numPr>
        <w:spacing w:after="60" w:line="260"/>
      </w:pPr>
      <w:r>
        <w:t xml:space="preserve">A findings tracker (spreadsheet) for remediation management.</w:t>
      </w:r>
    </w:p>
    <w:p>
      <w:pPr>
        <w:pStyle w:val="ListParagraph"/>
        <w:numPr>
          <w:ilvl w:val="0"/>
          <w:numId w:val="2"/>
        </w:numPr>
        <w:spacing w:after="60" w:line="260"/>
      </w:pPr>
      <w:r>
        <w:t xml:space="preserve">A live report-readout / executive debrief (up to 90 minutes).</w:t>
      </w:r>
    </w:p>
    <w:p>
      <w:pPr>
        <w:pStyle w:val="ListParagraph"/>
        <w:numPr>
          <w:ilvl w:val="0"/>
          <w:numId w:val="2"/>
        </w:numPr>
        <w:spacing w:after="60" w:line="260"/>
      </w:pPr>
      <w:r>
        <w:t xml:space="preserve">One round of complimentary remediation re-testing of reported findings, within 45 days of the FINAL report.</w:t>
      </w:r>
    </w:p>
    <w:p>
      <w:pPr>
        <w:pStyle w:val="Heading1"/>
      </w:pPr>
      <w:r>
        <w:t xml:space="preserve">7. Timeline and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760"/>
        <w:gridCol w:w="2100"/>
      </w:tblGrid>
      <w:tr>
        <w:trPr>
          <w:tblHeader/>
        </w:trPr>
        <w:tc>
          <w:tcPr>
            <w:tcW w:type="dxa" w:w="3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20"/>
                <w:szCs w:val="20"/>
              </w:rPr>
              <w:t xml:space="preserve">Phase</w:t>
            </w:r>
          </w:p>
        </w:tc>
        <w:tc>
          <w:tcPr>
            <w:tcW w:type="dxa" w:w="3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20"/>
                <w:szCs w:val="20"/>
              </w:rPr>
              <w:t xml:space="preserve">Dates</w:t>
            </w:r>
          </w:p>
        </w:tc>
        <w:tc>
          <w:tcPr>
            <w:tcW w:type="dxa" w:w="2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20"/>
                <w:szCs w:val="20"/>
              </w:rPr>
              <w:t xml:space="preserve">Effort</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Pre-engagement &amp; kickoff</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8–12 June 2026</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Included</w:t>
            </w:r>
          </w:p>
        </w:tc>
      </w:tr>
      <w:tr>
        <w:tc>
          <w:tcPr>
            <w:tcW w:type="dxa" w:w="35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Active testing</w:t>
            </w:r>
          </w:p>
        </w:tc>
        <w:tc>
          <w:tcPr>
            <w:tcW w:type="dxa" w:w="37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15–26 June 2026</w:t>
            </w:r>
          </w:p>
        </w:tc>
        <w:tc>
          <w:tcPr>
            <w:tcW w:type="dxa" w:w="21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10 days</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Reporting &amp; QA</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29 June – 2 July 2026</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3 days</w:t>
            </w:r>
          </w:p>
        </w:tc>
      </w:tr>
      <w:tr>
        <w:tc>
          <w:tcPr>
            <w:tcW w:type="dxa" w:w="35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Draft delivery &amp; review</w:t>
            </w:r>
          </w:p>
        </w:tc>
        <w:tc>
          <w:tcPr>
            <w:tcW w:type="dxa" w:w="37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2 July 2026</w:t>
            </w:r>
          </w:p>
        </w:tc>
        <w:tc>
          <w:tcPr>
            <w:tcW w:type="dxa" w:w="21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Final report &amp; debrief</w:t>
            </w:r>
          </w:p>
        </w:tc>
        <w:tc>
          <w:tcPr>
            <w:tcW w:type="dxa" w:w="3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9 July 2026</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w:t>
            </w:r>
          </w:p>
        </w:tc>
      </w:tr>
      <w:tr>
        <w:tc>
          <w:tcPr>
            <w:tcW w:type="dxa" w:w="35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Remediation re-test</w:t>
            </w:r>
          </w:p>
        </w:tc>
        <w:tc>
          <w:tcPr>
            <w:tcW w:type="dxa" w:w="37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By 23 Aug 2026</w:t>
            </w:r>
          </w:p>
        </w:tc>
        <w:tc>
          <w:tcPr>
            <w:tcW w:type="dxa" w:w="21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2 days</w:t>
            </w:r>
          </w:p>
        </w:tc>
      </w:tr>
    </w:tbl>
    <w:p>
      <w:pPr>
        <w:spacing w:after="120" w:line="264"/>
      </w:pPr>
      <w:r>
        <w:rPr>
          <w:b/>
          <w:bCs/>
        </w:rPr>
        <w:t xml:space="preserve">Fees. </w:t>
      </w:r>
      <w:r>
        <w:t xml:space="preserve">Fixed fee of US $48,500, inclusive of re-testing. Invoiced 50% on execution and 50% on FINAL report delivery; net-30. Out-of-scope work requires a signed change order. Travel, if any, billed at cost with prior approval.</w:t>
      </w:r>
    </w:p>
    <w:p>
      <w:pPr>
        <w:pStyle w:val="Heading1"/>
      </w:pPr>
      <w:r>
        <w:t xml:space="preserve">8. Confidentiality and Data Protection</w:t>
      </w:r>
    </w:p>
    <w:p>
      <w:pPr>
        <w:spacing w:after="120" w:line="264"/>
      </w:pPr>
      <w:r>
        <w:t xml:space="preserve">This engagement is subject to the bilateral Non-Disclosure Agreement executed by the Parties on 2 June 2026. </w:t>
      </w:r>
      <w:r>
        <w:t xml:space="preserve">All engagement data — scoping information, findings, evidence, and reports — is treated as Client Confidential Information, encrypted in transit (TLS 1.2+) and at rest (AES-256), and accessible only to assigned Sentinel personnel under need-to-know.</w:t>
      </w:r>
    </w:p>
    <w:p>
      <w:pPr>
        <w:spacing w:after="120" w:line="264"/>
      </w:pPr>
      <w:r>
        <w:rPr>
          <w:b/>
          <w:bCs/>
        </w:rPr>
        <w:t xml:space="preserve">Data retention. </w:t>
      </w:r>
      <w:r>
        <w:t xml:space="preserve">Sentinel will retain engagement artifacts in encrypted storage for ninety (90) days following FINAL report acceptance to support re-testing and queries, after which all Client data and any testing artifacts are securely destroyed and a certificate of destruction issued on request. Any systems used to process Client data are wiped at engagement close.</w:t>
      </w:r>
    </w:p>
    <w:p>
      <w:pPr>
        <w:pStyle w:val="Heading1"/>
      </w:pPr>
      <w:r>
        <w:t xml:space="preserve">9. Liability, Independence, and Acceptance</w:t>
      </w:r>
    </w:p>
    <w:p>
      <w:pPr>
        <w:spacing w:after="120" w:line="264"/>
      </w:pPr>
      <w:r>
        <w:rPr>
          <w:b/>
          <w:bCs/>
        </w:rPr>
        <w:t xml:space="preserve">Independence. </w:t>
      </w:r>
      <w:r>
        <w:t xml:space="preserve">Sentinel acts as an independent third-party assessor and will not implement remediation on the Client’s behalf; it will provide general remediation guidance only, to preserve the integrity of the assessment.</w:t>
      </w:r>
    </w:p>
    <w:p>
      <w:pPr>
        <w:spacing w:after="120" w:line="264"/>
      </w:pPr>
      <w:r>
        <w:rPr>
          <w:b/>
          <w:bCs/>
        </w:rPr>
        <w:t xml:space="preserve">Limitation of liability. </w:t>
      </w:r>
      <w:r>
        <w:t xml:space="preserve">Penetration testing carries inherent risk of service disruption despite reasonable care. Subject to the Master Services Agreement, Sentinel’s aggregate liability is limited to the fees paid under this SOW. A point-in-time test does not guarantee the absence of all vulnerabilities.</w:t>
      </w:r>
    </w:p>
    <w:p>
      <w:pPr>
        <w:spacing w:after="120" w:line="264"/>
      </w:pPr>
      <w:r>
        <w:rPr>
          <w:b/>
          <w:bCs/>
        </w:rPr>
        <w:t xml:space="preserve">Acceptance. </w:t>
      </w:r>
      <w:r>
        <w:t xml:space="preserve">Deliverables are accepted upon Client confirmation following the report review meeting, or fifteen (15) business days after FINAL delivery absent written objection.</w:t>
      </w:r>
    </w:p>
    <w:p>
      <w:pPr>
        <w:spacing w:after="200"/>
      </w:pPr>
      <w:r>
        <w:t xml:space="preserve"/>
      </w:r>
    </w:p>
    <w:p>
      <w:pPr>
        <w:pStyle w:val="Heading1"/>
      </w:pPr>
      <w:r>
        <w:t xml:space="preserve">10. Signatures</w:t>
      </w:r>
    </w:p>
    <w:p>
      <w:pPr>
        <w:spacing w:after="120" w:line="264"/>
      </w:pPr>
      <w:r>
        <w:t xml:space="preserve">Agreed and accepted by the authorized representatives of the Parties: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right w:type="dxa" w:w="240"/>
            </w:tcMar>
          </w:tcPr>
          <w:p>
            <w:pPr>
              <w:spacing w:after="0"/>
            </w:pPr>
            <w:r>
              <w:rPr>
                <w:b/>
                <w:bCs/>
                <w:sz w:val="20"/>
                <w:szCs w:val="20"/>
              </w:rPr>
              <w:t xml:space="preserve">For Northwind Retail, Inc.</w:t>
            </w:r>
          </w:p>
          <w:p>
            <w:pPr>
              <w:pBdr>
                <w:bottom w:val="single" w:color="333333" w:sz="4" w:space="1"/>
              </w:pBdr>
              <w:spacing w:after="0" w:before="520"/>
            </w:pPr>
            <w:r>
              <w:t xml:space="preserve"/>
            </w:r>
          </w:p>
          <w:p>
            <w:pPr>
              <w:spacing w:after="0"/>
            </w:pPr>
            <w:r>
              <w:rPr>
                <w:sz w:val="18"/>
                <w:szCs w:val="18"/>
              </w:rPr>
              <w:t xml:space="preserve">J. Reyes, Chief Information Security Officer</w:t>
            </w:r>
          </w:p>
          <w:p>
            <w:pPr>
              <w:pBdr>
                <w:bottom w:val="single" w:color="333333" w:sz="4" w:space="1"/>
              </w:pBdr>
              <w:spacing w:after="0" w:before="360"/>
            </w:pPr>
            <w:r>
              <w:t xml:space="preserve"/>
            </w:r>
          </w:p>
          <w:p>
            <w:pPr>
              <w:spacing w:after="0"/>
            </w:pPr>
            <w:r>
              <w:rPr>
                <w:color w:val="888888"/>
                <w:sz w:val="16"/>
                <w:szCs w:val="16"/>
              </w:rPr>
              <w:t xml:space="preserve">Signature / Date</w:t>
            </w:r>
          </w:p>
        </w:tc>
        <w:tc>
          <w:tcPr>
            <w:tcW w:type="dxa" w:w="4680"/>
            <w:tcBorders>
              <w:top w:val="none"/>
              <w:left w:val="none"/>
              <w:bottom w:val="none"/>
              <w:right w:val="none"/>
            </w:tcBorders>
            <w:tcMar>
              <w:left w:type="dxa" w:w="240"/>
            </w:tcMar>
          </w:tcPr>
          <w:p>
            <w:pPr>
              <w:spacing w:after="0"/>
            </w:pPr>
            <w:r>
              <w:rPr>
                <w:b/>
                <w:bCs/>
                <w:sz w:val="20"/>
                <w:szCs w:val="20"/>
              </w:rPr>
              <w:t xml:space="preserve">For Sentinel Offensive Security LLC</w:t>
            </w:r>
          </w:p>
          <w:p>
            <w:pPr>
              <w:pBdr>
                <w:bottom w:val="single" w:color="333333" w:sz="4" w:space="1"/>
              </w:pBdr>
              <w:spacing w:after="0" w:before="520"/>
            </w:pPr>
            <w:r>
              <w:t xml:space="preserve"/>
            </w:r>
          </w:p>
          <w:p>
            <w:pPr>
              <w:spacing w:after="0"/>
            </w:pPr>
            <w:r>
              <w:rPr>
                <w:sz w:val="18"/>
                <w:szCs w:val="18"/>
              </w:rPr>
              <w:t xml:space="preserve">M. Okafor, Director of Delivery</w:t>
            </w:r>
          </w:p>
          <w:p>
            <w:pPr>
              <w:pBdr>
                <w:bottom w:val="single" w:color="333333" w:sz="4" w:space="1"/>
              </w:pBdr>
              <w:spacing w:after="0" w:before="360"/>
            </w:pPr>
            <w:r>
              <w:t xml:space="preserve"/>
            </w:r>
          </w:p>
          <w:p>
            <w:pPr>
              <w:spacing w:after="0"/>
            </w:pPr>
            <w:r>
              <w:rPr>
                <w:color w:val="888888"/>
                <w:sz w:val="16"/>
                <w:szCs w:val="16"/>
              </w:rPr>
              <w:t xml:space="preserve">Signature / Date</w:t>
            </w:r>
          </w:p>
        </w:tc>
      </w:tr>
    </w:tbl>
    <w:p>
      <w:pPr>
        <w:spacing w:after="240"/>
      </w:pPr>
      <w:r>
        <w:t xml:space="preserve"/>
      </w:r>
    </w:p>
    <w:p>
      <w:pPr>
        <w:spacing w:after="120" w:line="264"/>
      </w:pPr>
      <w:r>
        <w:rPr>
          <w:b/>
          <w:bCs/>
        </w:rPr>
        <w:t xml:space="preserve">Annex A </w:t>
      </w:r>
      <w:r>
        <w:t xml:space="preserve">— Authorization-to-Test Letter (source IPs, testing window, named testers). </w:t>
      </w:r>
      <w:r>
        <w:rPr>
          <w:b/>
          <w:bCs/>
        </w:rPr>
        <w:t xml:space="preserve">Annex B </w:t>
      </w:r>
      <w:r>
        <w:t xml:space="preserve">— Named phishing-target list (provided under separate cover). </w:t>
      </w:r>
      <w:r>
        <w:rPr>
          <w:b/>
          <w:bCs/>
        </w:rPr>
        <w:t xml:space="preserve">Annex C </w:t>
      </w:r>
      <w:r>
        <w:t xml:space="preserve">— Master Services Agreement (incorporated by 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pPr>
    <w:r>
      <w:rPr>
        <w:color w:val="888888"/>
        <w:sz w:val="15"/>
        <w:szCs w:val="15"/>
      </w:rPr>
      <w:t xml:space="preserve">CONFIDENTIAL — Do Not Distribute</w:t>
    </w:r>
    <w:r>
      <w:rPr>
        <w:color w:val="888888"/>
        <w:sz w:val="15"/>
        <w:szCs w:val="15"/>
      </w:rPr>
      <w:t xml:space="preserve">	Page </w:t>
    </w:r>
    <w:r>
      <w:rPr>
        <w:color w:val="888888"/>
        <w:sz w:val="15"/>
        <w:szCs w:val="15"/>
      </w:rPr>
      <w:fldChar w:fldCharType="begin"/>
      <w:instrText xml:space="preserve">PAGE</w:instrText>
      <w:fldChar w:fldCharType="separate"/>
      <w:fldChar w:fldCharType="end"/>
    </w:r>
    <w:r>
      <w:rPr>
        <w:color w:val="888888"/>
        <w:sz w:val="15"/>
        <w:szCs w:val="15"/>
      </w:rPr>
      <w:t xml:space="preserve"> of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tabs>
        <w:tab w:val="right" w:pos="9360"/>
      </w:tabs>
      <w:spacing w:after="60"/>
    </w:pPr>
    <w:r>
      <w:rPr>
        <w:b/>
        <w:bCs/>
        <w:color w:val="1F4E79"/>
        <w:sz w:val="16"/>
        <w:szCs w:val="16"/>
      </w:rPr>
      <w:t xml:space="preserve">Sentinel Offensive Security</w:t>
    </w:r>
    <w:r>
      <w:rPr>
        <w:b/>
        <w:bCs/>
        <w:color w:val="C0000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22222"/>
      <w:sz w:val="25"/>
      <w:szCs w:val="25"/>
    </w:rPr>
  </w:style>
  <w:style w:type="paragraph" w:styleId="Heading3">
    <w:name w:val="Heading 3"/>
    <w:basedOn w:val="Normal"/>
    <w:next w:val="Normal"/>
    <w:qFormat/>
    <w:pPr>
      <w:spacing w:after="80" w:before="18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2026-06-13T15:28:11.912Z</dcterms:created>
  <dcterms:modified xsi:type="dcterms:W3CDTF">2026-06-13T15:28:11.913Z</dcterms:modified>
</cp:coreProperties>
</file>

<file path=docProps/custom.xml><?xml version="1.0" encoding="utf-8"?>
<Properties xmlns="http://schemas.openxmlformats.org/officeDocument/2006/custom-properties" xmlns:vt="http://schemas.openxmlformats.org/officeDocument/2006/docPropsVTypes"/>
</file>