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b/>
          <w:bCs/>
          <w:color w:val="1F4E79"/>
          <w:sz w:val="40"/>
          <w:szCs w:val="40"/>
        </w:rPr>
        <w:t xml:space="preserve">SENTINEL OFFENSIVE SECURITY LLC</w:t>
      </w:r>
    </w:p>
    <w:p>
      <w:pPr>
        <w:spacing w:after="600"/>
      </w:pPr>
      <w:r>
        <w:rPr>
          <w:color w:val="666666"/>
          <w:sz w:val="20"/>
          <w:szCs w:val="20"/>
        </w:rPr>
        <w:t xml:space="preserve">Offensive Security · Adversary Simulation · Assurance</w:t>
      </w:r>
    </w:p>
    <w:p>
      <w:pPr>
        <w:pBdr>
          <w:bottom w:val="single" w:color="1F4E79" w:sz="8" w:space="1"/>
        </w:pBdr>
        <w:spacing w:after="160"/>
      </w:pPr>
      <w:r>
        <w:t xml:space="preserve"/>
      </w:r>
    </w:p>
    <w:p>
      <w:pPr>
        <w:spacing w:after="40" w:before="600"/>
      </w:pPr>
      <w:r>
        <w:rPr>
          <w:b/>
          <w:bCs/>
          <w:color w:val="666666"/>
          <w:sz w:val="22"/>
          <w:szCs w:val="22"/>
        </w:rPr>
        <w:t xml:space="preserve">PENETRATION TEST REPORT</w:t>
      </w:r>
    </w:p>
    <w:p>
      <w:pPr>
        <w:spacing w:after="600"/>
      </w:pPr>
      <w:r>
        <w:rPr>
          <w:b/>
          <w:bCs/>
          <w:color w:val="1A1A1A"/>
          <w:sz w:val="48"/>
          <w:szCs w:val="48"/>
        </w:rPr>
        <w:t xml:space="preserve">External Network &amp; Web Application Assessment</w:t>
      </w:r>
    </w:p>
    <w:p>
      <w:pPr>
        <w:pBdr>
          <w:bottom w:val="single" w:color="1F4E79" w:sz="8" w:space="1"/>
        </w:pBdr>
        <w:spacing w:after="160"/>
      </w:pPr>
      <w:r>
        <w:t xml:space="preserve"/>
      </w:r>
    </w:p>
    <w:p>
      <w:pPr>
        <w:spacing w:after="300"/>
      </w:pPr>
      <w:r>
        <w:t xml:space="preserve"/>
      </w:r>
    </w:p>
    <w:p>
      <w:pPr>
        <w:spacing w:after="60"/>
      </w:pPr>
      <w:r>
        <w:rPr>
          <w:b/>
          <w:bCs/>
          <w:sz w:val="20"/>
          <w:szCs w:val="20"/>
        </w:rPr>
        <w:t xml:space="preserve">Client:  </w:t>
      </w:r>
      <w:r>
        <w:rPr>
          <w:sz w:val="20"/>
          <w:szCs w:val="20"/>
        </w:rPr>
        <w:t xml:space="preserve">Northwind Retail, Inc.</w:t>
      </w:r>
    </w:p>
    <w:p>
      <w:pPr>
        <w:spacing w:after="60"/>
      </w:pPr>
      <w:r>
        <w:rPr>
          <w:b/>
          <w:bCs/>
          <w:sz w:val="20"/>
          <w:szCs w:val="20"/>
        </w:rPr>
        <w:t xml:space="preserve">Engagement Ref:  </w:t>
      </w:r>
      <w:r>
        <w:rPr>
          <w:sz w:val="20"/>
          <w:szCs w:val="20"/>
        </w:rPr>
        <w:t xml:space="preserve">SOS-2026-0417</w:t>
      </w:r>
    </w:p>
    <w:p>
      <w:pPr>
        <w:spacing w:after="60"/>
      </w:pPr>
      <w:r>
        <w:rPr>
          <w:b/>
          <w:bCs/>
          <w:sz w:val="20"/>
          <w:szCs w:val="20"/>
        </w:rPr>
        <w:t xml:space="preserve">Assessment Window:  </w:t>
      </w:r>
      <w:r>
        <w:rPr>
          <w:sz w:val="20"/>
          <w:szCs w:val="20"/>
        </w:rPr>
        <w:t xml:space="preserve">15–26 June 2026</w:t>
      </w:r>
    </w:p>
    <w:p>
      <w:pPr>
        <w:spacing w:after="60"/>
      </w:pPr>
      <w:r>
        <w:rPr>
          <w:b/>
          <w:bCs/>
          <w:sz w:val="20"/>
          <w:szCs w:val="20"/>
        </w:rPr>
        <w:t xml:space="preserve">Report Version:  </w:t>
      </w:r>
      <w:r>
        <w:rPr>
          <w:sz w:val="20"/>
          <w:szCs w:val="20"/>
        </w:rPr>
        <w:t xml:space="preserve">1.0 — DRAFT</w:t>
      </w:r>
    </w:p>
    <w:p>
      <w:pPr>
        <w:spacing w:after="60"/>
      </w:pPr>
      <w:r>
        <w:rPr>
          <w:b/>
          <w:bCs/>
          <w:sz w:val="20"/>
          <w:szCs w:val="20"/>
        </w:rPr>
        <w:t xml:space="preserve">Report Date:  </w:t>
      </w:r>
      <w:r>
        <w:rPr>
          <w:sz w:val="20"/>
          <w:szCs w:val="20"/>
        </w:rPr>
        <w:t xml:space="preserve">2 July 2026</w:t>
      </w:r>
    </w:p>
    <w:p>
      <w:pPr>
        <w:spacing w:after="60"/>
      </w:pPr>
      <w:r>
        <w:rPr>
          <w:b/>
          <w:bCs/>
          <w:sz w:val="20"/>
          <w:szCs w:val="20"/>
        </w:rPr>
        <w:t xml:space="preserve">Lead Tester:  </w:t>
      </w:r>
      <w:r>
        <w:rPr>
          <w:sz w:val="20"/>
          <w:szCs w:val="20"/>
        </w:rPr>
        <w:t xml:space="preserve">A. Volkov, OSCP/OSWE</w:t>
      </w:r>
    </w:p>
    <w:p>
      <w:pPr>
        <w:spacing w:after="60"/>
      </w:pPr>
      <w:r>
        <w:rPr>
          <w:b/>
          <w:bCs/>
          <w:sz w:val="20"/>
          <w:szCs w:val="20"/>
        </w:rPr>
        <w:t xml:space="preserve">QA Reviewer:  </w:t>
      </w:r>
      <w:r>
        <w:rPr>
          <w:sz w:val="20"/>
          <w:szCs w:val="20"/>
        </w:rPr>
        <w:t xml:space="preserve">M. Okafor, Director of Delivery</w:t>
      </w:r>
    </w:p>
    <w:p>
      <w:pPr>
        <w:spacing w:after="500"/>
      </w:pPr>
      <w:r>
        <w:t xml:space="preserve"/>
      </w:r>
    </w:p>
    <w:p>
      <w:pPr>
        <w:pBdr>
          <w:top w:val="single" w:color="1F4E79" w:sz="12" w:space="6"/>
          <w:bottom w:val="single" w:color="1F4E79" w:sz="12" w:space="6"/>
        </w:pBdr>
        <w:spacing w:after="40" w:before="1400"/>
        <w:jc w:val="center"/>
      </w:pPr>
      <w:r>
        <w:rPr>
          <w:b/>
          <w:bCs/>
          <w:color w:val="C00000"/>
          <w:sz w:val="22"/>
          <w:szCs w:val="22"/>
        </w:rPr>
        <w:t xml:space="preserve">CONFIDENTIAL — DRAFT FOR CLIENT REVIEW</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1800"/>
        <w:gridCol w:w="4260"/>
      </w:tblGrid>
      <w:tr>
        <w:trPr>
          <w:tblHeader/>
        </w:trPr>
        <w:tc>
          <w:tcPr>
            <w:tcW w:type="dxa" w:w="14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20"/>
                <w:szCs w:val="20"/>
              </w:rPr>
              <w:t xml:space="preserve">Version</w:t>
            </w:r>
          </w:p>
        </w:tc>
        <w:tc>
          <w:tcPr>
            <w:tcW w:type="dxa" w:w="19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20"/>
                <w:szCs w:val="20"/>
              </w:rPr>
              <w:t xml:space="preserve">Date</w:t>
            </w:r>
          </w:p>
        </w:tc>
        <w:tc>
          <w:tcPr>
            <w:tcW w:type="dxa" w:w="18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20"/>
                <w:szCs w:val="20"/>
              </w:rPr>
              <w:t xml:space="preserve">Status</w:t>
            </w:r>
          </w:p>
        </w:tc>
        <w:tc>
          <w:tcPr>
            <w:tcW w:type="dxa" w:w="42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20"/>
                <w:szCs w:val="20"/>
              </w:rPr>
              <w:t xml:space="preserve">Notes</w:t>
            </w:r>
          </w:p>
        </w:tc>
      </w:tr>
      <w:tr>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0.1</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1 Jul 2026</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Internal QA</w:t>
            </w:r>
          </w:p>
        </w:tc>
        <w:tc>
          <w:tcPr>
            <w:tcW w:type="dxa" w:w="42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Draft prepared for review</w:t>
            </w:r>
          </w:p>
        </w:tc>
      </w:tr>
      <w:tr>
        <w:tc>
          <w:tcPr>
            <w:tcW w:type="dxa" w:w="140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1.0</w:t>
            </w:r>
          </w:p>
        </w:tc>
        <w:tc>
          <w:tcPr>
            <w:tcW w:type="dxa" w:w="190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2 Jul 2026</w:t>
            </w:r>
          </w:p>
        </w:tc>
        <w:tc>
          <w:tcPr>
            <w:tcW w:type="dxa" w:w="180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DRAFT</w:t>
            </w:r>
          </w:p>
        </w:tc>
        <w:tc>
          <w:tcPr>
            <w:tcW w:type="dxa" w:w="426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Issued to client for comment</w:t>
            </w:r>
          </w:p>
        </w:tc>
      </w:tr>
      <w:tr>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2.0</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TBD</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FINAL</w:t>
            </w:r>
          </w:p>
        </w:tc>
        <w:tc>
          <w:tcPr>
            <w:tcW w:type="dxa" w:w="42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To be issued after client feedback</w:t>
            </w:r>
          </w:p>
        </w:tc>
      </w:tr>
    </w:tbl>
    <w:p>
      <w:pPr>
        <w:spacing w:after="120" w:line="264"/>
      </w:pPr>
      <w:r>
        <w:rPr>
          <w:b/>
          <w:bCs/>
        </w:rPr>
        <w:t xml:space="preserve">Confidentiality. </w:t>
      </w:r>
      <w:r>
        <w:t xml:space="preserve">This report contains sensitive security information about Northwind Retail, Inc. and is classified CONFIDENTIAL. It is intended solely for authorized recipients. Unauthorized disclosure may expose the organization to significant risk.</w:t>
      </w:r>
    </w:p>
    <w:p>
      <w:pPr>
        <w:pStyle w:val="Heading1"/>
      </w:pPr>
      <w:r>
        <w:t xml:space="preserve">1. Executive Summary</w:t>
      </w:r>
    </w:p>
    <w:p>
      <w:pPr>
        <w:spacing w:after="120" w:line="264"/>
      </w:pPr>
      <w:r>
        <w:t xml:space="preserve">Sentinel Offensive Security LLC was engaged to perform a grey-box external network and web application penetration test of Northwind Retail’s internet-facing environment between 15 and 26 June 2026. The objective was to identify and safely demonstrate vulnerabilities that a remote attacker could exploit, and to provide prioritized remediation guidance.</w:t>
      </w:r>
    </w:p>
    <w:p>
      <w:pPr>
        <w:spacing w:after="120" w:line="264"/>
      </w:pPr>
      <w:r>
        <w:rPr>
          <w:b/>
          <w:bCs/>
        </w:rPr>
        <w:t xml:space="preserve">Overall risk: </w:t>
      </w:r>
      <w:r>
        <w:rPr>
          <w:b/>
          <w:bCs/>
          <w:color w:val="E8590C"/>
        </w:rPr>
        <w:t xml:space="preserve">HIGH. </w:t>
      </w:r>
      <w:r>
        <w:t xml:space="preserve">The assessment identified a chain of weaknesses that allowed Sentinel to move from an unauthenticated position on the internet to administrative access over the e-commerce application and read access to a customer database containing personal data. Two issues are individually rated Critical/High and are directly exploitable without authentication.</w:t>
      </w:r>
    </w:p>
    <w:p>
      <w:pPr>
        <w:spacing w:after="120" w:line="264"/>
      </w:pPr>
      <w:r>
        <w:t xml:space="preserve">The most serious issue was an unauthenticated SQL injection vulnerability in the customer API, which permitted extraction of application data including password hashes. Combined with weak password storage and an exposed administrative interface, this allowed full compromise of the application. Detection was limited: Sentinel’s activity generated alerts only during the noisiest phase, suggesting gaps in monitoring of the web tier.</w:t>
      </w:r>
    </w:p>
    <w:p>
      <w:pPr>
        <w:pStyle w:val="Heading2"/>
      </w:pPr>
      <w:r>
        <w:t xml:space="preserve">Key Findings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20"/>
                <w:szCs w:val="20"/>
              </w:rPr>
              <w:t xml:space="preserve">Severity</w:t>
            </w:r>
          </w:p>
        </w:tc>
        <w:tc>
          <w:tcPr>
            <w:tcW w:type="dxa" w:w="67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20"/>
                <w:szCs w:val="20"/>
              </w:rPr>
              <w:t xml:space="preserve">Count</w:t>
            </w:r>
          </w:p>
        </w:tc>
      </w:tr>
      <w:tr>
        <w:tc>
          <w:tcPr>
            <w:tcW w:type="dxa" w:w="2600"/>
            <w:tcBorders>
              <w:top w:val="single" w:color="BBBBBB" w:sz="1"/>
              <w:left w:val="single" w:color="BBBBBB" w:sz="1"/>
              <w:bottom w:val="single" w:color="BBBBBB" w:sz="1"/>
              <w:right w:val="single" w:color="BBBBBB" w:sz="1"/>
            </w:tcBorders>
            <w:shd w:fill="C00000" w:val="clear"/>
            <w:tcMar>
              <w:top w:type="dxa" w:w="60"/>
              <w:left w:type="dxa" w:w="110"/>
              <w:bottom w:type="dxa" w:w="60"/>
              <w:right w:type="dxa" w:w="110"/>
            </w:tcMar>
            <w:vAlign w:val="center"/>
          </w:tcPr>
          <w:p>
            <w:pPr>
              <w:spacing w:after="0" w:line="252"/>
            </w:pPr>
            <w:r>
              <w:rPr>
                <w:b/>
                <w:bCs/>
                <w:color w:val="FFFFFF"/>
                <w:sz w:val="20"/>
                <w:szCs w:val="20"/>
              </w:rPr>
              <w:t xml:space="preserve">Critical</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1</w:t>
            </w:r>
          </w:p>
        </w:tc>
      </w:tr>
      <w:tr>
        <w:tc>
          <w:tcPr>
            <w:tcW w:type="dxa" w:w="2600"/>
            <w:tcBorders>
              <w:top w:val="single" w:color="BBBBBB" w:sz="1"/>
              <w:left w:val="single" w:color="BBBBBB" w:sz="1"/>
              <w:bottom w:val="single" w:color="BBBBBB" w:sz="1"/>
              <w:right w:val="single" w:color="BBBBBB" w:sz="1"/>
            </w:tcBorders>
            <w:shd w:fill="E8590C" w:val="clear"/>
            <w:tcMar>
              <w:top w:type="dxa" w:w="60"/>
              <w:left w:type="dxa" w:w="110"/>
              <w:bottom w:type="dxa" w:w="60"/>
              <w:right w:type="dxa" w:w="110"/>
            </w:tcMar>
            <w:vAlign w:val="center"/>
          </w:tcPr>
          <w:p>
            <w:pPr>
              <w:spacing w:after="0" w:line="252"/>
            </w:pPr>
            <w:r>
              <w:rPr>
                <w:b/>
                <w:bCs/>
                <w:color w:val="FFFFFF"/>
                <w:sz w:val="20"/>
                <w:szCs w:val="20"/>
              </w:rPr>
              <w:t xml:space="preserve">High</w:t>
            </w:r>
          </w:p>
        </w:tc>
        <w:tc>
          <w:tcPr>
            <w:tcW w:type="dxa" w:w="676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2</w:t>
            </w:r>
          </w:p>
        </w:tc>
      </w:tr>
      <w:tr>
        <w:tc>
          <w:tcPr>
            <w:tcW w:type="dxa" w:w="2600"/>
            <w:tcBorders>
              <w:top w:val="single" w:color="BBBBBB" w:sz="1"/>
              <w:left w:val="single" w:color="BBBBBB" w:sz="1"/>
              <w:bottom w:val="single" w:color="BBBBBB" w:sz="1"/>
              <w:right w:val="single" w:color="BBBBBB" w:sz="1"/>
            </w:tcBorders>
            <w:shd w:fill="F08C00" w:val="clear"/>
            <w:tcMar>
              <w:top w:type="dxa" w:w="60"/>
              <w:left w:type="dxa" w:w="110"/>
              <w:bottom w:type="dxa" w:w="60"/>
              <w:right w:type="dxa" w:w="110"/>
            </w:tcMar>
            <w:vAlign w:val="center"/>
          </w:tcPr>
          <w:p>
            <w:pPr>
              <w:spacing w:after="0" w:line="252"/>
            </w:pPr>
            <w:r>
              <w:rPr>
                <w:b/>
                <w:bCs/>
                <w:color w:val="FFFFFF"/>
                <w:sz w:val="20"/>
                <w:szCs w:val="20"/>
              </w:rPr>
              <w:t xml:space="preserve">Medium</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3</w:t>
            </w:r>
          </w:p>
        </w:tc>
      </w:tr>
      <w:tr>
        <w:tc>
          <w:tcPr>
            <w:tcW w:type="dxa" w:w="2600"/>
            <w:tcBorders>
              <w:top w:val="single" w:color="BBBBBB" w:sz="1"/>
              <w:left w:val="single" w:color="BBBBBB" w:sz="1"/>
              <w:bottom w:val="single" w:color="BBBBBB" w:sz="1"/>
              <w:right w:val="single" w:color="BBBBBB" w:sz="1"/>
            </w:tcBorders>
            <w:shd w:fill="2F9E44" w:val="clear"/>
            <w:tcMar>
              <w:top w:type="dxa" w:w="60"/>
              <w:left w:type="dxa" w:w="110"/>
              <w:bottom w:type="dxa" w:w="60"/>
              <w:right w:type="dxa" w:w="110"/>
            </w:tcMar>
            <w:vAlign w:val="center"/>
          </w:tcPr>
          <w:p>
            <w:pPr>
              <w:spacing w:after="0" w:line="252"/>
            </w:pPr>
            <w:r>
              <w:rPr>
                <w:b/>
                <w:bCs/>
                <w:color w:val="FFFFFF"/>
                <w:sz w:val="20"/>
                <w:szCs w:val="20"/>
              </w:rPr>
              <w:t xml:space="preserve">Low</w:t>
            </w:r>
          </w:p>
        </w:tc>
        <w:tc>
          <w:tcPr>
            <w:tcW w:type="dxa" w:w="676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2</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b/>
                <w:bCs/>
                <w:color w:val="FFFFFF"/>
                <w:sz w:val="20"/>
                <w:szCs w:val="20"/>
              </w:rPr>
              <w:t xml:space="preserve">Informational</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2</w:t>
            </w:r>
          </w:p>
        </w:tc>
      </w:tr>
    </w:tbl>
    <w:p>
      <w:pPr>
        <w:pStyle w:val="Heading2"/>
      </w:pPr>
      <w:r>
        <w:t xml:space="preserve">Strategic Recommendations</w:t>
      </w:r>
    </w:p>
    <w:p>
      <w:pPr>
        <w:pStyle w:val="ListParagraph"/>
        <w:numPr>
          <w:ilvl w:val="0"/>
          <w:numId w:val="2"/>
        </w:numPr>
        <w:spacing w:after="60" w:line="260"/>
      </w:pPr>
      <w:r>
        <w:t xml:space="preserve">Remediate the Critical SQL injection (NWR-01) immediately and rotate all application secrets and user credentials potentially exposed.</w:t>
      </w:r>
    </w:p>
    <w:p>
      <w:pPr>
        <w:pStyle w:val="ListParagraph"/>
        <w:numPr>
          <w:ilvl w:val="0"/>
          <w:numId w:val="2"/>
        </w:numPr>
        <w:spacing w:after="60" w:line="260"/>
      </w:pPr>
      <w:r>
        <w:t xml:space="preserve">Adopt parameterized queries and a secure SDLC with pre-deployment SAST/DAST for the application portfolio.</w:t>
      </w:r>
    </w:p>
    <w:p>
      <w:pPr>
        <w:pStyle w:val="ListParagraph"/>
        <w:numPr>
          <w:ilvl w:val="0"/>
          <w:numId w:val="2"/>
        </w:numPr>
        <w:spacing w:after="60" w:line="260"/>
      </w:pPr>
      <w:r>
        <w:t xml:space="preserve">Strengthen credential storage (bcrypt/Argon2) and enforce MFA on all administrative interfaces.</w:t>
      </w:r>
    </w:p>
    <w:p>
      <w:pPr>
        <w:pStyle w:val="ListParagraph"/>
        <w:numPr>
          <w:ilvl w:val="0"/>
          <w:numId w:val="2"/>
        </w:numPr>
        <w:spacing w:after="60" w:line="260"/>
      </w:pPr>
      <w:r>
        <w:t xml:space="preserve">Improve web-tier detection: deploy a WAF in blocking mode and forward application and WAF logs to the SIEM with tuned alerts.</w:t>
      </w:r>
    </w:p>
    <w:p>
      <w:r>
        <w:br w:type="page"/>
      </w:r>
    </w:p>
    <w:p>
      <w:pPr>
        <w:pStyle w:val="Heading1"/>
      </w:pPr>
      <w:r>
        <w:t xml:space="preserve">2. Scope and Methodology</w:t>
      </w:r>
    </w:p>
    <w:p>
      <w:pPr>
        <w:spacing w:after="120" w:line="264"/>
      </w:pPr>
      <w:r>
        <w:rPr>
          <w:b/>
          <w:bCs/>
        </w:rPr>
        <w:t xml:space="preserve">In-scope assets: </w:t>
      </w:r>
      <w:r>
        <w:t xml:space="preserve">203.0.113.0/27 (external perimeter), https://shop.northwind-retail.com (web app), https://api.northwind-retail.com (API). A limited email phishing test against 25 named employees was also authorized.</w:t>
      </w:r>
    </w:p>
    <w:p>
      <w:pPr>
        <w:spacing w:after="120" w:line="264"/>
      </w:pPr>
      <w:r>
        <w:rPr>
          <w:b/>
          <w:bCs/>
        </w:rPr>
        <w:t xml:space="preserve">Approach: </w:t>
      </w:r>
      <w:r>
        <w:t xml:space="preserve">Grey box, hybrid-evasive. Testing was conducted from 198.51.100.10–11 during the agreed window, following PTES and the OWASP WSTG. Findings are rated with CVSS v3.1 and mapped to MITRE ATT&amp;CK. No destructive testing or real customer-data exfiltration was performed.</w:t>
      </w:r>
    </w:p>
    <w:p>
      <w:pPr>
        <w:spacing w:after="120" w:line="264"/>
      </w:pPr>
      <w:r>
        <w:rPr>
          <w:b/>
          <w:bCs/>
        </w:rPr>
        <w:t xml:space="preserve">Phases: </w:t>
      </w:r>
      <w:r>
        <w:t xml:space="preserve">Reconnaissance → enumeration &amp; vulnerability mapping → exploitation → post-exploitation → reporting. Each confirmed finding includes a reproducible proof of concept.</w:t>
      </w:r>
    </w:p>
    <w:p>
      <w:pPr>
        <w:pStyle w:val="Heading1"/>
      </w:pPr>
      <w:r>
        <w:t xml:space="preserve">3. 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060"/>
        <w:gridCol w:w="1700"/>
        <w:gridCol w:w="1000"/>
        <w:gridCol w:w="1500"/>
      </w:tblGrid>
      <w:tr>
        <w:trPr>
          <w:tblHeader/>
        </w:trPr>
        <w:tc>
          <w:tcPr>
            <w:tcW w:type="dxa" w:w="11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20"/>
                <w:szCs w:val="20"/>
              </w:rPr>
              <w:t xml:space="preserve">ID</w:t>
            </w:r>
          </w:p>
        </w:tc>
        <w:tc>
          <w:tcPr>
            <w:tcW w:type="dxa" w:w="40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20"/>
                <w:szCs w:val="20"/>
              </w:rPr>
              <w:t xml:space="preserve">Finding</w:t>
            </w:r>
          </w:p>
        </w:tc>
        <w:tc>
          <w:tcPr>
            <w:tcW w:type="dxa" w:w="17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20"/>
                <w:szCs w:val="20"/>
              </w:rPr>
              <w:t xml:space="preserve">Severity</w:t>
            </w:r>
          </w:p>
        </w:tc>
        <w:tc>
          <w:tcPr>
            <w:tcW w:type="dxa" w:w="10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20"/>
                <w:szCs w:val="20"/>
              </w:rPr>
              <w:t xml:space="preserve">CVSS</w:t>
            </w:r>
          </w:p>
        </w:tc>
        <w:tc>
          <w:tcPr>
            <w:tcW w:type="dxa" w:w="15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20"/>
                <w:szCs w:val="20"/>
              </w:rPr>
              <w:t xml:space="preserve">Status</w:t>
            </w:r>
          </w:p>
        </w:tc>
      </w:tr>
      <w:tr>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NWR-01</w:t>
            </w:r>
          </w:p>
        </w:tc>
        <w:tc>
          <w:tcPr>
            <w:tcW w:type="dxa" w:w="40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Unauthenticated SQL injection in customer API</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bCs/>
                <w:color w:val="C00000"/>
                <w:sz w:val="20"/>
                <w:szCs w:val="20"/>
              </w:rPr>
              <w:t xml:space="preserve">Critical</w:t>
            </w:r>
          </w:p>
        </w:tc>
        <w:tc>
          <w:tcPr>
            <w:tcW w:type="dxa" w:w="1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9.8</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Open</w:t>
            </w:r>
          </w:p>
        </w:tc>
      </w:tr>
      <w:tr>
        <w:tc>
          <w:tcPr>
            <w:tcW w:type="dxa" w:w="110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NWR-02</w:t>
            </w:r>
          </w:p>
        </w:tc>
        <w:tc>
          <w:tcPr>
            <w:tcW w:type="dxa" w:w="406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Exposed admin console without MFA</w:t>
            </w:r>
          </w:p>
        </w:tc>
        <w:tc>
          <w:tcPr>
            <w:tcW w:type="dxa" w:w="170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jc w:val="center"/>
            </w:pPr>
            <w:r>
              <w:rPr>
                <w:b/>
                <w:bCs/>
                <w:color w:val="E8590C"/>
                <w:sz w:val="20"/>
                <w:szCs w:val="20"/>
              </w:rPr>
              <w:t xml:space="preserve">High</w:t>
            </w:r>
          </w:p>
        </w:tc>
        <w:tc>
          <w:tcPr>
            <w:tcW w:type="dxa" w:w="100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8.1</w:t>
            </w:r>
          </w:p>
        </w:tc>
        <w:tc>
          <w:tcPr>
            <w:tcW w:type="dxa" w:w="150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Open</w:t>
            </w:r>
          </w:p>
        </w:tc>
      </w:tr>
      <w:tr>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NWR-03</w:t>
            </w:r>
          </w:p>
        </w:tc>
        <w:tc>
          <w:tcPr>
            <w:tcW w:type="dxa" w:w="40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Weak password hashing (unsalted MD5)</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bCs/>
                <w:color w:val="E8590C"/>
                <w:sz w:val="20"/>
                <w:szCs w:val="20"/>
              </w:rPr>
              <w:t xml:space="preserve">High</w:t>
            </w:r>
          </w:p>
        </w:tc>
        <w:tc>
          <w:tcPr>
            <w:tcW w:type="dxa" w:w="1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7.5</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Open</w:t>
            </w:r>
          </w:p>
        </w:tc>
      </w:tr>
      <w:tr>
        <w:tc>
          <w:tcPr>
            <w:tcW w:type="dxa" w:w="110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NWR-04</w:t>
            </w:r>
          </w:p>
        </w:tc>
        <w:tc>
          <w:tcPr>
            <w:tcW w:type="dxa" w:w="406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Stored XSS in product reviews</w:t>
            </w:r>
          </w:p>
        </w:tc>
        <w:tc>
          <w:tcPr>
            <w:tcW w:type="dxa" w:w="170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jc w:val="center"/>
            </w:pPr>
            <w:r>
              <w:rPr>
                <w:b/>
                <w:bCs/>
                <w:color w:val="F08C00"/>
                <w:sz w:val="20"/>
                <w:szCs w:val="20"/>
              </w:rPr>
              <w:t xml:space="preserve">Medium</w:t>
            </w:r>
          </w:p>
        </w:tc>
        <w:tc>
          <w:tcPr>
            <w:tcW w:type="dxa" w:w="100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6.1</w:t>
            </w:r>
          </w:p>
        </w:tc>
        <w:tc>
          <w:tcPr>
            <w:tcW w:type="dxa" w:w="150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Open</w:t>
            </w:r>
          </w:p>
        </w:tc>
      </w:tr>
      <w:tr>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NWR-05</w:t>
            </w:r>
          </w:p>
        </w:tc>
        <w:tc>
          <w:tcPr>
            <w:tcW w:type="dxa" w:w="40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Missing security headers / TLS config</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bCs/>
                <w:color w:val="F08C00"/>
                <w:sz w:val="20"/>
                <w:szCs w:val="20"/>
              </w:rPr>
              <w:t xml:space="preserve">Medium</w:t>
            </w:r>
          </w:p>
        </w:tc>
        <w:tc>
          <w:tcPr>
            <w:tcW w:type="dxa" w:w="1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5.3</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Open</w:t>
            </w:r>
          </w:p>
        </w:tc>
      </w:tr>
      <w:tr>
        <w:tc>
          <w:tcPr>
            <w:tcW w:type="dxa" w:w="110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NWR-06</w:t>
            </w:r>
          </w:p>
        </w:tc>
        <w:tc>
          <w:tcPr>
            <w:tcW w:type="dxa" w:w="406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Verbose error messages / stack traces</w:t>
            </w:r>
          </w:p>
        </w:tc>
        <w:tc>
          <w:tcPr>
            <w:tcW w:type="dxa" w:w="170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jc w:val="center"/>
            </w:pPr>
            <w:r>
              <w:rPr>
                <w:b/>
                <w:bCs/>
                <w:color w:val="F08C00"/>
                <w:sz w:val="20"/>
                <w:szCs w:val="20"/>
              </w:rPr>
              <w:t xml:space="preserve">Medium</w:t>
            </w:r>
          </w:p>
        </w:tc>
        <w:tc>
          <w:tcPr>
            <w:tcW w:type="dxa" w:w="100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5.3</w:t>
            </w:r>
          </w:p>
        </w:tc>
        <w:tc>
          <w:tcPr>
            <w:tcW w:type="dxa" w:w="150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Open</w:t>
            </w:r>
          </w:p>
        </w:tc>
      </w:tr>
      <w:tr>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NWR-07</w:t>
            </w:r>
          </w:p>
        </w:tc>
        <w:tc>
          <w:tcPr>
            <w:tcW w:type="dxa" w:w="40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Username enumeration on login</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bCs/>
                <w:color w:val="2F9E44"/>
                <w:sz w:val="20"/>
                <w:szCs w:val="20"/>
              </w:rPr>
              <w:t xml:space="preserve">Low</w:t>
            </w:r>
          </w:p>
        </w:tc>
        <w:tc>
          <w:tcPr>
            <w:tcW w:type="dxa" w:w="1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3.7</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Open</w:t>
            </w:r>
          </w:p>
        </w:tc>
      </w:tr>
      <w:tr>
        <w:tc>
          <w:tcPr>
            <w:tcW w:type="dxa" w:w="110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NWR-08</w:t>
            </w:r>
          </w:p>
        </w:tc>
        <w:tc>
          <w:tcPr>
            <w:tcW w:type="dxa" w:w="406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Cookies missing HttpOnly/Secure flags</w:t>
            </w:r>
          </w:p>
        </w:tc>
        <w:tc>
          <w:tcPr>
            <w:tcW w:type="dxa" w:w="170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jc w:val="center"/>
            </w:pPr>
            <w:r>
              <w:rPr>
                <w:b/>
                <w:bCs/>
                <w:color w:val="2F9E44"/>
                <w:sz w:val="20"/>
                <w:szCs w:val="20"/>
              </w:rPr>
              <w:t xml:space="preserve">Low</w:t>
            </w:r>
          </w:p>
        </w:tc>
        <w:tc>
          <w:tcPr>
            <w:tcW w:type="dxa" w:w="100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3.1</w:t>
            </w:r>
          </w:p>
        </w:tc>
        <w:tc>
          <w:tcPr>
            <w:tcW w:type="dxa" w:w="150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Open</w:t>
            </w:r>
          </w:p>
        </w:tc>
      </w:tr>
    </w:tbl>
    <w:p>
      <w:r>
        <w:br w:type="page"/>
      </w:r>
    </w:p>
    <w:p>
      <w:pPr>
        <w:pStyle w:val="Heading1"/>
      </w:pPr>
      <w:r>
        <w:t xml:space="preserve">4. Detailed Findings</w:t>
      </w:r>
    </w:p>
    <w:p>
      <w:pPr>
        <w:pStyle w:val="Heading2"/>
      </w:pPr>
      <w:r>
        <w:t xml:space="preserve">NWR-01 — Unauthenticated SQL Injection in Customer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pPr>
            <w:r>
              <w:rPr>
                <w:b/>
                <w:bCs/>
                <w:color w:val="FFFFFF"/>
                <w:sz w:val="19"/>
                <w:szCs w:val="19"/>
              </w:rPr>
              <w:t xml:space="preserve">Severity</w:t>
            </w:r>
          </w:p>
        </w:tc>
        <w:tc>
          <w:tcPr>
            <w:tcW w:type="dxa" w:w="7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bCs/>
                <w:color w:val="C00000"/>
                <w:sz w:val="20"/>
                <w:szCs w:val="20"/>
              </w:rPr>
              <w:t xml:space="preserve">Critical</w:t>
            </w:r>
          </w:p>
        </w:tc>
      </w:tr>
      <w:tr>
        <w:tc>
          <w:tcPr>
            <w:tcW w:type="dxa" w:w="19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pPr>
            <w:r>
              <w:rPr>
                <w:b/>
                <w:bCs/>
                <w:color w:val="FFFFFF"/>
                <w:sz w:val="19"/>
                <w:szCs w:val="19"/>
              </w:rPr>
              <w:t xml:space="preserve">CVSS v3.1</w:t>
            </w:r>
          </w:p>
        </w:tc>
        <w:tc>
          <w:tcPr>
            <w:tcW w:type="dxa" w:w="7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sz w:val="19"/>
                <w:szCs w:val="19"/>
              </w:rPr>
              <w:t xml:space="preserve">9.8 (CVSS:3.1/AV:N/AC:L/PR:N/UI:N/S:U/C:H/I:H/A:H)</w:t>
            </w:r>
          </w:p>
        </w:tc>
      </w:tr>
      <w:tr>
        <w:tc>
          <w:tcPr>
            <w:tcW w:type="dxa" w:w="19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pPr>
            <w:r>
              <w:rPr>
                <w:b/>
                <w:bCs/>
                <w:color w:val="FFFFFF"/>
                <w:sz w:val="19"/>
                <w:szCs w:val="19"/>
              </w:rPr>
              <w:t xml:space="preserve">Affected</w:t>
            </w:r>
          </w:p>
        </w:tc>
        <w:tc>
          <w:tcPr>
            <w:tcW w:type="dxa" w:w="7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rFonts w:ascii="Consolas" w:cs="Consolas" w:eastAsia="Consolas" w:hAnsi="Consolas"/>
                <w:sz w:val="19"/>
                <w:szCs w:val="19"/>
              </w:rPr>
              <w:t xml:space="preserve">https://api.northwind-retail.com/v1/orders?id=</w:t>
            </w:r>
          </w:p>
        </w:tc>
      </w:tr>
      <w:tr>
        <w:tc>
          <w:tcPr>
            <w:tcW w:type="dxa" w:w="19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pPr>
            <w:r>
              <w:rPr>
                <w:b/>
                <w:bCs/>
                <w:color w:val="FFFFFF"/>
                <w:sz w:val="19"/>
                <w:szCs w:val="19"/>
              </w:rPr>
              <w:t xml:space="preserve">ATT&amp;CK</w:t>
            </w:r>
          </w:p>
        </w:tc>
        <w:tc>
          <w:tcPr>
            <w:tcW w:type="dxa" w:w="7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sz w:val="19"/>
                <w:szCs w:val="19"/>
              </w:rPr>
              <w:t xml:space="preserve">T1190 — Exploit Public-Facing Application</w:t>
            </w:r>
          </w:p>
        </w:tc>
      </w:tr>
    </w:tbl>
    <w:p>
      <w:pPr>
        <w:spacing w:after="80"/>
      </w:pPr>
      <w:r>
        <w:t xml:space="preserve"/>
      </w:r>
    </w:p>
    <w:p>
      <w:pPr>
        <w:pStyle w:val="Heading3"/>
      </w:pPr>
      <w:r>
        <w:t xml:space="preserve">Description</w:t>
      </w:r>
    </w:p>
    <w:p>
      <w:pPr>
        <w:spacing w:after="120" w:line="264"/>
      </w:pPr>
      <w:r>
        <w:t xml:space="preserve">The id parameter of the orders endpoint is concatenated directly into a SQL query without parameterization. A time-based and UNION-based injection was confirmed, allowing arbitrary read access to the application database, including the users table.</w:t>
      </w:r>
    </w:p>
    <w:p>
      <w:pPr>
        <w:pStyle w:val="Heading3"/>
      </w:pPr>
      <w:r>
        <w:t xml:space="preserve">Proof of Concept</w:t>
      </w:r>
    </w:p>
    <w:p>
      <w:pPr>
        <w:shd w:fill="F4F6F8" w:val="clear"/>
        <w:spacing w:after="40"/>
      </w:pPr>
      <w:r>
        <w:rPr>
          <w:rFonts w:ascii="Consolas" w:cs="Consolas" w:eastAsia="Consolas" w:hAnsi="Consolas"/>
          <w:sz w:val="18"/>
          <w:szCs w:val="18"/>
        </w:rPr>
        <w:t xml:space="preserve">GET /v1/orders?id=1 UNION SELECT username,password_hash,email FROM users-- -</w:t>
      </w:r>
    </w:p>
    <w:p>
      <w:pPr>
        <w:shd w:fill="F4F6F8" w:val="clear"/>
        <w:spacing w:after="40"/>
      </w:pPr>
      <w:r>
        <w:rPr>
          <w:rFonts w:ascii="Consolas" w:cs="Consolas" w:eastAsia="Consolas" w:hAnsi="Consolas"/>
          <w:sz w:val="18"/>
          <w:szCs w:val="18"/>
        </w:rPr>
        <w:t xml:space="preserve">Response disclosed 14,302 user records (sampled and immediately discarded; no bulk exfiltration performed).</w:t>
      </w:r>
    </w:p>
    <w:p>
      <w:pPr>
        <w:shd w:fill="F4F6F8" w:val="clear"/>
        <w:spacing w:after="40"/>
      </w:pPr>
      <w:r>
        <w:rPr>
          <w:rFonts w:ascii="Consolas" w:cs="Consolas" w:eastAsia="Consolas" w:hAnsi="Consolas"/>
          <w:sz w:val="18"/>
          <w:szCs w:val="18"/>
        </w:rPr>
        <w:t xml:space="preserve">Tooling: manual confirmation, then sqlmap with --technique=UT for validation.</w:t>
      </w:r>
    </w:p>
    <w:p>
      <w:pPr>
        <w:pStyle w:val="Heading3"/>
      </w:pPr>
      <w:r>
        <w:t xml:space="preserve">Business Impact</w:t>
      </w:r>
    </w:p>
    <w:p>
      <w:pPr>
        <w:spacing w:after="120" w:line="264"/>
      </w:pPr>
      <w:r>
        <w:t xml:space="preserve">Full read access to customer PII and credential hashes; with NWR-03 this leads to account takeover and administrative compromise. Potential breach of data-protection obligations.</w:t>
      </w:r>
    </w:p>
    <w:p>
      <w:pPr>
        <w:pStyle w:val="Heading3"/>
      </w:pPr>
      <w:r>
        <w:t xml:space="preserve">Remediation</w:t>
      </w:r>
    </w:p>
    <w:p>
      <w:pPr>
        <w:pStyle w:val="ListParagraph"/>
        <w:numPr>
          <w:ilvl w:val="0"/>
          <w:numId w:val="2"/>
        </w:numPr>
        <w:spacing w:after="60" w:line="260"/>
      </w:pPr>
      <w:r>
        <w:t xml:space="preserve">Replace string concatenation with parameterized queries / prepared statements across the API.</w:t>
      </w:r>
    </w:p>
    <w:p>
      <w:pPr>
        <w:pStyle w:val="ListParagraph"/>
        <w:numPr>
          <w:ilvl w:val="0"/>
          <w:numId w:val="2"/>
        </w:numPr>
        <w:spacing w:after="60" w:line="260"/>
      </w:pPr>
      <w:r>
        <w:t xml:space="preserve">Apply least-privilege database accounts (read-only where possible).</w:t>
      </w:r>
    </w:p>
    <w:p>
      <w:pPr>
        <w:pStyle w:val="ListParagraph"/>
        <w:numPr>
          <w:ilvl w:val="0"/>
          <w:numId w:val="2"/>
        </w:numPr>
        <w:spacing w:after="60" w:line="260"/>
      </w:pPr>
      <w:r>
        <w:t xml:space="preserve">Deploy a WAF rule as compensating control and rotate any exposed secrets/credentials.</w:t>
      </w:r>
    </w:p>
    <w:p>
      <w:pPr>
        <w:spacing w:after="160"/>
      </w:pPr>
      <w:r>
        <w:t xml:space="preserve"/>
      </w:r>
    </w:p>
    <w:p>
      <w:pPr>
        <w:pStyle w:val="Heading2"/>
      </w:pPr>
      <w:r>
        <w:t xml:space="preserve">NWR-02 — Administrative Console Exposed Without MFA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pPr>
            <w:r>
              <w:rPr>
                <w:b/>
                <w:bCs/>
                <w:color w:val="FFFFFF"/>
                <w:sz w:val="19"/>
                <w:szCs w:val="19"/>
              </w:rPr>
              <w:t xml:space="preserve">Severity</w:t>
            </w:r>
          </w:p>
        </w:tc>
        <w:tc>
          <w:tcPr>
            <w:tcW w:type="dxa" w:w="7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bCs/>
                <w:color w:val="E8590C"/>
                <w:sz w:val="20"/>
                <w:szCs w:val="20"/>
              </w:rPr>
              <w:t xml:space="preserve">High</w:t>
            </w:r>
          </w:p>
        </w:tc>
      </w:tr>
      <w:tr>
        <w:tc>
          <w:tcPr>
            <w:tcW w:type="dxa" w:w="19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pPr>
            <w:r>
              <w:rPr>
                <w:b/>
                <w:bCs/>
                <w:color w:val="FFFFFF"/>
                <w:sz w:val="19"/>
                <w:szCs w:val="19"/>
              </w:rPr>
              <w:t xml:space="preserve">CVSS v3.1</w:t>
            </w:r>
          </w:p>
        </w:tc>
        <w:tc>
          <w:tcPr>
            <w:tcW w:type="dxa" w:w="7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sz w:val="19"/>
                <w:szCs w:val="19"/>
              </w:rPr>
              <w:t xml:space="preserve">8.1 (CVSS:3.1/AV:N/AC:L/PR:L/UI:N/S:U/C:H/I:H/A:L)</w:t>
            </w:r>
          </w:p>
        </w:tc>
      </w:tr>
      <w:tr>
        <w:tc>
          <w:tcPr>
            <w:tcW w:type="dxa" w:w="19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pPr>
            <w:r>
              <w:rPr>
                <w:b/>
                <w:bCs/>
                <w:color w:val="FFFFFF"/>
                <w:sz w:val="19"/>
                <w:szCs w:val="19"/>
              </w:rPr>
              <w:t xml:space="preserve">Affected</w:t>
            </w:r>
          </w:p>
        </w:tc>
        <w:tc>
          <w:tcPr>
            <w:tcW w:type="dxa" w:w="7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rFonts w:ascii="Consolas" w:cs="Consolas" w:eastAsia="Consolas" w:hAnsi="Consolas"/>
                <w:sz w:val="19"/>
                <w:szCs w:val="19"/>
              </w:rPr>
              <w:t xml:space="preserve">https://shop.northwind-retail.com/admin</w:t>
            </w:r>
          </w:p>
        </w:tc>
      </w:tr>
      <w:tr>
        <w:tc>
          <w:tcPr>
            <w:tcW w:type="dxa" w:w="19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pPr>
            <w:r>
              <w:rPr>
                <w:b/>
                <w:bCs/>
                <w:color w:val="FFFFFF"/>
                <w:sz w:val="19"/>
                <w:szCs w:val="19"/>
              </w:rPr>
              <w:t xml:space="preserve">ATT&amp;CK</w:t>
            </w:r>
          </w:p>
        </w:tc>
        <w:tc>
          <w:tcPr>
            <w:tcW w:type="dxa" w:w="7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sz w:val="19"/>
                <w:szCs w:val="19"/>
              </w:rPr>
              <w:t xml:space="preserve">T1078 — Valid Accounts</w:t>
            </w:r>
          </w:p>
        </w:tc>
      </w:tr>
    </w:tbl>
    <w:p>
      <w:pPr>
        <w:spacing w:after="80"/>
      </w:pPr>
      <w:r>
        <w:t xml:space="preserve"/>
      </w:r>
    </w:p>
    <w:p>
      <w:pPr>
        <w:pStyle w:val="Heading3"/>
      </w:pPr>
      <w:r>
        <w:t xml:space="preserve">Description</w:t>
      </w:r>
    </w:p>
    <w:p>
      <w:pPr>
        <w:spacing w:after="120" w:line="264"/>
      </w:pPr>
      <w:r>
        <w:t xml:space="preserve">The application administration console is reachable from the internet with no network restriction and no multi-factor authentication. Combined with credentials recovered via NWR-01/03, Sentinel authenticated as an administrator.</w:t>
      </w:r>
    </w:p>
    <w:p>
      <w:pPr>
        <w:pStyle w:val="Heading3"/>
      </w:pPr>
      <w:r>
        <w:t xml:space="preserve">Proof of Concept</w:t>
      </w:r>
    </w:p>
    <w:p>
      <w:pPr>
        <w:shd w:fill="F4F6F8" w:val="clear"/>
        <w:spacing w:after="40"/>
      </w:pPr>
      <w:r>
        <w:rPr>
          <w:rFonts w:ascii="Consolas" w:cs="Consolas" w:eastAsia="Consolas" w:hAnsi="Consolas"/>
          <w:sz w:val="18"/>
          <w:szCs w:val="18"/>
        </w:rPr>
        <w:t xml:space="preserve">Cracked the administrator MD5 hash (recovered via NWR-01) in under two minutes with hashcat.</w:t>
      </w:r>
    </w:p>
    <w:p>
      <w:pPr>
        <w:shd w:fill="F4F6F8" w:val="clear"/>
        <w:spacing w:after="40"/>
      </w:pPr>
      <w:r>
        <w:rPr>
          <w:rFonts w:ascii="Consolas" w:cs="Consolas" w:eastAsia="Consolas" w:hAnsi="Consolas"/>
          <w:sz w:val="18"/>
          <w:szCs w:val="18"/>
        </w:rPr>
        <w:t xml:space="preserve">Logged into /admin and confirmed ability to modify product data and view orders. No changes were persisted.</w:t>
      </w:r>
    </w:p>
    <w:p>
      <w:pPr>
        <w:pStyle w:val="Heading3"/>
      </w:pPr>
      <w:r>
        <w:t xml:space="preserve">Business Impact</w:t>
      </w:r>
    </w:p>
    <w:p>
      <w:pPr>
        <w:spacing w:after="120" w:line="264"/>
      </w:pPr>
      <w:r>
        <w:t xml:space="preserve">Complete administrative control of the storefront, including customer orders and content. Enables fraud, defacement, and further pivoting.</w:t>
      </w:r>
    </w:p>
    <w:p>
      <w:pPr>
        <w:pStyle w:val="Heading3"/>
      </w:pPr>
      <w:r>
        <w:t xml:space="preserve">Remediation</w:t>
      </w:r>
    </w:p>
    <w:p>
      <w:pPr>
        <w:pStyle w:val="ListParagraph"/>
        <w:numPr>
          <w:ilvl w:val="0"/>
          <w:numId w:val="2"/>
        </w:numPr>
        <w:spacing w:after="60" w:line="260"/>
      </w:pPr>
      <w:r>
        <w:t xml:space="preserve">Enforce MFA on all administrative authentication.</w:t>
      </w:r>
    </w:p>
    <w:p>
      <w:pPr>
        <w:pStyle w:val="ListParagraph"/>
        <w:numPr>
          <w:ilvl w:val="0"/>
          <w:numId w:val="2"/>
        </w:numPr>
        <w:spacing w:after="60" w:line="260"/>
      </w:pPr>
      <w:r>
        <w:t xml:space="preserve">Restrict the admin console to a VPN or allowlisted source IPs.</w:t>
      </w:r>
    </w:p>
    <w:p>
      <w:pPr>
        <w:pStyle w:val="ListParagraph"/>
        <w:numPr>
          <w:ilvl w:val="0"/>
          <w:numId w:val="2"/>
        </w:numPr>
        <w:spacing w:after="60" w:line="260"/>
      </w:pPr>
      <w:r>
        <w:t xml:space="preserve">Implement login rate-limiting and alerting on administrative logins.</w:t>
      </w:r>
    </w:p>
    <w:p>
      <w:pPr>
        <w:spacing w:after="160"/>
      </w:pPr>
      <w:r>
        <w:t xml:space="preserve"/>
      </w:r>
    </w:p>
    <w:p>
      <w:pPr>
        <w:pStyle w:val="Heading2"/>
      </w:pPr>
      <w:r>
        <w:t xml:space="preserve">NWR-03 — Weak Password Storage (Unsalted MD5)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pPr>
            <w:r>
              <w:rPr>
                <w:b/>
                <w:bCs/>
                <w:color w:val="FFFFFF"/>
                <w:sz w:val="19"/>
                <w:szCs w:val="19"/>
              </w:rPr>
              <w:t xml:space="preserve">Severity</w:t>
            </w:r>
          </w:p>
        </w:tc>
        <w:tc>
          <w:tcPr>
            <w:tcW w:type="dxa" w:w="7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bCs/>
                <w:color w:val="E8590C"/>
                <w:sz w:val="20"/>
                <w:szCs w:val="20"/>
              </w:rPr>
              <w:t xml:space="preserve">High</w:t>
            </w:r>
          </w:p>
        </w:tc>
      </w:tr>
      <w:tr>
        <w:tc>
          <w:tcPr>
            <w:tcW w:type="dxa" w:w="19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pPr>
            <w:r>
              <w:rPr>
                <w:b/>
                <w:bCs/>
                <w:color w:val="FFFFFF"/>
                <w:sz w:val="19"/>
                <w:szCs w:val="19"/>
              </w:rPr>
              <w:t xml:space="preserve">CVSS v3.1</w:t>
            </w:r>
          </w:p>
        </w:tc>
        <w:tc>
          <w:tcPr>
            <w:tcW w:type="dxa" w:w="7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sz w:val="19"/>
                <w:szCs w:val="19"/>
              </w:rPr>
              <w:t xml:space="preserve">7.5 (CVSS:3.1/AV:N/AC:L/PR:N/UI:N/S:U/C:H/I:N/A:N)</w:t>
            </w:r>
          </w:p>
        </w:tc>
      </w:tr>
      <w:tr>
        <w:tc>
          <w:tcPr>
            <w:tcW w:type="dxa" w:w="19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pPr>
            <w:r>
              <w:rPr>
                <w:b/>
                <w:bCs/>
                <w:color w:val="FFFFFF"/>
                <w:sz w:val="19"/>
                <w:szCs w:val="19"/>
              </w:rPr>
              <w:t xml:space="preserve">Affected</w:t>
            </w:r>
          </w:p>
        </w:tc>
        <w:tc>
          <w:tcPr>
            <w:tcW w:type="dxa" w:w="7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rFonts w:ascii="Consolas" w:cs="Consolas" w:eastAsia="Consolas" w:hAnsi="Consolas"/>
                <w:sz w:val="19"/>
                <w:szCs w:val="19"/>
              </w:rPr>
              <w:t xml:space="preserve">users table — application database</w:t>
            </w:r>
          </w:p>
        </w:tc>
      </w:tr>
      <w:tr>
        <w:tc>
          <w:tcPr>
            <w:tcW w:type="dxa" w:w="19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pPr>
            <w:r>
              <w:rPr>
                <w:b/>
                <w:bCs/>
                <w:color w:val="FFFFFF"/>
                <w:sz w:val="19"/>
                <w:szCs w:val="19"/>
              </w:rPr>
              <w:t xml:space="preserve">ATT&amp;CK</w:t>
            </w:r>
          </w:p>
        </w:tc>
        <w:tc>
          <w:tcPr>
            <w:tcW w:type="dxa" w:w="74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sz w:val="19"/>
                <w:szCs w:val="19"/>
              </w:rPr>
              <w:t xml:space="preserve">T1110 — Brute Force / Credential Access</w:t>
            </w:r>
          </w:p>
        </w:tc>
      </w:tr>
    </w:tbl>
    <w:p>
      <w:pPr>
        <w:spacing w:after="80"/>
      </w:pPr>
      <w:r>
        <w:t xml:space="preserve"/>
      </w:r>
    </w:p>
    <w:p>
      <w:pPr>
        <w:pStyle w:val="Heading3"/>
      </w:pPr>
      <w:r>
        <w:t xml:space="preserve">Description</w:t>
      </w:r>
    </w:p>
    <w:p>
      <w:pPr>
        <w:spacing w:after="120" w:line="264"/>
      </w:pPr>
      <w:r>
        <w:t xml:space="preserve">User passwords are stored as unsalted MD5 hashes. Once disclosed via NWR-01, a large fraction were trivially cracked using standard wordlists, including the administrator account.</w:t>
      </w:r>
    </w:p>
    <w:p>
      <w:pPr>
        <w:pStyle w:val="Heading3"/>
      </w:pPr>
      <w:r>
        <w:t xml:space="preserve">Proof of Concept</w:t>
      </w:r>
    </w:p>
    <w:p>
      <w:pPr>
        <w:shd w:fill="F4F6F8" w:val="clear"/>
        <w:spacing w:after="40"/>
      </w:pPr>
      <w:r>
        <w:rPr>
          <w:rFonts w:ascii="Consolas" w:cs="Consolas" w:eastAsia="Consolas" w:hAnsi="Consolas"/>
          <w:sz w:val="18"/>
          <w:szCs w:val="18"/>
        </w:rPr>
        <w:t xml:space="preserve">8,900+ of 14,302 hashes cracked offline within 30 minutes on commodity hardware.</w:t>
      </w:r>
    </w:p>
    <w:p>
      <w:pPr>
        <w:pStyle w:val="Heading3"/>
      </w:pPr>
      <w:r>
        <w:t xml:space="preserve">Business Impact</w:t>
      </w:r>
    </w:p>
    <w:p>
      <w:pPr>
        <w:spacing w:after="120" w:line="264"/>
      </w:pPr>
      <w:r>
        <w:t xml:space="preserve">Mass account takeover potential; reuse of credentials across other services magnifies impact.</w:t>
      </w:r>
    </w:p>
    <w:p>
      <w:pPr>
        <w:pStyle w:val="Heading3"/>
      </w:pPr>
      <w:r>
        <w:t xml:space="preserve">Remediation</w:t>
      </w:r>
    </w:p>
    <w:p>
      <w:pPr>
        <w:pStyle w:val="ListParagraph"/>
        <w:numPr>
          <w:ilvl w:val="0"/>
          <w:numId w:val="2"/>
        </w:numPr>
        <w:spacing w:after="60" w:line="260"/>
      </w:pPr>
      <w:r>
        <w:t xml:space="preserve">Migrate to a memory-hard, salted algorithm (Argon2id or bcrypt, work factor tuned).</w:t>
      </w:r>
    </w:p>
    <w:p>
      <w:pPr>
        <w:pStyle w:val="ListParagraph"/>
        <w:numPr>
          <w:ilvl w:val="0"/>
          <w:numId w:val="2"/>
        </w:numPr>
        <w:spacing w:after="60" w:line="260"/>
      </w:pPr>
      <w:r>
        <w:t xml:space="preserve">Force a password reset for all users and invalidate existing sessions after migration.</w:t>
      </w:r>
    </w:p>
    <w:p>
      <w:pPr>
        <w:spacing w:after="160"/>
      </w:pPr>
      <w:r>
        <w:t xml:space="preserve"/>
      </w:r>
    </w:p>
    <w:p>
      <w:pPr>
        <w:spacing w:after="120" w:line="264"/>
      </w:pPr>
      <w:r>
        <w:rPr>
          <w:b/>
          <w:bCs/>
        </w:rPr>
        <w:t xml:space="preserve">Findings NWR-04 through NWR-08 </w:t>
      </w:r>
      <w:r>
        <w:t xml:space="preserve">are documented in full in the findings register accompanying this report, each with description, evidence, CVSS vector, and remediation, following the same format as above. They are summarized in Section 3.</w:t>
      </w:r>
    </w:p>
    <w:p>
      <w:pPr>
        <w:pStyle w:val="Heading1"/>
      </w:pPr>
      <w:r>
        <w:t xml:space="preserve">5. Conclusion</w:t>
      </w:r>
    </w:p>
    <w:p>
      <w:pPr>
        <w:spacing w:after="120" w:line="264"/>
      </w:pPr>
      <w:r>
        <w:t xml:space="preserve">Northwind Retail’s external posture currently presents a high risk of compromise driven primarily by an unauthenticated injection flaw and weak credential handling in the e-commerce application. The vulnerabilities are well understood and remediable with established engineering practices. Prioritizing NWR-01 through NWR-03, followed by detection improvements at the web tier, will materially reduce the organization’s exposure. Sentinel will re-test remediated findings and issue an updated report upon request, in line with the Statement of Work.</w:t>
      </w:r>
    </w:p>
    <w:p>
      <w:pPr>
        <w:pStyle w:val="Heading1"/>
      </w:pPr>
      <w:r>
        <w:t xml:space="preserve">Appendix A — Severity and CVSS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260"/>
      </w:tblGrid>
      <w:tr>
        <w:trPr>
          <w:tblHeader/>
        </w:trPr>
        <w:tc>
          <w:tcPr>
            <w:tcW w:type="dxa" w:w="22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20"/>
                <w:szCs w:val="20"/>
              </w:rPr>
              <w:t xml:space="preserve">Severity</w:t>
            </w:r>
          </w:p>
        </w:tc>
        <w:tc>
          <w:tcPr>
            <w:tcW w:type="dxa" w:w="19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20"/>
                <w:szCs w:val="20"/>
              </w:rPr>
              <w:t xml:space="preserve">CVSS Range</w:t>
            </w:r>
          </w:p>
        </w:tc>
        <w:tc>
          <w:tcPr>
            <w:tcW w:type="dxa" w:w="52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line="252"/>
              <w:jc w:val="left"/>
            </w:pPr>
            <w:r>
              <w:rPr>
                <w:b/>
                <w:bCs/>
                <w:color w:val="FFFFFF"/>
                <w:sz w:val="20"/>
                <w:szCs w:val="20"/>
              </w:rPr>
              <w:t xml:space="preserve">Meaning</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bCs/>
                <w:color w:val="C00000"/>
                <w:sz w:val="20"/>
                <w:szCs w:val="20"/>
              </w:rPr>
              <w:t xml:space="preserve">Critical</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9.0–10.0</w:t>
            </w:r>
          </w:p>
        </w:tc>
        <w:tc>
          <w:tcPr>
            <w:tcW w:type="dxa" w:w="52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Immediate, easily exploitable, severe business impact. Fix urgently.</w:t>
            </w:r>
          </w:p>
        </w:tc>
      </w:tr>
      <w:tr>
        <w:tc>
          <w:tcPr>
            <w:tcW w:type="dxa" w:w="220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jc w:val="center"/>
            </w:pPr>
            <w:r>
              <w:rPr>
                <w:b/>
                <w:bCs/>
                <w:color w:val="E8590C"/>
                <w:sz w:val="20"/>
                <w:szCs w:val="20"/>
              </w:rPr>
              <w:t xml:space="preserve">High</w:t>
            </w:r>
          </w:p>
        </w:tc>
        <w:tc>
          <w:tcPr>
            <w:tcW w:type="dxa" w:w="190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7.0–8.9</w:t>
            </w:r>
          </w:p>
        </w:tc>
        <w:tc>
          <w:tcPr>
            <w:tcW w:type="dxa" w:w="526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Significant impact or high likelihood. Fix in the current cycle.</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bCs/>
                <w:color w:val="F08C00"/>
                <w:sz w:val="20"/>
                <w:szCs w:val="20"/>
              </w:rPr>
              <w:t xml:space="preserve">Medium</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4.0–6.9</w:t>
            </w:r>
          </w:p>
        </w:tc>
        <w:tc>
          <w:tcPr>
            <w:tcW w:type="dxa" w:w="52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Moderate impact, often requiring chaining or specific conditions.</w:t>
            </w:r>
          </w:p>
        </w:tc>
      </w:tr>
      <w:tr>
        <w:tc>
          <w:tcPr>
            <w:tcW w:type="dxa" w:w="220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jc w:val="center"/>
            </w:pPr>
            <w:r>
              <w:rPr>
                <w:b/>
                <w:bCs/>
                <w:color w:val="2F9E44"/>
                <w:sz w:val="20"/>
                <w:szCs w:val="20"/>
              </w:rPr>
              <w:t xml:space="preserve">Low</w:t>
            </w:r>
          </w:p>
        </w:tc>
        <w:tc>
          <w:tcPr>
            <w:tcW w:type="dxa" w:w="190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0.1–3.9</w:t>
            </w:r>
          </w:p>
        </w:tc>
        <w:tc>
          <w:tcPr>
            <w:tcW w:type="dxa" w:w="5260"/>
            <w:tcBorders>
              <w:top w:val="single" w:color="BBBBBB" w:sz="1"/>
              <w:left w:val="single" w:color="BBBBBB" w:sz="1"/>
              <w:bottom w:val="single" w:color="BBBBBB" w:sz="1"/>
              <w:right w:val="single" w:color="BBBBBB" w:sz="1"/>
            </w:tcBorders>
            <w:shd w:fill="F2F4F7" w:val="clear"/>
            <w:tcMar>
              <w:top w:type="dxa" w:w="60"/>
              <w:left w:type="dxa" w:w="110"/>
              <w:bottom w:type="dxa" w:w="60"/>
              <w:right w:type="dxa" w:w="110"/>
            </w:tcMar>
            <w:vAlign w:val="center"/>
          </w:tcPr>
          <w:p>
            <w:pPr>
              <w:spacing w:after="0" w:line="252"/>
            </w:pPr>
            <w:r>
              <w:rPr>
                <w:sz w:val="20"/>
                <w:szCs w:val="20"/>
              </w:rPr>
              <w:t xml:space="preserve">Limited impact; best-practice hardening.</w:t>
            </w:r>
          </w:p>
        </w:tc>
      </w:tr>
      <w:tr>
        <w:tc>
          <w:tcPr>
            <w:tcW w:type="dxa" w:w="2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center"/>
            </w:pPr>
            <w:r>
              <w:rPr>
                <w:b/>
                <w:bCs/>
                <w:sz w:val="20"/>
                <w:szCs w:val="20"/>
              </w:rPr>
              <w:t xml:space="preserve">Informational</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w:t>
            </w:r>
          </w:p>
        </w:tc>
        <w:tc>
          <w:tcPr>
            <w:tcW w:type="dxa" w:w="52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pPr>
            <w:r>
              <w:rPr>
                <w:sz w:val="20"/>
                <w:szCs w:val="20"/>
              </w:rPr>
              <w:t xml:space="preserve">No direct risk; observations and recommendations.</w:t>
            </w:r>
          </w:p>
        </w:tc>
      </w:tr>
    </w:tbl>
    <w:p>
      <w:pPr>
        <w:pStyle w:val="Heading1"/>
      </w:pPr>
      <w:r>
        <w:t xml:space="preserve">Appendix B — Tools Used</w:t>
      </w:r>
    </w:p>
    <w:p>
      <w:pPr>
        <w:spacing w:after="120" w:line="264"/>
      </w:pPr>
      <w:r>
        <w:t xml:space="preserve">Nmap, Burp Suite Professional, sqlmap, hashcat, ffuf, Nuclei, and custom scripts. Reconnaissance via OSINT sources. All tooling operated from authorized Sentinel infrastructure (198.51.100.10–11).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tabs>
        <w:tab w:val="right" w:pos="9360"/>
      </w:tabs>
    </w:pPr>
    <w:r>
      <w:rPr>
        <w:color w:val="888888"/>
        <w:sz w:val="15"/>
        <w:szCs w:val="15"/>
      </w:rPr>
      <w:t xml:space="preserve">CONFIDENTIAL — Do Not Distribute</w:t>
    </w:r>
    <w:r>
      <w:rPr>
        <w:color w:val="888888"/>
        <w:sz w:val="15"/>
        <w:szCs w:val="15"/>
      </w:rPr>
      <w:t xml:space="preserve">	Page </w:t>
    </w:r>
    <w:r>
      <w:rPr>
        <w:color w:val="888888"/>
        <w:sz w:val="15"/>
        <w:szCs w:val="15"/>
      </w:rPr>
      <w:fldChar w:fldCharType="begin"/>
      <w:instrText xml:space="preserve">PAGE</w:instrText>
      <w:fldChar w:fldCharType="separate"/>
      <w:fldChar w:fldCharType="end"/>
    </w:r>
    <w:r>
      <w:rPr>
        <w:color w:val="888888"/>
        <w:sz w:val="15"/>
        <w:szCs w:val="15"/>
      </w:rPr>
      <w:t xml:space="preserve"> of </w:t>
    </w:r>
    <w:r>
      <w:rPr>
        <w:color w:val="888888"/>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2"/>
      </w:pBdr>
      <w:tabs>
        <w:tab w:val="right" w:pos="9360"/>
      </w:tabs>
      <w:spacing w:after="60"/>
    </w:pPr>
    <w:r>
      <w:rPr>
        <w:b/>
        <w:bCs/>
        <w:color w:val="1F4E79"/>
        <w:sz w:val="16"/>
        <w:szCs w:val="16"/>
      </w:rPr>
      <w:t xml:space="preserve">Sentinel Offensive Security</w:t>
    </w:r>
    <w:r>
      <w:rPr>
        <w:b/>
        <w:bCs/>
        <w:color w:val="C00000"/>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22222"/>
      <w:sz w:val="25"/>
      <w:szCs w:val="25"/>
    </w:rPr>
  </w:style>
  <w:style w:type="paragraph" w:styleId="Heading3">
    <w:name w:val="Heading 3"/>
    <w:basedOn w:val="Normal"/>
    <w:next w:val="Normal"/>
    <w:qFormat/>
    <w:pPr>
      <w:spacing w:after="80" w:before="18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2026-06-13T15:28:11.976Z</dcterms:created>
  <dcterms:modified xsi:type="dcterms:W3CDTF">2026-06-13T15:28:11.976Z</dcterms:modified>
</cp:coreProperties>
</file>

<file path=docProps/custom.xml><?xml version="1.0" encoding="utf-8"?>
<Properties xmlns="http://schemas.openxmlformats.org/officeDocument/2006/custom-properties" xmlns:vt="http://schemas.openxmlformats.org/officeDocument/2006/docPropsVTypes"/>
</file>