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B5E3A"/>
          <w:sz w:val="40"/>
          <w:szCs w:val="40"/>
        </w:rPr>
        <w:t xml:space="preserve">AEGIS FEDERAL SECURITY, INC.</w:t>
      </w:r>
    </w:p>
    <w:p>
      <w:pPr>
        <w:spacing w:after="600"/>
      </w:pPr>
      <w:r>
        <w:rPr>
          <w:color w:val="666666"/>
          <w:sz w:val="20"/>
          <w:szCs w:val="20"/>
        </w:rPr>
        <w:t xml:space="preserve">Cybersecurity Assessment Services · GSA MAS Contractor</w:t>
      </w:r>
    </w:p>
    <w:p>
      <w:pPr>
        <w:pBdr>
          <w:bottom w:val="single" w:color="1B5E3A" w:sz="8" w:space="1"/>
        </w:pBdr>
        <w:spacing w:after="160"/>
      </w:pPr>
      <w:r>
        <w:t xml:space="preserve"/>
      </w:r>
    </w:p>
    <w:p>
      <w:pPr>
        <w:spacing w:after="40" w:before="600"/>
      </w:pPr>
      <w:r>
        <w:rPr>
          <w:b/>
          <w:bCs/>
          <w:color w:val="666666"/>
          <w:sz w:val="22"/>
          <w:szCs w:val="22"/>
        </w:rPr>
        <w:t xml:space="preserve">TASK ORDER &amp; RULES OF ENGAGEMENT</w:t>
      </w:r>
    </w:p>
    <w:p>
      <w:pPr>
        <w:spacing w:after="600"/>
      </w:pPr>
      <w:r>
        <w:rPr>
          <w:b/>
          <w:bCs/>
          <w:color w:val="1A1A1A"/>
          <w:sz w:val="48"/>
          <w:szCs w:val="48"/>
        </w:rPr>
        <w:t xml:space="preserve">Security Control Assessment — Penetration Testing</w:t>
      </w:r>
    </w:p>
    <w:p>
      <w:pPr>
        <w:pBdr>
          <w:bottom w:val="single" w:color="1B5E3A" w:sz="8" w:space="1"/>
        </w:pBdr>
        <w:spacing w:after="160"/>
      </w:pPr>
      <w:r>
        <w:t xml:space="preserve"/>
      </w:r>
    </w:p>
    <w:p>
      <w:pPr>
        <w:spacing w:after="300"/>
      </w:pPr>
      <w:r>
        <w:t xml:space="preserve"/>
      </w:r>
    </w:p>
    <w:p>
      <w:pPr>
        <w:spacing w:after="60"/>
      </w:pPr>
      <w:r>
        <w:rPr>
          <w:b/>
          <w:bCs/>
          <w:sz w:val="20"/>
          <w:szCs w:val="20"/>
        </w:rPr>
        <w:t xml:space="preserve">Agency (Client):  </w:t>
      </w:r>
      <w:r>
        <w:rPr>
          <w:sz w:val="20"/>
          <w:szCs w:val="20"/>
        </w:rPr>
        <w:t xml:space="preserve">State Department of Revenue Services (DRS)</w:t>
      </w:r>
    </w:p>
    <w:p>
      <w:pPr>
        <w:spacing w:after="60"/>
      </w:pPr>
      <w:r>
        <w:rPr>
          <w:b/>
          <w:bCs/>
          <w:sz w:val="20"/>
          <w:szCs w:val="20"/>
        </w:rPr>
        <w:t xml:space="preserve">Contractor:  </w:t>
      </w:r>
      <w:r>
        <w:rPr>
          <w:sz w:val="20"/>
          <w:szCs w:val="20"/>
        </w:rPr>
        <w:t xml:space="preserve">Aegis Federal Security, Inc.</w:t>
      </w:r>
    </w:p>
    <w:p>
      <w:pPr>
        <w:spacing w:after="60"/>
      </w:pPr>
      <w:r>
        <w:rPr>
          <w:b/>
          <w:bCs/>
          <w:sz w:val="20"/>
          <w:szCs w:val="20"/>
        </w:rPr>
        <w:t xml:space="preserve">Contract Vehicle:  </w:t>
      </w:r>
      <w:r>
        <w:rPr>
          <w:sz w:val="20"/>
          <w:szCs w:val="20"/>
        </w:rPr>
        <w:t xml:space="preserve">GSA MAS 54151S — BPA Call DRS-IT-2026-0091</w:t>
      </w:r>
    </w:p>
    <w:p>
      <w:pPr>
        <w:spacing w:after="60"/>
      </w:pPr>
      <w:r>
        <w:rPr>
          <w:b/>
          <w:bCs/>
          <w:sz w:val="20"/>
          <w:szCs w:val="20"/>
        </w:rPr>
        <w:t xml:space="preserve">Task Order No.:  </w:t>
      </w:r>
      <w:r>
        <w:rPr>
          <w:sz w:val="20"/>
          <w:szCs w:val="20"/>
        </w:rPr>
        <w:t xml:space="preserve">AFS-TO-2026-014</w:t>
      </w:r>
    </w:p>
    <w:p>
      <w:pPr>
        <w:spacing w:after="60"/>
      </w:pPr>
      <w:r>
        <w:rPr>
          <w:b/>
          <w:bCs/>
          <w:sz w:val="20"/>
          <w:szCs w:val="20"/>
        </w:rPr>
        <w:t xml:space="preserve">Period of Performance:  </w:t>
      </w:r>
      <w:r>
        <w:rPr>
          <w:sz w:val="20"/>
          <w:szCs w:val="20"/>
        </w:rPr>
        <w:t xml:space="preserve">1 July 2026 – 29 August 2026</w:t>
      </w:r>
    </w:p>
    <w:p>
      <w:pPr>
        <w:spacing w:after="60"/>
      </w:pPr>
      <w:r>
        <w:rPr>
          <w:b/>
          <w:bCs/>
          <w:sz w:val="20"/>
          <w:szCs w:val="20"/>
        </w:rPr>
        <w:t xml:space="preserve">COR:  </w:t>
      </w:r>
      <w:r>
        <w:rPr>
          <w:sz w:val="20"/>
          <w:szCs w:val="20"/>
        </w:rPr>
        <w:t xml:space="preserve">L. Hammond, Contracting Officer’s Representative</w:t>
      </w:r>
    </w:p>
    <w:p>
      <w:pPr>
        <w:spacing w:after="60"/>
      </w:pPr>
      <w:r>
        <w:rPr>
          <w:b/>
          <w:bCs/>
          <w:sz w:val="20"/>
          <w:szCs w:val="20"/>
        </w:rPr>
        <w:t xml:space="preserve">Contractor PM:  </w:t>
      </w:r>
      <w:r>
        <w:rPr>
          <w:sz w:val="20"/>
          <w:szCs w:val="20"/>
        </w:rPr>
        <w:t xml:space="preserve">D. Mbeki, PMP / GPEN</w:t>
      </w:r>
    </w:p>
    <w:p>
      <w:pPr>
        <w:spacing w:after="500"/>
      </w:pPr>
      <w:r>
        <w:t xml:space="preserve"/>
      </w:r>
    </w:p>
    <w:p>
      <w:pPr>
        <w:pBdr>
          <w:top w:val="single" w:color="1B5E3A" w:sz="12" w:space="6"/>
          <w:bottom w:val="single" w:color="1B5E3A" w:sz="12" w:space="6"/>
        </w:pBdr>
        <w:spacing w:after="40" w:before="1400"/>
        <w:jc w:val="center"/>
      </w:pPr>
      <w:r>
        <w:rPr>
          <w:b/>
          <w:bCs/>
          <w:color w:val="C00000"/>
          <w:sz w:val="22"/>
          <w:szCs w:val="22"/>
        </w:rPr>
        <w:t xml:space="preserve">CONTROLLED UNCLASSIFIED INFORMATION (CUI)</w:t>
      </w:r>
    </w:p>
    <w:p>
      <w:r>
        <w:br w:type="page"/>
      </w:r>
    </w:p>
    <w:p>
      <w:pPr>
        <w:spacing w:after="120" w:line="264"/>
      </w:pPr>
      <w:r>
        <w:rPr>
          <w:b/>
          <w:bCs/>
        </w:rPr>
        <w:t xml:space="preserve">CUI Marking. </w:t>
      </w:r>
      <w:r>
        <w:t xml:space="preserve">This document contains Controlled Unclassified Information (CUI//SP-PRVCY). Handle, store, and transmit in accordance with 32 CFR Part 2002 and the agency’s CUI policy. Dissemination limited to authorized personnel with a lawful need to know.</w:t>
      </w:r>
    </w:p>
    <w:p>
      <w:pPr>
        <w:pStyle w:val="Heading1"/>
      </w:pPr>
      <w:r>
        <w:t xml:space="preserve">1. Authority and Background</w:t>
      </w:r>
    </w:p>
    <w:p>
      <w:pPr>
        <w:spacing w:after="120" w:line="264"/>
      </w:pPr>
      <w:r>
        <w:t xml:space="preserve">This Task Order is issued under the referenced GSA Multiple Award Schedule Blanket Purchase Agreement between the State Department of Revenue Services (“the Agency”) and Aegis Federal Security, Inc. (“the Contractor”). It authorizes the Contractor to perform an independent penetration test as part of the Agency’s Security Assessment and Authorization (A&amp;A) process and continuous-monitoring obligations.</w:t>
      </w:r>
    </w:p>
    <w:p>
      <w:pPr>
        <w:spacing w:after="120" w:line="264"/>
      </w:pPr>
      <w:r>
        <w:rPr>
          <w:b/>
          <w:bCs/>
        </w:rPr>
        <w:t xml:space="preserve">Statutory and policy basis: </w:t>
      </w:r>
      <w:r>
        <w:t xml:space="preserve">Federal Information Security Modernization Act (FISMA); NIST SP 800-53 Rev. 5 (control CA-8, Penetration Testing); NIST SP 800-115 (technical assessment methodology); and applicable Agency and state data-protection statutes governing taxpayer information.</w:t>
      </w:r>
    </w:p>
    <w:p>
      <w:pPr>
        <w:spacing w:after="120" w:line="264"/>
      </w:pPr>
      <w:r>
        <w:rPr>
          <w:b/>
          <w:bCs/>
        </w:rPr>
        <w:t xml:space="preserve">Authorization to Test. </w:t>
      </w:r>
      <w:r>
        <w:t xml:space="preserve">The Agency Authorizing Official has approved this assessment. This Task Order, together with the signed Rules of Engagement (Section 6) and the Authorization Letter (Annex A), constitutes the Contractor’s legal authorization to conduct the activities herein. No testing shall begin before all signatures are obtained.</w:t>
      </w:r>
    </w:p>
    <w:p>
      <w:pPr>
        <w:pStyle w:val="Heading1"/>
      </w:pPr>
      <w:r>
        <w:t xml:space="preserve">2. Objectives</w:t>
      </w:r>
    </w:p>
    <w:p>
      <w:pPr>
        <w:pStyle w:val="ListParagraph"/>
        <w:numPr>
          <w:ilvl w:val="0"/>
          <w:numId w:val="2"/>
        </w:numPr>
        <w:spacing w:after="60" w:line="260"/>
      </w:pPr>
      <w:r>
        <w:t xml:space="preserve">Independently assess the effectiveness of technical security controls protecting the in-scope tax-administration system (a Moderate-impact FISMA system).</w:t>
      </w:r>
    </w:p>
    <w:p>
      <w:pPr>
        <w:pStyle w:val="ListParagraph"/>
        <w:numPr>
          <w:ilvl w:val="0"/>
          <w:numId w:val="2"/>
        </w:numPr>
        <w:spacing w:after="60" w:line="260"/>
      </w:pPr>
      <w:r>
        <w:t xml:space="preserve">Identify and validate vulnerabilities that could lead to unauthorized access to Federal Tax Information (FTI) and other CUI.</w:t>
      </w:r>
    </w:p>
    <w:p>
      <w:pPr>
        <w:pStyle w:val="ListParagraph"/>
        <w:numPr>
          <w:ilvl w:val="0"/>
          <w:numId w:val="2"/>
        </w:numPr>
        <w:spacing w:after="60" w:line="260"/>
      </w:pPr>
      <w:r>
        <w:t xml:space="preserve">Provide findings mapped to NIST SP 800-53 controls and NIST SP 800-115 methodology to support the system’s Authorization to Operate (ATO).</w:t>
      </w:r>
    </w:p>
    <w:p>
      <w:pPr>
        <w:pStyle w:val="Heading1"/>
      </w:pPr>
      <w:r>
        <w:t xml:space="preserve">3. Scope</w:t>
      </w:r>
    </w:p>
    <w:p>
      <w:pPr>
        <w:pStyle w:val="Heading2"/>
      </w:pPr>
      <w:r>
        <w:t xml:space="preserve">3.1 In-Scope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1660"/>
        <w:gridCol w:w="2000"/>
      </w:tblGrid>
      <w:tr>
        <w:trPr>
          <w:tblHeader/>
        </w:trPr>
        <w:tc>
          <w:tcPr>
            <w:tcW w:type="dxa" w:w="30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System / Boundary</w:t>
            </w:r>
          </w:p>
        </w:tc>
        <w:tc>
          <w:tcPr>
            <w:tcW w:type="dxa" w:w="27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Identifier</w:t>
            </w:r>
          </w:p>
        </w:tc>
        <w:tc>
          <w:tcPr>
            <w:tcW w:type="dxa" w:w="166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FISMA Impact</w:t>
            </w:r>
          </w:p>
        </w:tc>
        <w:tc>
          <w:tcPr>
            <w:tcW w:type="dxa" w:w="20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Test Type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Taxpayer e-File portal</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efile.drs.state.gov</w:t>
            </w:r>
          </w:p>
        </w:tc>
        <w:tc>
          <w:tcPr>
            <w:tcW w:type="dxa" w:w="1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Moderate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External web app</w:t>
            </w:r>
          </w:p>
        </w:tc>
      </w:tr>
      <w:tr>
        <w:tc>
          <w:tcPr>
            <w:tcW w:type="dxa" w:w="30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Authentication gateway</w:t>
            </w:r>
          </w:p>
        </w:tc>
        <w:tc>
          <w:tcPr>
            <w:tcW w:type="dxa" w:w="27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sso.drs.state.gov</w:t>
            </w:r>
          </w:p>
        </w:tc>
        <w:tc>
          <w:tcPr>
            <w:tcW w:type="dxa" w:w="16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Moderate</w:t>
            </w:r>
          </w:p>
        </w:tc>
        <w:tc>
          <w:tcPr>
            <w:tcW w:type="dxa" w:w="20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External / authn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Internal app segment (assumed breach)</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10.40.12.0/22</w:t>
            </w:r>
          </w:p>
        </w:tc>
        <w:tc>
          <w:tcPr>
            <w:tcW w:type="dxa" w:w="1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Moderate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Internal network</w:t>
            </w:r>
          </w:p>
        </w:tc>
      </w:tr>
      <w:tr>
        <w:tc>
          <w:tcPr>
            <w:tcW w:type="dxa" w:w="30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Privileged access workstation review</w:t>
            </w:r>
          </w:p>
        </w:tc>
        <w:tc>
          <w:tcPr>
            <w:tcW w:type="dxa" w:w="27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Provided VPN jump host</w:t>
            </w:r>
          </w:p>
        </w:tc>
        <w:tc>
          <w:tcPr>
            <w:tcW w:type="dxa" w:w="16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Moderate</w:t>
            </w:r>
          </w:p>
        </w:tc>
        <w:tc>
          <w:tcPr>
            <w:tcW w:type="dxa" w:w="20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Config / AD review</w:t>
            </w:r>
          </w:p>
        </w:tc>
      </w:tr>
    </w:tbl>
    <w:p>
      <w:pPr>
        <w:pStyle w:val="Heading2"/>
      </w:pPr>
      <w:r>
        <w:t xml:space="preserve">3.2 Out of Scope and Constraints</w:t>
      </w:r>
    </w:p>
    <w:p>
      <w:pPr>
        <w:spacing w:after="120" w:line="264"/>
      </w:pPr>
      <w:r>
        <w:t xml:space="preserve">Excluded unless added by modification: denial-of-service; social engineering of taxpayers; any system processing classified information; physical access to data centers; and any direct manipulation of production FTI records. Testing that could affect availability of taxpayer-facing services is restricted to the maintenance window in Section 6.</w:t>
      </w:r>
    </w:p>
    <w:p>
      <w:pPr>
        <w:pStyle w:val="Heading1"/>
      </w:pPr>
      <w:r>
        <w:t xml:space="preserve">4. Personnel, Clearance, and Suitability</w:t>
      </w:r>
    </w:p>
    <w:p>
      <w:pPr>
        <w:spacing w:after="120" w:line="264"/>
      </w:pPr>
      <w:r>
        <w:rPr>
          <w:b/>
          <w:bCs/>
        </w:rPr>
        <w:t xml:space="preserve">Cleared personnel only. </w:t>
      </w:r>
      <w:r>
        <w:t xml:space="preserve">All assigned testers shall have, at minimum, a favorably adjudicated Tier 2 (Moderate Risk) background investigation, IRS Publication 1075 awareness training for FTI handling, and signed Agency Rules-of-Behavior. Named personnel are listed in Annex B; substitutions require COR approval.</w:t>
      </w:r>
    </w:p>
    <w:p>
      <w:pPr>
        <w:spacing w:after="120" w:line="264"/>
      </w:pPr>
      <w:r>
        <w:rPr>
          <w:b/>
          <w:bCs/>
        </w:rPr>
        <w:t xml:space="preserve">Citizenship and location. </w:t>
      </w:r>
      <w:r>
        <w:t xml:space="preserve">All work shall be performed by U.S. persons located within the United States. Remote access, where used, is via Agency-provided, FIPS 140-3 validated VPN only. Use of offshore resources or personal devices is prohibited.</w:t>
      </w:r>
    </w:p>
    <w:p>
      <w:pPr>
        <w:pStyle w:val="Heading1"/>
      </w:pPr>
      <w:r>
        <w:t xml:space="preserve">5. Deliverables and Standards</w:t>
      </w:r>
    </w:p>
    <w:p>
      <w:pPr>
        <w:pStyle w:val="ListParagraph"/>
        <w:numPr>
          <w:ilvl w:val="0"/>
          <w:numId w:val="2"/>
        </w:numPr>
        <w:spacing w:after="60" w:line="260"/>
      </w:pPr>
      <w:r>
        <w:t xml:space="preserve">Draft and Final Security Assessment Report (SAR) consistent with NIST SP 800-115 and the Agency SAR template, with findings mapped to NIST SP 800-53 Rev. 5 controls.</w:t>
      </w:r>
    </w:p>
    <w:p>
      <w:pPr>
        <w:pStyle w:val="ListParagraph"/>
        <w:numPr>
          <w:ilvl w:val="0"/>
          <w:numId w:val="2"/>
        </w:numPr>
        <w:spacing w:after="60" w:line="260"/>
      </w:pPr>
      <w:r>
        <w:t xml:space="preserve">Risk Assessment and Plan of Action &amp; Milestones (POA&amp;M) input for each finding.</w:t>
      </w:r>
    </w:p>
    <w:p>
      <w:pPr>
        <w:pStyle w:val="ListParagraph"/>
        <w:numPr>
          <w:ilvl w:val="0"/>
          <w:numId w:val="2"/>
        </w:numPr>
        <w:spacing w:after="60" w:line="260"/>
      </w:pPr>
      <w:r>
        <w:t xml:space="preserve">Out-of-band immediate notification for any Critical/High finding or suspected pre-existing compromise (within 4 hours).</w:t>
      </w:r>
    </w:p>
    <w:p>
      <w:pPr>
        <w:pStyle w:val="ListParagraph"/>
        <w:numPr>
          <w:ilvl w:val="0"/>
          <w:numId w:val="2"/>
        </w:numPr>
        <w:spacing w:after="60" w:line="260"/>
      </w:pPr>
      <w:r>
        <w:t xml:space="preserve">Out-brief to the Authorizing Official and ISSO; complimentary re-test of remediated findings within the period of performance.</w:t>
      </w:r>
    </w:p>
    <w:p>
      <w:pPr>
        <w:pStyle w:val="Heading1"/>
      </w:pPr>
      <w:r>
        <w:t xml:space="preserve">6. Rules of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Parameter</w:t>
            </w:r>
          </w:p>
        </w:tc>
        <w:tc>
          <w:tcPr>
            <w:tcW w:type="dxa" w:w="666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Agreed Terms</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Period of performance</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1 July – 29 August 2026</w:t>
            </w:r>
          </w:p>
        </w:tc>
      </w:tr>
      <w:tr>
        <w:tc>
          <w:tcPr>
            <w:tcW w:type="dxa" w:w="27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Active testing window</w:t>
            </w:r>
          </w:p>
        </w:tc>
        <w:tc>
          <w:tcPr>
            <w:tcW w:type="dxa" w:w="66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Phase 1 external: 14–25 Jul; Phase 2 internal: 4–15 Aug 2026</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Maintenance / availability-impacting window</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Sundays 01:00–05:00 ET only</w:t>
            </w:r>
          </w:p>
        </w:tc>
      </w:tr>
      <w:tr>
        <w:tc>
          <w:tcPr>
            <w:tcW w:type="dxa" w:w="27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Contractor source IPs</w:t>
            </w:r>
          </w:p>
        </w:tc>
        <w:tc>
          <w:tcPr>
            <w:tcW w:type="dxa" w:w="66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Agency-provided assessment subnet (allowlisted &amp; logged)</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COR / emergency contact</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L. Hammond — +1 (555) 0170 (24/7 during testing)</w:t>
            </w:r>
          </w:p>
        </w:tc>
      </w:tr>
      <w:tr>
        <w:tc>
          <w:tcPr>
            <w:tcW w:type="dxa" w:w="27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ISSO contact</w:t>
            </w:r>
          </w:p>
        </w:tc>
        <w:tc>
          <w:tcPr>
            <w:tcW w:type="dxa" w:w="66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P. Anand, Information System Security Officer</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Mandatory stop conditions</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Indicators of active compromise; exposure of FTI beyond minimum necessary; risk to system availability. Cease and report within 4 hours.</w:t>
            </w:r>
          </w:p>
        </w:tc>
      </w:tr>
      <w:tr>
        <w:tc>
          <w:tcPr>
            <w:tcW w:type="dxa" w:w="27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FTI / CUI handling</w:t>
            </w:r>
          </w:p>
        </w:tc>
        <w:tc>
          <w:tcPr>
            <w:tcW w:type="dxa" w:w="66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No copying of FTI off Agency systems. Evidence redacted; stored only in the Agency-approved CUI enclave.</w:t>
            </w:r>
          </w:p>
        </w:tc>
      </w:tr>
    </w:tbl>
    <w:p>
      <w:pPr>
        <w:pStyle w:val="Heading1"/>
      </w:pPr>
      <w:r>
        <w:t xml:space="preserve">7. Data Handling, Retention, and Destruction</w:t>
      </w:r>
    </w:p>
    <w:p>
      <w:pPr>
        <w:spacing w:after="120" w:line="264"/>
      </w:pPr>
      <w:r>
        <w:rPr>
          <w:b/>
          <w:bCs/>
        </w:rPr>
        <w:t xml:space="preserve">CUI / FTI protection. </w:t>
      </w:r>
      <w:r>
        <w:t xml:space="preserve">All assessment data is CUI and may include FTI. It shall be encrypted in transit and at rest using FIPS 140-3 validated cryptography, processed only within the Agency-approved enclave, and never stored on contractor personal or commercial cloud systems without authorization.</w:t>
      </w:r>
    </w:p>
    <w:p>
      <w:pPr>
        <w:spacing w:after="120" w:line="264"/>
      </w:pPr>
      <w:r>
        <w:rPr>
          <w:b/>
          <w:bCs/>
        </w:rPr>
        <w:t xml:space="preserve">Retention and destruction. </w:t>
      </w:r>
      <w:r>
        <w:t xml:space="preserve">Upon acceptance of the Final SAR, the Contractor shall sanitize all assessment artifacts in accordance with NIST SP 800-88, provide a signed Certificate of Sanitization to the COR within 15 days, and certify that no CUI/FTI remains on contractor-controlled media. Incident reporting follows the Agency IR plan and, for FTI, IRS Publication 1075 timelines.</w:t>
      </w:r>
    </w:p>
    <w:p>
      <w:pPr>
        <w:pStyle w:val="Heading1"/>
      </w:pPr>
      <w:r>
        <w:t xml:space="preserve">8. Independence and Liability</w:t>
      </w:r>
    </w:p>
    <w:p>
      <w:pPr>
        <w:spacing w:after="120" w:line="264"/>
      </w:pPr>
      <w:r>
        <w:t xml:space="preserve">The Contractor performs as an independent assessor and shall not remediate findings or alter Agency configurations beyond those actions necessary to conduct authorized testing. The Contractor maintains required cyber-liability insurance per the BPA. A point-in-time assessment does not warrant the absence of all vulnerabilities.</w:t>
      </w:r>
    </w:p>
    <w:p>
      <w:pPr>
        <w:spacing w:after="160"/>
      </w:pPr>
      <w:r>
        <w:t xml:space="preserve"/>
      </w:r>
    </w:p>
    <w:p>
      <w:pPr>
        <w:pStyle w:val="Heading1"/>
      </w:pPr>
      <w:r>
        <w:t xml:space="preserve">9. Approvals</w:t>
      </w:r>
    </w:p>
    <w:p>
      <w:pPr>
        <w:spacing w:after="120" w:line="264"/>
      </w:pPr>
      <w:r>
        <w:t xml:space="preserve">Authorized signatures required prior to commencement of testing: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right w:type="dxa" w:w="240"/>
            </w:tcMar>
          </w:tcPr>
          <w:p>
            <w:pPr>
              <w:spacing w:after="0"/>
            </w:pPr>
            <w:r>
              <w:rPr>
                <w:b/>
                <w:bCs/>
                <w:sz w:val="20"/>
                <w:szCs w:val="20"/>
              </w:rPr>
              <w:t xml:space="preserve">For the State Department of Revenue Services</w:t>
            </w:r>
          </w:p>
          <w:p>
            <w:pPr>
              <w:pBdr>
                <w:bottom w:val="single" w:color="333333" w:sz="4" w:space="1"/>
              </w:pBdr>
              <w:spacing w:after="0" w:before="520"/>
            </w:pPr>
            <w:r>
              <w:t xml:space="preserve"/>
            </w:r>
          </w:p>
          <w:p>
            <w:pPr>
              <w:spacing w:after="0"/>
            </w:pPr>
            <w:r>
              <w:rPr>
                <w:sz w:val="18"/>
                <w:szCs w:val="18"/>
              </w:rPr>
              <w:t xml:space="preserve">Authorizing Official / Contracting Officer</w:t>
            </w:r>
          </w:p>
          <w:p>
            <w:pPr>
              <w:pBdr>
                <w:bottom w:val="single" w:color="333333" w:sz="4" w:space="1"/>
              </w:pBdr>
              <w:spacing w:after="0" w:before="360"/>
            </w:pPr>
            <w:r>
              <w:t xml:space="preserve"/>
            </w:r>
          </w:p>
          <w:p>
            <w:pPr>
              <w:spacing w:after="0"/>
            </w:pPr>
            <w:r>
              <w:rPr>
                <w:color w:val="888888"/>
                <w:sz w:val="16"/>
                <w:szCs w:val="16"/>
              </w:rPr>
              <w:t xml:space="preserve">Signature / Date</w:t>
            </w:r>
          </w:p>
        </w:tc>
        <w:tc>
          <w:tcPr>
            <w:tcW w:type="dxa" w:w="4680"/>
            <w:tcBorders>
              <w:top w:val="none"/>
              <w:left w:val="none"/>
              <w:bottom w:val="none"/>
              <w:right w:val="none"/>
            </w:tcBorders>
            <w:tcMar>
              <w:left w:type="dxa" w:w="240"/>
            </w:tcMar>
          </w:tcPr>
          <w:p>
            <w:pPr>
              <w:spacing w:after="0"/>
            </w:pPr>
            <w:r>
              <w:rPr>
                <w:b/>
                <w:bCs/>
                <w:sz w:val="20"/>
                <w:szCs w:val="20"/>
              </w:rPr>
              <w:t xml:space="preserve">For Aegis Federal Security, Inc.</w:t>
            </w:r>
          </w:p>
          <w:p>
            <w:pPr>
              <w:pBdr>
                <w:bottom w:val="single" w:color="333333" w:sz="4" w:space="1"/>
              </w:pBdr>
              <w:spacing w:after="0" w:before="520"/>
            </w:pPr>
            <w:r>
              <w:t xml:space="preserve"/>
            </w:r>
          </w:p>
          <w:p>
            <w:pPr>
              <w:spacing w:after="0"/>
            </w:pPr>
            <w:r>
              <w:rPr>
                <w:sz w:val="18"/>
                <w:szCs w:val="18"/>
              </w:rPr>
              <w:t xml:space="preserve">D. Mbeki, Program Manager</w:t>
            </w:r>
          </w:p>
          <w:p>
            <w:pPr>
              <w:pBdr>
                <w:bottom w:val="single" w:color="333333" w:sz="4" w:space="1"/>
              </w:pBdr>
              <w:spacing w:after="0" w:before="360"/>
            </w:pPr>
            <w:r>
              <w:t xml:space="preserve"/>
            </w:r>
          </w:p>
          <w:p>
            <w:pPr>
              <w:spacing w:after="0"/>
            </w:pPr>
            <w:r>
              <w:rPr>
                <w:color w:val="888888"/>
                <w:sz w:val="16"/>
                <w:szCs w:val="16"/>
              </w:rPr>
              <w:t xml:space="preserve">Signature / Date</w:t>
            </w:r>
          </w:p>
        </w:tc>
      </w:tr>
    </w:tbl>
    <w:p>
      <w:pPr>
        <w:spacing w:after="200"/>
      </w:pPr>
      <w:r>
        <w:t xml:space="preserve"/>
      </w:r>
    </w:p>
    <w:p>
      <w:pPr>
        <w:spacing w:after="120" w:line="264"/>
      </w:pPr>
      <w:r>
        <w:rPr>
          <w:b/>
          <w:bCs/>
        </w:rPr>
        <w:t xml:space="preserve">Annex A </w:t>
      </w:r>
      <w:r>
        <w:t xml:space="preserve">— Authorization-to-Test Letter signed by the Authorizing Official. </w:t>
      </w:r>
      <w:r>
        <w:rPr>
          <w:b/>
          <w:bCs/>
        </w:rPr>
        <w:t xml:space="preserve">Annex B </w:t>
      </w:r>
      <w:r>
        <w:t xml:space="preserve">— Cleared personnel roster with investigation status. </w:t>
      </w:r>
      <w:r>
        <w:rPr>
          <w:b/>
          <w:bCs/>
        </w:rPr>
        <w:t xml:space="preserve">Annex C </w:t>
      </w:r>
      <w:r>
        <w:t xml:space="preserve">— System Security Plan boundary diagram (incorporated by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color w:val="888888"/>
        <w:sz w:val="15"/>
        <w:szCs w:val="15"/>
      </w:rPr>
      <w:t xml:space="preserve">CUI // SP-PRVCY — Do Not Distribute</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A" w:sz="4" w:space="2"/>
      </w:pBdr>
      <w:tabs>
        <w:tab w:val="right" w:pos="9360"/>
      </w:tabs>
      <w:spacing w:after="60"/>
    </w:pPr>
    <w:r>
      <w:rPr>
        <w:b/>
        <w:bCs/>
        <w:color w:val="1B5E3A"/>
        <w:sz w:val="16"/>
        <w:szCs w:val="16"/>
      </w:rPr>
      <w:t xml:space="preserve">Aegis Federal Security</w:t>
    </w:r>
    <w:r>
      <w:rPr>
        <w:b/>
        <w:bCs/>
        <w:color w:val="C00000"/>
        <w:sz w:val="16"/>
        <w:szCs w:val="16"/>
      </w:rPr>
      <w:t xml:space="preserve">	CUI // SP-PRVCY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3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B5E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2026-06-13T15:28:12.025Z</dcterms:created>
  <dcterms:modified xsi:type="dcterms:W3CDTF">2026-06-13T15:28:12.025Z</dcterms:modified>
</cp:coreProperties>
</file>

<file path=docProps/custom.xml><?xml version="1.0" encoding="utf-8"?>
<Properties xmlns="http://schemas.openxmlformats.org/officeDocument/2006/custom-properties" xmlns:vt="http://schemas.openxmlformats.org/officeDocument/2006/docPropsVTypes"/>
</file>