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B5E3A"/>
          <w:sz w:val="40"/>
          <w:szCs w:val="40"/>
        </w:rPr>
        <w:t xml:space="preserve">AEGIS FEDERAL SECURITY, INC.</w:t>
      </w:r>
    </w:p>
    <w:p>
      <w:pPr>
        <w:spacing w:after="600"/>
      </w:pPr>
      <w:r>
        <w:rPr>
          <w:color w:val="666666"/>
          <w:sz w:val="20"/>
          <w:szCs w:val="20"/>
        </w:rPr>
        <w:t xml:space="preserve">Cybersecurity Assessment Services · GSA MAS Contractor</w:t>
      </w:r>
    </w:p>
    <w:p>
      <w:pPr>
        <w:pBdr>
          <w:bottom w:val="single" w:color="1B5E3A" w:sz="8" w:space="1"/>
        </w:pBdr>
        <w:spacing w:after="160"/>
      </w:pPr>
      <w:r>
        <w:t xml:space="preserve"/>
      </w:r>
    </w:p>
    <w:p>
      <w:pPr>
        <w:spacing w:after="40" w:before="600"/>
      </w:pPr>
      <w:r>
        <w:rPr>
          <w:b/>
          <w:bCs/>
          <w:color w:val="666666"/>
          <w:sz w:val="22"/>
          <w:szCs w:val="22"/>
        </w:rPr>
        <w:t xml:space="preserve">SECURITY ASSESSMENT REPORT (SAR)</w:t>
      </w:r>
    </w:p>
    <w:p>
      <w:pPr>
        <w:spacing w:after="600"/>
      </w:pPr>
      <w:r>
        <w:rPr>
          <w:b/>
          <w:bCs/>
          <w:color w:val="1A1A1A"/>
          <w:sz w:val="48"/>
          <w:szCs w:val="48"/>
        </w:rPr>
        <w:t xml:space="preserve">Penetration Test — Taxpayer e-File System</w:t>
      </w:r>
    </w:p>
    <w:p>
      <w:pPr>
        <w:pBdr>
          <w:bottom w:val="single" w:color="1B5E3A" w:sz="8" w:space="1"/>
        </w:pBdr>
        <w:spacing w:after="160"/>
      </w:pPr>
      <w:r>
        <w:t xml:space="preserve"/>
      </w:r>
    </w:p>
    <w:p>
      <w:pPr>
        <w:spacing w:after="300"/>
      </w:pPr>
      <w:r>
        <w:t xml:space="preserve"/>
      </w:r>
    </w:p>
    <w:p>
      <w:pPr>
        <w:spacing w:after="60"/>
      </w:pPr>
      <w:r>
        <w:rPr>
          <w:b/>
          <w:bCs/>
          <w:sz w:val="20"/>
          <w:szCs w:val="20"/>
        </w:rPr>
        <w:t xml:space="preserve">Agency:  </w:t>
      </w:r>
      <w:r>
        <w:rPr>
          <w:sz w:val="20"/>
          <w:szCs w:val="20"/>
        </w:rPr>
        <w:t xml:space="preserve">State Department of Revenue Services (DRS)</w:t>
      </w:r>
    </w:p>
    <w:p>
      <w:pPr>
        <w:spacing w:after="60"/>
      </w:pPr>
      <w:r>
        <w:rPr>
          <w:b/>
          <w:bCs/>
          <w:sz w:val="20"/>
          <w:szCs w:val="20"/>
        </w:rPr>
        <w:t xml:space="preserve">System:  </w:t>
      </w:r>
      <w:r>
        <w:rPr>
          <w:sz w:val="20"/>
          <w:szCs w:val="20"/>
        </w:rPr>
        <w:t xml:space="preserve">Taxpayer e-File System (Moderate impact)</w:t>
      </w:r>
    </w:p>
    <w:p>
      <w:pPr>
        <w:spacing w:after="60"/>
      </w:pPr>
      <w:r>
        <w:rPr>
          <w:b/>
          <w:bCs/>
          <w:sz w:val="20"/>
          <w:szCs w:val="20"/>
        </w:rPr>
        <w:t xml:space="preserve">Task Order:  </w:t>
      </w:r>
      <w:r>
        <w:rPr>
          <w:sz w:val="20"/>
          <w:szCs w:val="20"/>
        </w:rPr>
        <w:t xml:space="preserve">AFS-TO-2026-014</w:t>
      </w:r>
    </w:p>
    <w:p>
      <w:pPr>
        <w:spacing w:after="60"/>
      </w:pPr>
      <w:r>
        <w:rPr>
          <w:b/>
          <w:bCs/>
          <w:sz w:val="20"/>
          <w:szCs w:val="20"/>
        </w:rPr>
        <w:t xml:space="preserve">Report Version:  </w:t>
      </w:r>
      <w:r>
        <w:rPr>
          <w:sz w:val="20"/>
          <w:szCs w:val="20"/>
        </w:rPr>
        <w:t xml:space="preserve">0.9 — DRAFT</w:t>
      </w:r>
    </w:p>
    <w:p>
      <w:pPr>
        <w:spacing w:after="60"/>
      </w:pPr>
      <w:r>
        <w:rPr>
          <w:b/>
          <w:bCs/>
          <w:sz w:val="20"/>
          <w:szCs w:val="20"/>
        </w:rPr>
        <w:t xml:space="preserve">Report Date:  </w:t>
      </w:r>
      <w:r>
        <w:rPr>
          <w:sz w:val="20"/>
          <w:szCs w:val="20"/>
        </w:rPr>
        <w:t xml:space="preserve">20 August 2026</w:t>
      </w:r>
    </w:p>
    <w:p>
      <w:pPr>
        <w:spacing w:after="60"/>
      </w:pPr>
      <w:r>
        <w:rPr>
          <w:b/>
          <w:bCs/>
          <w:sz w:val="20"/>
          <w:szCs w:val="20"/>
        </w:rPr>
        <w:t xml:space="preserve">Assessment Standard:  </w:t>
      </w:r>
      <w:r>
        <w:rPr>
          <w:sz w:val="20"/>
          <w:szCs w:val="20"/>
        </w:rPr>
        <w:t xml:space="preserve">NIST SP 800-115 / 800-53 Rev. 5 (CA-8)</w:t>
      </w:r>
    </w:p>
    <w:p>
      <w:pPr>
        <w:spacing w:after="60"/>
      </w:pPr>
      <w:r>
        <w:rPr>
          <w:b/>
          <w:bCs/>
          <w:sz w:val="20"/>
          <w:szCs w:val="20"/>
        </w:rPr>
        <w:t xml:space="preserve">Lead Assessor:  </w:t>
      </w:r>
      <w:r>
        <w:rPr>
          <w:sz w:val="20"/>
          <w:szCs w:val="20"/>
        </w:rPr>
        <w:t xml:space="preserve">R. Cho, GPEN (Tier 2 cleared)</w:t>
      </w:r>
    </w:p>
    <w:p>
      <w:pPr>
        <w:spacing w:after="500"/>
      </w:pPr>
      <w:r>
        <w:t xml:space="preserve"/>
      </w:r>
    </w:p>
    <w:p>
      <w:pPr>
        <w:pBdr>
          <w:top w:val="single" w:color="1B5E3A" w:sz="12" w:space="6"/>
          <w:bottom w:val="single" w:color="1B5E3A" w:sz="12" w:space="6"/>
        </w:pBdr>
        <w:spacing w:after="40" w:before="1400"/>
        <w:jc w:val="center"/>
      </w:pPr>
      <w:r>
        <w:rPr>
          <w:b/>
          <w:bCs/>
          <w:color w:val="C00000"/>
          <w:sz w:val="22"/>
          <w:szCs w:val="22"/>
        </w:rPr>
        <w:t xml:space="preserve">CUI//SP-PRVCY — DRAFT</w:t>
      </w:r>
    </w:p>
    <w:p>
      <w:r>
        <w:br w:type="page"/>
      </w:r>
    </w:p>
    <w:p>
      <w:pPr>
        <w:spacing w:after="120" w:line="264"/>
      </w:pPr>
      <w:r>
        <w:rPr>
          <w:b/>
          <w:bCs/>
        </w:rPr>
        <w:t xml:space="preserve">CUI Notice. </w:t>
      </w:r>
      <w:r>
        <w:t xml:space="preserve">This Security Assessment Report contains Controlled Unclassified Information (CUI//SP-PRVCY) and may reference the handling of Federal Tax Information. Protect per 32 CFR 2002 and IRS Publication 1075. Distribution limited to the Authorizing Official, ISSO, and personnel with a need to know.</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64"/>
      </w:pPr>
      <w:r>
        <w:t xml:space="preserve">Aegis Federal Security, Inc. conducted an independent penetration test of the State Department of Revenue Services’ Taxpayer e-File System in support of the system’s Authorization to Operate. The assessment was performed in two phases — an external test of internet-facing components and an internal “assumed-breach” test — between 14 July and 15 August 2026, in accordance with NIST SP 800-115 and control CA-8 of NIST SP 800-53 Rev. 5.</w:t>
      </w:r>
    </w:p>
    <w:p>
      <w:pPr>
        <w:spacing w:after="120" w:line="264"/>
      </w:pPr>
      <w:r>
        <w:rPr>
          <w:b/>
          <w:bCs/>
        </w:rPr>
        <w:t xml:space="preserve">Overall residual risk: </w:t>
      </w:r>
      <w:r>
        <w:rPr>
          <w:b/>
          <w:bCs/>
          <w:color w:val="F08C00"/>
        </w:rPr>
        <w:t xml:space="preserve">MODERATE. </w:t>
      </w:r>
      <w:r>
        <w:t xml:space="preserve">The external perimeter was generally well configured and resisted unauthenticated compromise. However, the internal assessment revealed Active Directory misconfigurations that would allow an attacker with an initial foothold to escalate toward domain-wide privileges and reach segments adjacent to systems processing Federal Tax Information. No FTI was accessed or removed during testing.</w:t>
      </w:r>
    </w:p>
    <w:p>
      <w:pPr>
        <w:spacing w:after="120" w:line="264"/>
      </w:pPr>
      <w:r>
        <w:t xml:space="preserve">Findings are mapped to NIST SP 800-53 controls to support remediation and POA&amp;M tracking. The most significant issues relate to credential hygiene and privileged-access controls (controls AC-2, AC-6, IA-5) rather than perimeter exposure.</w:t>
      </w:r>
    </w:p>
    <w:p>
      <w:pPr>
        <w:pStyle w:val="Heading2"/>
      </w:pPr>
      <w:r>
        <w:t xml:space="preserve">Findings by Severity and Control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6260"/>
      </w:tblGrid>
      <w:tr>
        <w:trPr>
          <w:tblHeader/>
        </w:trPr>
        <w:tc>
          <w:tcPr>
            <w:tcW w:type="dxa" w:w="19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Severity</w:t>
            </w:r>
          </w:p>
        </w:tc>
        <w:tc>
          <w:tcPr>
            <w:tcW w:type="dxa" w:w="12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Count</w:t>
            </w:r>
          </w:p>
        </w:tc>
        <w:tc>
          <w:tcPr>
            <w:tcW w:type="dxa" w:w="626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Primary 800-53 Families</w:t>
            </w:r>
          </w:p>
        </w:tc>
      </w:tr>
      <w:tr>
        <w:tc>
          <w:tcPr>
            <w:tcW w:type="dxa" w:w="1900"/>
            <w:tcBorders>
              <w:top w:val="single" w:color="BBBBBB" w:sz="1"/>
              <w:left w:val="single" w:color="BBBBBB" w:sz="1"/>
              <w:bottom w:val="single" w:color="BBBBBB" w:sz="1"/>
              <w:right w:val="single" w:color="BBBBBB" w:sz="1"/>
            </w:tcBorders>
            <w:shd w:fill="C00000" w:val="clear"/>
            <w:tcMar>
              <w:top w:type="dxa" w:w="60"/>
              <w:left w:type="dxa" w:w="110"/>
              <w:bottom w:type="dxa" w:w="60"/>
              <w:right w:type="dxa" w:w="110"/>
            </w:tcMar>
            <w:vAlign w:val="center"/>
          </w:tcPr>
          <w:p>
            <w:pPr>
              <w:spacing w:after="0" w:line="252"/>
            </w:pPr>
            <w:r>
              <w:rPr>
                <w:b/>
                <w:bCs/>
                <w:color w:val="FFFFFF"/>
                <w:sz w:val="20"/>
                <w:szCs w:val="20"/>
              </w:rPr>
              <w:t xml:space="preserve">Critical</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0</w:t>
            </w:r>
          </w:p>
        </w:tc>
        <w:tc>
          <w:tcPr>
            <w:tcW w:type="dxa" w:w="6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w:t>
            </w:r>
          </w:p>
        </w:tc>
      </w:tr>
      <w:tr>
        <w:tc>
          <w:tcPr>
            <w:tcW w:type="dxa" w:w="1900"/>
            <w:tcBorders>
              <w:top w:val="single" w:color="BBBBBB" w:sz="1"/>
              <w:left w:val="single" w:color="BBBBBB" w:sz="1"/>
              <w:bottom w:val="single" w:color="BBBBBB" w:sz="1"/>
              <w:right w:val="single" w:color="BBBBBB" w:sz="1"/>
            </w:tcBorders>
            <w:shd w:fill="E8590C" w:val="clear"/>
            <w:tcMar>
              <w:top w:type="dxa" w:w="60"/>
              <w:left w:type="dxa" w:w="110"/>
              <w:bottom w:type="dxa" w:w="60"/>
              <w:right w:type="dxa" w:w="110"/>
            </w:tcMar>
            <w:vAlign w:val="center"/>
          </w:tcPr>
          <w:p>
            <w:pPr>
              <w:spacing w:after="0" w:line="252"/>
            </w:pPr>
            <w:r>
              <w:rPr>
                <w:b/>
                <w:bCs/>
                <w:color w:val="FFFFFF"/>
                <w:sz w:val="20"/>
                <w:szCs w:val="20"/>
              </w:rPr>
              <w:t xml:space="preserve">High</w:t>
            </w:r>
          </w:p>
        </w:tc>
        <w:tc>
          <w:tcPr>
            <w:tcW w:type="dxa" w:w="12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2</w:t>
            </w:r>
          </w:p>
        </w:tc>
        <w:tc>
          <w:tcPr>
            <w:tcW w:type="dxa" w:w="62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AC (Access Control), IA (Identification &amp; Authentication)</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color w:val="FFFFFF"/>
                <w:sz w:val="20"/>
                <w:szCs w:val="20"/>
              </w:rPr>
              <w:t xml:space="preserve">Moderate</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4</w:t>
            </w:r>
          </w:p>
        </w:tc>
        <w:tc>
          <w:tcPr>
            <w:tcW w:type="dxa" w:w="6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AC, AU (Audit), SC (System &amp; Comms Protection)</w:t>
            </w:r>
          </w:p>
        </w:tc>
      </w:tr>
      <w:tr>
        <w:tc>
          <w:tcPr>
            <w:tcW w:type="dxa" w:w="1900"/>
            <w:tcBorders>
              <w:top w:val="single" w:color="BBBBBB" w:sz="1"/>
              <w:left w:val="single" w:color="BBBBBB" w:sz="1"/>
              <w:bottom w:val="single" w:color="BBBBBB" w:sz="1"/>
              <w:right w:val="single" w:color="BBBBBB" w:sz="1"/>
            </w:tcBorders>
            <w:shd w:fill="2F9E44" w:val="clear"/>
            <w:tcMar>
              <w:top w:type="dxa" w:w="60"/>
              <w:left w:type="dxa" w:w="110"/>
              <w:bottom w:type="dxa" w:w="60"/>
              <w:right w:type="dxa" w:w="110"/>
            </w:tcMar>
            <w:vAlign w:val="center"/>
          </w:tcPr>
          <w:p>
            <w:pPr>
              <w:spacing w:after="0" w:line="252"/>
            </w:pPr>
            <w:r>
              <w:rPr>
                <w:b/>
                <w:bCs/>
                <w:color w:val="FFFFFF"/>
                <w:sz w:val="20"/>
                <w:szCs w:val="20"/>
              </w:rPr>
              <w:t xml:space="preserve">Low</w:t>
            </w:r>
          </w:p>
        </w:tc>
        <w:tc>
          <w:tcPr>
            <w:tcW w:type="dxa" w:w="12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3</w:t>
            </w:r>
          </w:p>
        </w:tc>
        <w:tc>
          <w:tcPr>
            <w:tcW w:type="dxa" w:w="62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CM (Configuration Management), SI</w:t>
            </w:r>
          </w:p>
        </w:tc>
      </w:tr>
    </w:tbl>
    <w:p>
      <w:r>
        <w:br w:type="page"/>
      </w:r>
    </w:p>
    <w:p>
      <w:pPr>
        <w:pStyle w:val="Heading1"/>
      </w:pPr>
      <w:r>
        <w:t xml:space="preserve">2. Assessment Scope and Methodology</w:t>
      </w:r>
    </w:p>
    <w:p>
      <w:pPr>
        <w:spacing w:after="120" w:line="264"/>
      </w:pPr>
      <w:r>
        <w:rPr>
          <w:b/>
          <w:bCs/>
        </w:rPr>
        <w:t xml:space="preserve">Standard. </w:t>
      </w:r>
      <w:r>
        <w:t xml:space="preserve">Conducted per NIST SP 800-115 (planning → discovery → attack → reporting) to satisfy NIST SP 800-53 Rev. 5 control CA-8. Findings include the associated control identifiers and a likelihood/impact rating consistent with NIST SP 800-30 risk methodology.</w:t>
      </w:r>
    </w:p>
    <w:p>
      <w:pPr>
        <w:spacing w:after="120" w:line="264"/>
      </w:pPr>
      <w:r>
        <w:rPr>
          <w:b/>
          <w:bCs/>
        </w:rPr>
        <w:t xml:space="preserve">Scope. </w:t>
      </w:r>
      <w:r>
        <w:t xml:space="preserve">External: efile.drs.state.gov and sso.drs.state.gov. Internal (assumed breach): the 10.40.12.0/22 application segment via an Agency-provided jump host. All testing was performed by Tier 2–cleared U.S.-person assessors from the Agency assessment subnet, within the approved windows, with no copying of FTI off Agency systems.</w:t>
      </w:r>
    </w:p>
    <w:p>
      <w:pPr>
        <w:pStyle w:val="Heading1"/>
      </w:pPr>
      <w:r>
        <w:t xml:space="preserve">3.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1500"/>
        <w:gridCol w:w="1500"/>
        <w:gridCol w:w="1200"/>
      </w:tblGrid>
      <w:tr>
        <w:trPr>
          <w:tblHeader/>
        </w:trPr>
        <w:tc>
          <w:tcPr>
            <w:tcW w:type="dxa" w:w="11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ID</w:t>
            </w:r>
          </w:p>
        </w:tc>
        <w:tc>
          <w:tcPr>
            <w:tcW w:type="dxa" w:w="406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Finding</w:t>
            </w:r>
          </w:p>
        </w:tc>
        <w:tc>
          <w:tcPr>
            <w:tcW w:type="dxa" w:w="15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Severity</w:t>
            </w:r>
          </w:p>
        </w:tc>
        <w:tc>
          <w:tcPr>
            <w:tcW w:type="dxa" w:w="15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800-53</w:t>
            </w:r>
          </w:p>
        </w:tc>
        <w:tc>
          <w:tcPr>
            <w:tcW w:type="dxa" w:w="12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line="252"/>
              <w:jc w:val="left"/>
            </w:pPr>
            <w:r>
              <w:rPr>
                <w:b/>
                <w:bCs/>
                <w:color w:val="FFFFFF"/>
                <w:sz w:val="20"/>
                <w:szCs w:val="20"/>
              </w:rPr>
              <w:t xml:space="preserve">Status</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DRS-01</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Kerberoastable service accounts with weak passwords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color w:val="E8590C"/>
                <w:sz w:val="20"/>
                <w:szCs w:val="20"/>
              </w:rPr>
              <w:t xml:space="preserve">High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IA-5, AC-6</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DRS-02</w:t>
            </w:r>
          </w:p>
        </w:tc>
        <w:tc>
          <w:tcPr>
            <w:tcW w:type="dxa" w:w="40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Excessive privileged group membership (Domain Admins)</w:t>
            </w:r>
          </w:p>
        </w:tc>
        <w:tc>
          <w:tcPr>
            <w:tcW w:type="dxa" w:w="1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jc w:val="center"/>
            </w:pPr>
            <w:r>
              <w:rPr>
                <w:b/>
                <w:bCs/>
                <w:color w:val="E8590C"/>
                <w:sz w:val="20"/>
                <w:szCs w:val="20"/>
              </w:rPr>
              <w:t xml:space="preserve">High</w:t>
            </w:r>
          </w:p>
        </w:tc>
        <w:tc>
          <w:tcPr>
            <w:tcW w:type="dxa" w:w="1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AC-2, AC-6</w:t>
            </w:r>
          </w:p>
        </w:tc>
        <w:tc>
          <w:tcPr>
            <w:tcW w:type="dxa" w:w="12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DRS-03</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LLMNR/NBT-NS enabled — credential capture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color w:val="F08C00"/>
                <w:sz w:val="20"/>
                <w:szCs w:val="20"/>
              </w:rPr>
              <w:t xml:space="preserve">Medium</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SC-8, AC-4</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DRS-04</w:t>
            </w:r>
          </w:p>
        </w:tc>
        <w:tc>
          <w:tcPr>
            <w:tcW w:type="dxa" w:w="40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Local administrator password reuse (no LAPS)</w:t>
            </w:r>
          </w:p>
        </w:tc>
        <w:tc>
          <w:tcPr>
            <w:tcW w:type="dxa" w:w="1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jc w:val="center"/>
            </w:pPr>
            <w:r>
              <w:rPr>
                <w:b/>
                <w:bCs/>
                <w:color w:val="F08C00"/>
                <w:sz w:val="20"/>
                <w:szCs w:val="20"/>
              </w:rPr>
              <w:t xml:space="preserve">Medium</w:t>
            </w:r>
          </w:p>
        </w:tc>
        <w:tc>
          <w:tcPr>
            <w:tcW w:type="dxa" w:w="1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AC-6, IA-5</w:t>
            </w:r>
          </w:p>
        </w:tc>
        <w:tc>
          <w:tcPr>
            <w:tcW w:type="dxa" w:w="12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DRS-05</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Insufficient audit logging on app segment</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color w:val="F08C00"/>
                <w:sz w:val="20"/>
                <w:szCs w:val="20"/>
              </w:rPr>
              <w:t xml:space="preserve">Medium</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AU-2, AU-6</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DRS-06</w:t>
            </w:r>
          </w:p>
        </w:tc>
        <w:tc>
          <w:tcPr>
            <w:tcW w:type="dxa" w:w="40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Legacy TLS 1.0/1.1 enabled on SSO</w:t>
            </w:r>
          </w:p>
        </w:tc>
        <w:tc>
          <w:tcPr>
            <w:tcW w:type="dxa" w:w="1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jc w:val="center"/>
            </w:pPr>
            <w:r>
              <w:rPr>
                <w:b/>
                <w:bCs/>
                <w:color w:val="F08C00"/>
                <w:sz w:val="20"/>
                <w:szCs w:val="20"/>
              </w:rPr>
              <w:t xml:space="preserve">Medium</w:t>
            </w:r>
          </w:p>
        </w:tc>
        <w:tc>
          <w:tcPr>
            <w:tcW w:type="dxa" w:w="1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SC-8, SC-13</w:t>
            </w:r>
          </w:p>
        </w:tc>
        <w:tc>
          <w:tcPr>
            <w:tcW w:type="dxa" w:w="12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DRS-07</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Missing security headers on e-File portal</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color w:val="2F9E44"/>
                <w:sz w:val="20"/>
                <w:szCs w:val="20"/>
              </w:rPr>
              <w:t xml:space="preserve">Low</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SC-18</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Open</w:t>
            </w:r>
          </w:p>
        </w:tc>
      </w:tr>
    </w:tbl>
    <w:p>
      <w:r>
        <w:br w:type="page"/>
      </w:r>
    </w:p>
    <w:p>
      <w:pPr>
        <w:pStyle w:val="Heading1"/>
      </w:pPr>
      <w:r>
        <w:t xml:space="preserve">4. Detailed Findings</w:t>
      </w:r>
    </w:p>
    <w:p>
      <w:pPr>
        <w:pStyle w:val="Heading2"/>
      </w:pPr>
      <w:r>
        <w:t xml:space="preserve">DRS-01 — Kerberoastable Service Accounts with Weak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pPr>
            <w:r>
              <w:rPr>
                <w:b/>
                <w:bCs/>
                <w:color w:val="FFFFFF"/>
                <w:sz w:val="19"/>
                <w:szCs w:val="19"/>
              </w:rPr>
              <w:t xml:space="preserve">Severity</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color w:val="E8590C"/>
                <w:sz w:val="20"/>
                <w:szCs w:val="20"/>
              </w:rPr>
              <w:t xml:space="preserve">High</w:t>
            </w:r>
          </w:p>
        </w:tc>
      </w:tr>
      <w:tr>
        <w:tc>
          <w:tcPr>
            <w:tcW w:type="dxa" w:w="19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pPr>
            <w:r>
              <w:rPr>
                <w:b/>
                <w:bCs/>
                <w:color w:val="FFFFFF"/>
                <w:sz w:val="19"/>
                <w:szCs w:val="19"/>
              </w:rPr>
              <w:t xml:space="preserve">CVSS v3.1</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sz w:val="19"/>
                <w:szCs w:val="19"/>
              </w:rPr>
              <w:t xml:space="preserve">Likelihood: High · Impact: High · NIST 800-53: IA-5, AC-6</w:t>
            </w:r>
          </w:p>
        </w:tc>
      </w:tr>
      <w:tr>
        <w:tc>
          <w:tcPr>
            <w:tcW w:type="dxa" w:w="19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pPr>
            <w:r>
              <w:rPr>
                <w:b/>
                <w:bCs/>
                <w:color w:val="FFFFFF"/>
                <w:sz w:val="19"/>
                <w:szCs w:val="19"/>
              </w:rPr>
              <w:t xml:space="preserve">Affected</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rFonts w:ascii="Consolas" w:cs="Consolas" w:eastAsia="Consolas" w:hAnsi="Consolas"/>
                <w:sz w:val="19"/>
                <w:szCs w:val="19"/>
              </w:rPr>
              <w:t xml:space="preserve">Active Directory — svc_sql, svc_backup</w:t>
            </w:r>
          </w:p>
        </w:tc>
      </w:tr>
      <w:tr>
        <w:tc>
          <w:tcPr>
            <w:tcW w:type="dxa" w:w="19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pPr>
            <w:r>
              <w:rPr>
                <w:b/>
                <w:bCs/>
                <w:color w:val="FFFFFF"/>
                <w:sz w:val="19"/>
                <w:szCs w:val="19"/>
              </w:rPr>
              <w:t xml:space="preserve">ATT&amp;CK</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sz w:val="19"/>
                <w:szCs w:val="19"/>
              </w:rPr>
              <w:t xml:space="preserve">T1558.003 — Kerberoasting</w:t>
            </w:r>
          </w:p>
        </w:tc>
      </w:tr>
    </w:tbl>
    <w:p>
      <w:pPr>
        <w:spacing w:after="80"/>
      </w:pPr>
      <w:r>
        <w:t xml:space="preserve"/>
      </w:r>
    </w:p>
    <w:p>
      <w:pPr>
        <w:pStyle w:val="Heading3"/>
      </w:pPr>
      <w:r>
        <w:t xml:space="preserve">Description</w:t>
      </w:r>
    </w:p>
    <w:p>
      <w:pPr>
        <w:spacing w:after="120" w:line="264"/>
      </w:pPr>
      <w:r>
        <w:t xml:space="preserve">Two service accounts with Service Principal Names were configured with weak, non-expiring passwords. From the assumed-breach foothold, the assessor requested service tickets and cracked them offline, obtaining credentials that were also members of privileged groups.</w:t>
      </w:r>
    </w:p>
    <w:p>
      <w:pPr>
        <w:pStyle w:val="Heading3"/>
      </w:pPr>
      <w:r>
        <w:t xml:space="preserve">Proof of Concept</w:t>
      </w:r>
    </w:p>
    <w:p>
      <w:pPr>
        <w:shd w:fill="F4F6F8" w:val="clear"/>
        <w:spacing w:after="40"/>
      </w:pPr>
      <w:r>
        <w:rPr>
          <w:rFonts w:ascii="Consolas" w:cs="Consolas" w:eastAsia="Consolas" w:hAnsi="Consolas"/>
          <w:sz w:val="18"/>
          <w:szCs w:val="18"/>
        </w:rPr>
        <w:t xml:space="preserve">Rubeus kerberoast /outfile:hashes.txt  (collected TGS-REP for SPN-enabled accounts)</w:t>
      </w:r>
    </w:p>
    <w:p>
      <w:pPr>
        <w:shd w:fill="F4F6F8" w:val="clear"/>
        <w:spacing w:after="40"/>
      </w:pPr>
      <w:r>
        <w:rPr>
          <w:rFonts w:ascii="Consolas" w:cs="Consolas" w:eastAsia="Consolas" w:hAnsi="Consolas"/>
          <w:sz w:val="18"/>
          <w:szCs w:val="18"/>
        </w:rPr>
        <w:t xml:space="preserve">hashcat -m 13100 hashes.txt wordlist  — svc_sql cracked in under 5 minutes.</w:t>
      </w:r>
    </w:p>
    <w:p>
      <w:pPr>
        <w:shd w:fill="F4F6F8" w:val="clear"/>
        <w:spacing w:after="40"/>
      </w:pPr>
      <w:r>
        <w:rPr>
          <w:rFonts w:ascii="Consolas" w:cs="Consolas" w:eastAsia="Consolas" w:hAnsi="Consolas"/>
          <w:sz w:val="18"/>
          <w:szCs w:val="18"/>
        </w:rPr>
        <w:t xml:space="preserve">svc_sql was a member of a group with local admin on multiple app servers (see DRS-02).</w:t>
      </w:r>
    </w:p>
    <w:p>
      <w:pPr>
        <w:pStyle w:val="Heading3"/>
      </w:pPr>
      <w:r>
        <w:t xml:space="preserve">Business Impact</w:t>
      </w:r>
    </w:p>
    <w:p>
      <w:pPr>
        <w:spacing w:after="120" w:line="264"/>
      </w:pPr>
      <w:r>
        <w:t xml:space="preserve">Enables privilege escalation and lateral movement toward systems adjacent to the FTI boundary. Directly undermines least-privilege (AC-6) and authenticator strength (IA-5).</w:t>
      </w:r>
    </w:p>
    <w:p>
      <w:pPr>
        <w:pStyle w:val="Heading3"/>
      </w:pPr>
      <w:r>
        <w:t xml:space="preserve">Remediation</w:t>
      </w:r>
    </w:p>
    <w:p>
      <w:pPr>
        <w:pStyle w:val="ListParagraph"/>
        <w:numPr>
          <w:ilvl w:val="0"/>
          <w:numId w:val="2"/>
        </w:numPr>
        <w:spacing w:after="60" w:line="260"/>
      </w:pPr>
      <w:r>
        <w:t xml:space="preserve">Replace service-account passwords with 25+ character random secrets or migrate to Group Managed Service Accounts (gMSA).</w:t>
      </w:r>
    </w:p>
    <w:p>
      <w:pPr>
        <w:pStyle w:val="ListParagraph"/>
        <w:numPr>
          <w:ilvl w:val="0"/>
          <w:numId w:val="2"/>
        </w:numPr>
        <w:spacing w:after="60" w:line="260"/>
      </w:pPr>
      <w:r>
        <w:t xml:space="preserve">Remove service accounts from privileged groups; apply least privilege.</w:t>
      </w:r>
    </w:p>
    <w:p>
      <w:pPr>
        <w:pStyle w:val="ListParagraph"/>
        <w:numPr>
          <w:ilvl w:val="0"/>
          <w:numId w:val="2"/>
        </w:numPr>
        <w:spacing w:after="60" w:line="260"/>
      </w:pPr>
      <w:r>
        <w:t xml:space="preserve">Enable AES Kerberos encryption and monitor event ID 4769 for anomalous TGS requests.</w:t>
      </w:r>
    </w:p>
    <w:p>
      <w:pPr>
        <w:spacing w:after="160"/>
      </w:pPr>
      <w:r>
        <w:t xml:space="preserve"/>
      </w:r>
    </w:p>
    <w:p>
      <w:pPr>
        <w:pStyle w:val="Heading2"/>
      </w:pPr>
      <w:r>
        <w:t xml:space="preserve">DRS-02 — Excessive Privileged Group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pPr>
            <w:r>
              <w:rPr>
                <w:b/>
                <w:bCs/>
                <w:color w:val="FFFFFF"/>
                <w:sz w:val="19"/>
                <w:szCs w:val="19"/>
              </w:rPr>
              <w:t xml:space="preserve">Severity</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color w:val="E8590C"/>
                <w:sz w:val="20"/>
                <w:szCs w:val="20"/>
              </w:rPr>
              <w:t xml:space="preserve">High</w:t>
            </w:r>
          </w:p>
        </w:tc>
      </w:tr>
      <w:tr>
        <w:tc>
          <w:tcPr>
            <w:tcW w:type="dxa" w:w="19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pPr>
            <w:r>
              <w:rPr>
                <w:b/>
                <w:bCs/>
                <w:color w:val="FFFFFF"/>
                <w:sz w:val="19"/>
                <w:szCs w:val="19"/>
              </w:rPr>
              <w:t xml:space="preserve">CVSS v3.1</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sz w:val="19"/>
                <w:szCs w:val="19"/>
              </w:rPr>
              <w:t xml:space="preserve">Likelihood: Medium · Impact: High · NIST 800-53: AC-2, AC-6</w:t>
            </w:r>
          </w:p>
        </w:tc>
      </w:tr>
      <w:tr>
        <w:tc>
          <w:tcPr>
            <w:tcW w:type="dxa" w:w="19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pPr>
            <w:r>
              <w:rPr>
                <w:b/>
                <w:bCs/>
                <w:color w:val="FFFFFF"/>
                <w:sz w:val="19"/>
                <w:szCs w:val="19"/>
              </w:rPr>
              <w:t xml:space="preserve">Affected</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rFonts w:ascii="Consolas" w:cs="Consolas" w:eastAsia="Consolas" w:hAnsi="Consolas"/>
                <w:sz w:val="19"/>
                <w:szCs w:val="19"/>
              </w:rPr>
              <w:t xml:space="preserve">Active Directory — Domain Admins / Server Operators</w:t>
            </w:r>
          </w:p>
        </w:tc>
      </w:tr>
      <w:tr>
        <w:tc>
          <w:tcPr>
            <w:tcW w:type="dxa" w:w="1900"/>
            <w:tcBorders>
              <w:top w:val="single" w:color="BBBBBB" w:sz="1"/>
              <w:left w:val="single" w:color="BBBBBB" w:sz="1"/>
              <w:bottom w:val="single" w:color="BBBBBB" w:sz="1"/>
              <w:right w:val="single" w:color="BBBBBB" w:sz="1"/>
            </w:tcBorders>
            <w:shd w:fill="1B5E3A" w:val="clear"/>
            <w:tcMar>
              <w:top w:type="dxa" w:w="60"/>
              <w:left w:type="dxa" w:w="110"/>
              <w:bottom w:type="dxa" w:w="60"/>
              <w:right w:type="dxa" w:w="110"/>
            </w:tcMar>
            <w:vAlign w:val="center"/>
          </w:tcPr>
          <w:p>
            <w:pPr>
              <w:spacing w:after="0"/>
            </w:pPr>
            <w:r>
              <w:rPr>
                <w:b/>
                <w:bCs/>
                <w:color w:val="FFFFFF"/>
                <w:sz w:val="19"/>
                <w:szCs w:val="19"/>
              </w:rPr>
              <w:t xml:space="preserve">ATT&amp;CK</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sz w:val="19"/>
                <w:szCs w:val="19"/>
              </w:rPr>
              <w:t xml:space="preserve">T1078.002 — Domain Accounts</w:t>
            </w:r>
          </w:p>
        </w:tc>
      </w:tr>
    </w:tbl>
    <w:p>
      <w:pPr>
        <w:spacing w:after="80"/>
      </w:pPr>
      <w:r>
        <w:t xml:space="preserve"/>
      </w:r>
    </w:p>
    <w:p>
      <w:pPr>
        <w:pStyle w:val="Heading3"/>
      </w:pPr>
      <w:r>
        <w:t xml:space="preserve">Description</w:t>
      </w:r>
    </w:p>
    <w:p>
      <w:pPr>
        <w:spacing w:after="120" w:line="264"/>
      </w:pPr>
      <w:r>
        <w:t xml:space="preserve">The Domain Admins group contained 19 accounts, including several service and stale user accounts. Combined with DRS-01, this created multiple viable paths to domain-wide compromise, as confirmed via BloodHound attack-path analysis (no changes were made).</w:t>
      </w:r>
    </w:p>
    <w:p>
      <w:pPr>
        <w:pStyle w:val="Heading3"/>
      </w:pPr>
      <w:r>
        <w:t xml:space="preserve">Proof of Concept</w:t>
      </w:r>
    </w:p>
    <w:p>
      <w:pPr>
        <w:shd w:fill="F4F6F8" w:val="clear"/>
        <w:spacing w:after="40"/>
      </w:pPr>
      <w:r>
        <w:rPr>
          <w:rFonts w:ascii="Consolas" w:cs="Consolas" w:eastAsia="Consolas" w:hAnsi="Consolas"/>
          <w:sz w:val="18"/>
          <w:szCs w:val="18"/>
        </w:rPr>
        <w:t xml:space="preserve">BloodHound analysis identified a 2-hop path from the cracked svc_sql account to Domain Admin.</w:t>
      </w:r>
    </w:p>
    <w:p>
      <w:pPr>
        <w:shd w:fill="F4F6F8" w:val="clear"/>
        <w:spacing w:after="40"/>
      </w:pPr>
      <w:r>
        <w:rPr>
          <w:rFonts w:ascii="Consolas" w:cs="Consolas" w:eastAsia="Consolas" w:hAnsi="Consolas"/>
          <w:sz w:val="18"/>
          <w:szCs w:val="18"/>
        </w:rPr>
        <w:t xml:space="preserve">12 of 19 privileged accounts had not logged in within 90 days.</w:t>
      </w:r>
    </w:p>
    <w:p>
      <w:pPr>
        <w:pStyle w:val="Heading3"/>
      </w:pPr>
      <w:r>
        <w:t xml:space="preserve">Business Impact</w:t>
      </w:r>
    </w:p>
    <w:p>
      <w:pPr>
        <w:spacing w:after="120" w:line="264"/>
      </w:pPr>
      <w:r>
        <w:t xml:space="preserve">A single foothold can escalate to control of the domain, including hosts bordering the FTI environment. Violates least privilege and account management controls.</w:t>
      </w:r>
    </w:p>
    <w:p>
      <w:pPr>
        <w:pStyle w:val="Heading3"/>
      </w:pPr>
      <w:r>
        <w:t xml:space="preserve">Remediation</w:t>
      </w:r>
    </w:p>
    <w:p>
      <w:pPr>
        <w:pStyle w:val="ListParagraph"/>
        <w:numPr>
          <w:ilvl w:val="0"/>
          <w:numId w:val="2"/>
        </w:numPr>
        <w:spacing w:after="60" w:line="260"/>
      </w:pPr>
      <w:r>
        <w:t xml:space="preserve">Reduce Domain Admins to the minimum necessary; remove service and stale accounts.</w:t>
      </w:r>
    </w:p>
    <w:p>
      <w:pPr>
        <w:pStyle w:val="ListParagraph"/>
        <w:numPr>
          <w:ilvl w:val="0"/>
          <w:numId w:val="2"/>
        </w:numPr>
        <w:spacing w:after="60" w:line="260"/>
      </w:pPr>
      <w:r>
        <w:t xml:space="preserve">Implement tiered administration and Privileged Access Workstations.</w:t>
      </w:r>
    </w:p>
    <w:p>
      <w:pPr>
        <w:pStyle w:val="ListParagraph"/>
        <w:numPr>
          <w:ilvl w:val="0"/>
          <w:numId w:val="2"/>
        </w:numPr>
        <w:spacing w:after="60" w:line="260"/>
      </w:pPr>
      <w:r>
        <w:t xml:space="preserve">Review privileged group membership quarterly (AC-2 review cadence).</w:t>
      </w:r>
    </w:p>
    <w:p>
      <w:pPr>
        <w:spacing w:after="160"/>
      </w:pPr>
      <w:r>
        <w:t xml:space="preserve"/>
      </w:r>
    </w:p>
    <w:p>
      <w:pPr>
        <w:spacing w:after="120" w:line="264"/>
      </w:pPr>
      <w:r>
        <w:rPr>
          <w:b/>
          <w:bCs/>
        </w:rPr>
        <w:t xml:space="preserve">Findings DRS-03 through DRS-07 </w:t>
      </w:r>
      <w:r>
        <w:t xml:space="preserve">are documented in full in the SAR findings appendix with description, evidence, mapped controls, and remediation, in the same format as above, and feed directly into the system POA&amp;M.</w:t>
      </w:r>
    </w:p>
    <w:p>
      <w:pPr>
        <w:pStyle w:val="Heading1"/>
      </w:pPr>
      <w:r>
        <w:t xml:space="preserve">5. Risk Assessment and POA&amp;M Input</w:t>
      </w:r>
    </w:p>
    <w:p>
      <w:pPr>
        <w:spacing w:after="120" w:line="264"/>
      </w:pPr>
      <w:r>
        <w:t xml:space="preserve">Each finding above is provided with a recommended remediation and target milestone for inclusion in the system Plan of Action &amp; Milestones (POA&amp;M). Aegis recommends remediating the two High findings (DRS-01, DRS-02) prior to the Authorizing Official’s ATO decision, with the Moderate findings scheduled within 90 days. The residual risk after planned remediation is assessed as Low–Moderate, consistent with continued operation of the system.</w:t>
      </w:r>
    </w:p>
    <w:p>
      <w:pPr>
        <w:pStyle w:val="Heading1"/>
      </w:pPr>
      <w:r>
        <w:t xml:space="preserve">6. Conclusion</w:t>
      </w:r>
    </w:p>
    <w:p>
      <w:pPr>
        <w:spacing w:after="120" w:line="264"/>
      </w:pPr>
      <w:r>
        <w:t xml:space="preserve">The Taxpayer e-File System demonstrated a sound external perimeter but internal privileged-access and credential-management weaknesses that warrant prompt remediation. None of the findings indicate an active compromise, and no Federal Tax Information was accessed or exfiltrated during the assessment. Upon remediation, Aegis will re-test the affected controls and issue an updated SAR to support the authorization decision.</w:t>
      </w:r>
    </w:p>
    <w:p>
      <w:pPr>
        <w:pStyle w:val="Heading1"/>
      </w:pPr>
      <w:r>
        <w:t xml:space="preserve">Appendix A — Severity Rating Method</w:t>
      </w:r>
    </w:p>
    <w:p>
      <w:pPr>
        <w:spacing w:after="120" w:line="264"/>
      </w:pPr>
      <w:r>
        <w:t xml:space="preserve">Severity reflects a combination of likelihood and impact per NIST SP 800-30, expressed here as Critical/High/Moderate/Low and cross-referenced to the affected NIST SP 800-53 Rev. 5 controls. This supports direct traceability from technical finding to control deficiency and POA&amp;M entry.</w:t>
      </w:r>
    </w:p>
    <w:p>
      <w:pPr>
        <w:pStyle w:val="Heading1"/>
      </w:pPr>
      <w:r>
        <w:t xml:space="preserve">Appendix B — Tools and Authorized Infrastructure</w:t>
      </w:r>
    </w:p>
    <w:p>
      <w:pPr>
        <w:spacing w:after="120" w:line="264"/>
      </w:pPr>
      <w:r>
        <w:t xml:space="preserve">Nmap, BloodHound, Rubeus, Impacket, hashcat, Responder (capture-only, no relaying), and Burp Suite Professional, operated exclusively from the Agency-provided assessment subnet by cleared assessors. No assessment data left the Agency CUI enclave.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color w:val="888888"/>
        <w:sz w:val="15"/>
        <w:szCs w:val="15"/>
      </w:rPr>
      <w:t xml:space="preserve">CUI // SP-PRVCY — Do Not Distribute</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A" w:sz="4" w:space="2"/>
      </w:pBdr>
      <w:tabs>
        <w:tab w:val="right" w:pos="9360"/>
      </w:tabs>
      <w:spacing w:after="60"/>
    </w:pPr>
    <w:r>
      <w:rPr>
        <w:b/>
        <w:bCs/>
        <w:color w:val="1B5E3A"/>
        <w:sz w:val="16"/>
        <w:szCs w:val="16"/>
      </w:rPr>
      <w:t xml:space="preserve">Aegis Federal Security</w:t>
    </w:r>
    <w:r>
      <w:rPr>
        <w:b/>
        <w:bCs/>
        <w:color w:val="C00000"/>
        <w:sz w:val="16"/>
        <w:szCs w:val="16"/>
      </w:rPr>
      <w:t xml:space="preserve">	CUI // SP-PRVCY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3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B5E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2026-06-13T15:28:12.054Z</dcterms:created>
  <dcterms:modified xsi:type="dcterms:W3CDTF">2026-06-13T15:28:12.054Z</dcterms:modified>
</cp:coreProperties>
</file>

<file path=docProps/custom.xml><?xml version="1.0" encoding="utf-8"?>
<Properties xmlns="http://schemas.openxmlformats.org/officeDocument/2006/custom-properties" xmlns:vt="http://schemas.openxmlformats.org/officeDocument/2006/docPropsVTypes"/>
</file>