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[Importaciones]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poder realizar traspasos de productos entre almacenes se tiene que recurrir a las transferencias internas. Estas transferencias se tienen que crear desde el almacén en el que se encuentra actualmente el producto. Para ello se tiene que ir a: </w:t>
      </w:r>
      <w:r w:rsidDel="00000000" w:rsidR="00000000" w:rsidRPr="00000000">
        <w:rPr>
          <w:b w:val="1"/>
          <w:rtl w:val="0"/>
        </w:rPr>
        <w:t xml:space="preserve">Inventario ► Tablero</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Utilizar el motor de búsqueda hasta encontrar el almacén de interés (Revisar </w:t>
      </w:r>
      <w:r w:rsidDel="00000000" w:rsidR="00000000" w:rsidRPr="00000000">
        <w:rPr>
          <w:b w:val="1"/>
          <w:rtl w:val="0"/>
        </w:rPr>
        <w:t xml:space="preserve">Motor de búsqueda</w:t>
      </w:r>
      <w:r w:rsidDel="00000000" w:rsidR="00000000" w:rsidRPr="00000000">
        <w:rPr>
          <w:rtl w:val="0"/>
        </w:rPr>
        <w:t xml:space="preserve">), en el tablero que tiene el título de transferencias internas pulsar el botón </w:t>
      </w:r>
      <w:r w:rsidDel="00000000" w:rsidR="00000000" w:rsidRPr="00000000">
        <w:rPr>
          <w:u w:val="single"/>
          <w:rtl w:val="0"/>
        </w:rPr>
        <w:t xml:space="preserve">Transferencias</w:t>
      </w:r>
      <w:r w:rsidDel="00000000" w:rsidR="00000000" w:rsidRPr="00000000">
        <w:rPr>
          <w:rtl w:val="0"/>
        </w:rPr>
        <w:t xml:space="preserve">.  Se irá a una ventana en la que se encuentran listadas todas las transferencias internas en estado “preparado” del almacén, para crear simplemente se pulsa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Una vez creada la transferencia existirán campos llenos y otros que deben ser llenados. Los campos son los siguientes: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‘Ubicación origen’: El campo se llena automáticamente con la ubicación del almacén en el que se creó la transferencia interna.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‘Ubicación destino’: El campo se llena automáticamente con la ubicación del almacén en el que se creó la transferencia interna, pero debe ser modificado y llenado con la ubicación de destino con el sufijo /Existencias.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‘Número de producción’: Se puede especificar la orden de producción a la que pertenecen los productos que están siendo transferidos.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estimada de arribo’: Se tiene que llenar con la fecha en la que los productos deberían llegar a su destino.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‘Documento origen’: En caso de que el albarán fue creado a partir de otro documento, se llena con el nombre de ese documento automáticamente.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 de guía’: Se tiene que llenar con el número de guía de transporte si corresponde.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 pestaña “Demanda inicial” se encuentra una tabla en la que se tienen que especificar las líneas de productos que se desean transferir. Para agregar una línea de producto se pulsa sobre el enlace </w:t>
      </w:r>
      <w:r w:rsidDel="00000000" w:rsidR="00000000" w:rsidRPr="00000000">
        <w:rPr>
          <w:u w:val="single"/>
          <w:rtl w:val="0"/>
        </w:rPr>
        <w:t xml:space="preserve">Añadir un elemento</w:t>
      </w:r>
      <w:r w:rsidDel="00000000" w:rsidR="00000000" w:rsidRPr="00000000">
        <w:rPr>
          <w:rtl w:val="0"/>
        </w:rPr>
        <w:t xml:space="preserve"> y se tienen que llenar algunos datos. Los datos de la tabla son los siguientes: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El campo se tiene que llenar con el nombre del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‘Cantidad’: El campo se tiene llenar con la cantidad de productos que se desean transferir.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El campo se llena de forma automática con la unidad de medida del producto que se encuentra especificado en el dato maestro del producto que se especificó en el campo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‘Estado’: Se llena de forma automática con el estado “Nuevo”, no puede ser modificado.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interno’: Color interno del vehículo. Se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externo’: Color externo del vehículo. Se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‘Modelo’: Modelo del vehículo. Se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‘Marca’: Marca del producto. Se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‘Precio Unidad’: Precio unitario del producto. Se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‘Costo Flete’: Costo de flete del producto. Se tiene que dejar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‘Costo seguro’: Costo de seguro del vehículo. Se tiene que dejar en blanco.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Posteriormente se tiene que ir a la pestaña “Información adicional” y revisar los siguientes campos: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‘Método entrega’: El campo se llena de forma automática con ‘Parcial, pero se tiene que seleccionar de la persiana desplegable ‘Todo junto’, ya que no se crearán transferencias internas de entregas parciales.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‘Tipo albarán’: Se llenará de forma automática con el nombre del almacén en el que se creó la transferencia interna con el sufijo :Transferencias. No debe ser modificado.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‘Transportista’: Se tiene que llenar el campo con el nombre del transportista encargado de llevar a cabo la transferencia. Si no es necesario se lo deja en blanco.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‘Grupo de abastecimiento’: Se queda en blanco y no puede ser modificado.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‘Prioridad’: Puede especificar la prioridad para procesar el albarán.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‘Placa’: Se tiene que llenar el campo con la placa del vehículo de transporte. Si no es necesario se lo deja en blanco.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Se tiene que revisar que los datos llenados son los correctos, después pulsar el botón </w:t>
      </w:r>
      <w:r w:rsidDel="00000000" w:rsidR="00000000" w:rsidRPr="00000000">
        <w:rPr>
          <w:u w:val="single"/>
          <w:rtl w:val="0"/>
        </w:rPr>
        <w:t xml:space="preserve">Guardar</w:t>
      </w:r>
      <w:r w:rsidDel="00000000" w:rsidR="00000000" w:rsidRPr="00000000">
        <w:rPr>
          <w:rtl w:val="0"/>
        </w:rPr>
        <w:t xml:space="preserve">. Si existe alguna modificación adicional que se tenga que hacer, se pulsa el botón </w:t>
      </w:r>
      <w:r w:rsidDel="00000000" w:rsidR="00000000" w:rsidRPr="00000000">
        <w:rPr>
          <w:u w:val="single"/>
          <w:rtl w:val="0"/>
        </w:rPr>
        <w:t xml:space="preserve">Editar</w:t>
      </w:r>
      <w:r w:rsidDel="00000000" w:rsidR="00000000" w:rsidRPr="00000000">
        <w:rPr>
          <w:rtl w:val="0"/>
        </w:rPr>
        <w:t xml:space="preserve"> se modifican los campos necesarios y se pulsa el botón </w:t>
      </w:r>
      <w:r w:rsidDel="00000000" w:rsidR="00000000" w:rsidRPr="00000000">
        <w:rPr>
          <w:u w:val="single"/>
          <w:rtl w:val="0"/>
        </w:rPr>
        <w:t xml:space="preserve">Guardar.</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toda la información es correcta se tiene que pulsar el botón </w:t>
      </w:r>
      <w:r w:rsidDel="00000000" w:rsidR="00000000" w:rsidRPr="00000000">
        <w:rPr>
          <w:u w:val="single"/>
          <w:rtl w:val="0"/>
        </w:rPr>
        <w:t xml:space="preserve">Marcar por hacer</w:t>
      </w:r>
      <w:r w:rsidDel="00000000" w:rsidR="00000000" w:rsidRPr="00000000">
        <w:rPr>
          <w:rtl w:val="0"/>
        </w:rPr>
        <w:t xml:space="preserve"> y el botón </w:t>
      </w:r>
      <w:r w:rsidDel="00000000" w:rsidR="00000000" w:rsidRPr="00000000">
        <w:rPr>
          <w:u w:val="single"/>
          <w:rtl w:val="0"/>
        </w:rPr>
        <w:t xml:space="preserve">Reserva</w:t>
      </w:r>
      <w:r w:rsidDel="00000000" w:rsidR="00000000" w:rsidRPr="00000000">
        <w:rPr>
          <w:rtl w:val="0"/>
        </w:rPr>
        <w:t xml:space="preserve">. Hecho esto aparecerá una nueva pestaña denominada “Operaciones”, en la que se encuentra una tabla en la que se tienen que especificar los chasis que serán transferidos. La tabla muestra la siguiente información: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Mostrará el nombre del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Mostrará la unidad de medida del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‘Desde’: Mostrará la ubicación de origen, previamente especificado en la pestaña “Demanda inicial” en el campo ‘Ubicación origen’.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‘Hasta’: Mostrará la ubicación de origen, previamente especificado en la pestaña “Demanda inicial” en el campo ‘Ubicación destino’.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‘Para hacer’: Cantidad previamente especificada en la pestaña de “Demanda inicial” en el campo ‘Cantidad’.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‘Realizado’: De forma similar que en los albaranes de importaciones, van aumentando de acuerdo a los chasis confirmados para la transferencia.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especificar y confirmar los chasis que se transferirán se tiene que pulsar el botón con la siguiente figura:</w:t>
      </w:r>
      <w:r w:rsidDel="00000000" w:rsidR="00000000" w:rsidRPr="00000000">
        <w:rPr/>
        <w:drawing>
          <wp:inline distB="114300" distT="114300" distL="114300" distR="114300">
            <wp:extent cx="247650" cy="190500"/>
            <wp:effectExtent b="0" l="0" r="0" t="0"/>
            <wp:docPr descr="LineasAlbaran.png" id="2" name="image7.png"/>
            <a:graphic>
              <a:graphicData uri="http://schemas.openxmlformats.org/drawingml/2006/picture">
                <pic:pic>
                  <pic:nvPicPr>
                    <pic:cNvPr descr="LineasAlbaran.png" id="0" name="image7.png"/>
                    <pic:cNvPicPr preferRelativeResize="0"/>
                  </pic:nvPicPr>
                  <pic:blipFill>
                    <a:blip r:embed="rId5"/>
                    <a:srcRect b="0" l="0" r="0" t="0"/>
                    <a:stretch>
                      <a:fillRect/>
                    </a:stretch>
                  </pic:blipFill>
                  <pic:spPr>
                    <a:xfrm>
                      <a:off x="0" y="0"/>
                      <a:ext cx="247650" cy="190500"/>
                    </a:xfrm>
                    <a:prstGeom prst="rect"/>
                    <a:ln/>
                  </pic:spPr>
                </pic:pic>
              </a:graphicData>
            </a:graphic>
          </wp:inline>
        </w:drawing>
      </w:r>
      <w:r w:rsidDel="00000000" w:rsidR="00000000" w:rsidRPr="00000000">
        <w:rPr>
          <w:rtl w:val="0"/>
        </w:rPr>
        <w:t xml:space="preserve">de esta manera se abrirá un asistente en el que se verá la siguiente información: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Mostrará el nombre del producto de la línea.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‘Realizado’: Dependiendo de las líneas de chasis  que se confirmen irá aumentando su valor.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En la parte inferior encontrará una tabla con la siguiente información: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‘Lote/N° de serie’: La columna mostrará el chasis del vehículo que será transferido, si desea puede seleccionar otro chasis. Para eso tiene que borrar lo que está en el campo e ir llenando con el número de chasis deseado hasta que el sistema le sugiera el chasis de interés.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‘Armado’: Se marca el cuadro cuando el producto se manda armado.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‘Incidencia registrada’: Se pueden registrar incidencias en el albarán.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Para confirmar la línea de chasis se tiene que pulsar el botón con la siguiente figura:</w:t>
      </w:r>
      <w:r w:rsidDel="00000000" w:rsidR="00000000" w:rsidRPr="00000000">
        <w:rPr/>
        <w:drawing>
          <wp:inline distB="114300" distT="114300" distL="114300" distR="114300">
            <wp:extent cx="247650" cy="228600"/>
            <wp:effectExtent b="0" l="0" r="0" t="0"/>
            <wp:docPr descr="Plus.png" id="5" name="image10.png"/>
            <a:graphic>
              <a:graphicData uri="http://schemas.openxmlformats.org/drawingml/2006/picture">
                <pic:pic>
                  <pic:nvPicPr>
                    <pic:cNvPr descr="Plus.png" id="0" name="image10.png"/>
                    <pic:cNvPicPr preferRelativeResize="0"/>
                  </pic:nvPicPr>
                  <pic:blipFill>
                    <a:blip r:embed="rId6"/>
                    <a:srcRect b="0" l="0" r="0" t="0"/>
                    <a:stretch>
                      <a:fillRect/>
                    </a:stretch>
                  </pic:blipFill>
                  <pic:spPr>
                    <a:xfrm>
                      <a:off x="0" y="0"/>
                      <a:ext cx="247650" cy="228600"/>
                    </a:xfrm>
                    <a:prstGeom prst="rect"/>
                    <a:ln/>
                  </pic:spPr>
                </pic:pic>
              </a:graphicData>
            </a:graphic>
          </wp:inline>
        </w:drawing>
      </w:r>
      <w:r w:rsidDel="00000000" w:rsidR="00000000" w:rsidRPr="00000000">
        <w:rPr>
          <w:rtl w:val="0"/>
        </w:rPr>
        <w:t xml:space="preserve">De esta manera  la línea cambiará de color negro a un color verde, posteriormente se pulsa el botón guardar para cerrar el asistente.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Tiene que repetir los pasos hasta que se confirmen todos los chasis que serán transferidos con el albarán.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Una vez que se termina de confirmar todas las líneas, se pulsa el botón </w:t>
      </w:r>
      <w:r w:rsidDel="00000000" w:rsidR="00000000" w:rsidRPr="00000000">
        <w:rPr>
          <w:u w:val="single"/>
          <w:rtl w:val="0"/>
        </w:rPr>
        <w:t xml:space="preserve">Validar</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la transferencia tiene relación con una carpeta de importación, después de validada aparecerá el campo ‘Carpeta de importación’ debajo de ‘Número de producción’. Para especificar la carpeta se pulsa el botón </w:t>
      </w:r>
      <w:r w:rsidDel="00000000" w:rsidR="00000000" w:rsidRPr="00000000">
        <w:rPr>
          <w:u w:val="single"/>
          <w:rtl w:val="0"/>
        </w:rPr>
        <w:t xml:space="preserve">Editar</w:t>
      </w:r>
      <w:r w:rsidDel="00000000" w:rsidR="00000000" w:rsidRPr="00000000">
        <w:rPr>
          <w:rtl w:val="0"/>
        </w:rPr>
        <w:t xml:space="preserve">, se selecciona el nombre de la carpeta correspondiente y se pulsa el botón </w:t>
      </w:r>
      <w:r w:rsidDel="00000000" w:rsidR="00000000" w:rsidRPr="00000000">
        <w:rPr>
          <w:u w:val="single"/>
          <w:rtl w:val="0"/>
        </w:rPr>
        <w:t xml:space="preserve">Guardar</w:t>
      </w:r>
      <w:r w:rsidDel="00000000" w:rsidR="00000000" w:rsidRPr="00000000">
        <w:rPr>
          <w:rtl w:val="0"/>
        </w:rPr>
        <w:t xml:space="preserve">. De esta forma el albarán ya se encontrará en la carpeta y se le podrán asignar gastos de importación.</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4" name="image9.png"/>
            <a:graphic>
              <a:graphicData uri="http://schemas.openxmlformats.org/drawingml/2006/picture">
                <pic:pic>
                  <pic:nvPicPr>
                    <pic:cNvPr descr="Warning.png" id="0" name="image9.png"/>
                    <pic:cNvPicPr preferRelativeResize="0"/>
                  </pic:nvPicPr>
                  <pic:blipFill>
                    <a:blip r:embed="rId7"/>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tiene que crear la transferencia interna desde el tablero del almacén en el que se encuentra el producto o no se mostrarán los chasises de interés.</w:t>
      </w:r>
      <w:r w:rsidDel="00000000" w:rsidR="00000000" w:rsidRPr="00000000">
        <w:rPr>
          <w:rtl w:val="0"/>
        </w:rPr>
      </w:r>
    </w:p>
    <w:sectPr>
      <w:headerReference r:id="rId8" w:type="default"/>
      <w:footerReference r:id="rId9"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8.jpg"/>
                <a:graphic>
                  <a:graphicData uri="http://schemas.openxmlformats.org/drawingml/2006/picture">
                    <pic:pic>
                      <pic:nvPicPr>
                        <pic:cNvPr descr="Description: C:\Users\Owner\Documents\_Poiesis\Emprendimiento\logo\Poiesis small.jpg" id="0" name="image8.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TRANSFERENCIA INTERNA</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INVENTARIO</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7.png"/><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6.png"/></Relationships>
</file>