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Importaciones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se reciben las pólizas de importación, se los registra en el sistema como</w:t>
      </w:r>
      <w:r w:rsidDel="00000000" w:rsidR="00000000" w:rsidRPr="00000000">
        <w:rPr>
          <w:rtl w:val="0"/>
        </w:rPr>
        <w:t xml:space="preserve"> Factura DUI, para ello debe ir a </w:t>
      </w:r>
      <w:r w:rsidDel="00000000" w:rsidR="00000000" w:rsidRPr="00000000">
        <w:rPr>
          <w:b w:val="1"/>
          <w:rtl w:val="0"/>
        </w:rPr>
        <w:t xml:space="preserve">Contabilidad ► Compras ► Facturas DUI </w:t>
      </w:r>
      <w:r w:rsidDel="00000000" w:rsidR="00000000" w:rsidRPr="00000000">
        <w:rPr>
          <w:rtl w:val="0"/>
        </w:rPr>
        <w:t xml:space="preserve">y pulsar sobre el botón </w:t>
      </w:r>
      <w:r w:rsidDel="00000000" w:rsidR="00000000" w:rsidRPr="00000000">
        <w:rPr>
          <w:u w:val="single"/>
          <w:rtl w:val="0"/>
        </w:rPr>
        <w:t xml:space="preserve">Crear</w:t>
      </w:r>
      <w:r w:rsidDel="00000000" w:rsidR="00000000" w:rsidRPr="00000000">
        <w:rPr>
          <w:rtl w:val="0"/>
        </w:rPr>
        <w:t xml:space="preserve">. De esta forma irá al formulario de la factura en la que tendrá que llenar los siguientes campos: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‘Proveedor’:Tiene que ser llenado con el nombre de la empresa a la que se pagan las DUI. Ya sea la aduana o la despachante de aduana.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‘Referencia de proveedor’: Tiene que ser llenado con el número DUI: AAAADDDCNNNNNNNN donde A &gt; año, D &gt; código de aduana, C &gt; Tipo de trámite y N &gt; número correlativo.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‘Añadir pedido de compra’: NO TOCAR! Si se selecciona una pedido de compra, sobreescribirá la información de la presente factura con la del pedido seleccionado. Seleccionar si se crea una factura con la tercera alternativa mencionada anteriormente.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‘Fecha de factura’: Se tiene que llenar con la fecha de la DUI.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‘Fecha de vencimiento’: Se tiene que llenar la fecha en la cual vencería el pago.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‘Divisa’: Se tiene que seleccionar la moneda con la que se registrará la DUI.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Después de llenar los campos iniciales se tiene que ir a la pestaña “Factura”, pulsar sobre </w:t>
      </w:r>
      <w:r w:rsidDel="00000000" w:rsidR="00000000" w:rsidRPr="00000000">
        <w:rPr>
          <w:u w:val="single"/>
          <w:rtl w:val="0"/>
        </w:rPr>
        <w:t xml:space="preserve">Añadir un elemento</w:t>
      </w:r>
      <w:r w:rsidDel="00000000" w:rsidR="00000000" w:rsidRPr="00000000">
        <w:rPr>
          <w:rtl w:val="0"/>
        </w:rPr>
        <w:t xml:space="preserve">  e ir llenando la siguiente información: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‘Producto’: Se tienen que añadir 3 elementos, los cuales deberían ser: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Gravamen arancelario GA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Impuesto al consumo específico ICE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IVA aduanero (14,9%)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‘Descripción’: El campo se llenará de forma automática con el nombre del producto.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‘Pedido de compra’: Se quedará en blanco y no puede ser modificado.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‘Cuenta’: Se llenará de forma automática con la  cuenta del producto.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‘Cuenta analítica’: Se tiene que seleccionar la cuenta analítica correspondiente.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‘Segmento’: Se lo tiene que llenar con la línea de negocio correspondiente.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‘Cantidad’: Se lo tiene que llenar con 1.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‘Unidad de medida’: Se llena de forma automática con la unidad de medida que se encuentra en el dato maestro del producto.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‘Precio unidad’: Se tiene que llenar con el monto correspondiente.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‘Descuento’: Se lo deja en 0.00.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‘Impuestos’: Se lo tiene que dejar en blanco.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‘Importe’: Se llenará de forma automática con lo que se llene en el campo ‘Precio unidad’.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‘Total’: Se llenará de forma automática con lo que se llene en el campo ‘Precio unidad’.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Posteriormente se tiene que revisar la pestaña “Otra información”, donde se encontrarán los siguientes campos: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‘Diario’: Se llena de forma automática con el diario correspondiente.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‘Responsable’: Se llenará de forma automática con el nombre del usuario que crea la factura.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‘Cuenta’: Se llenará de forma automática con la ‘Cuenta a pagar’ del dato maestro de proveedor.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‘Posición fiscal’: Se lo deja en blanco. El campo sirve para especificar un impuestos particular de un proveedor del exterior.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‘Asiento contable’: Una vez que la factura es validada, aparece este campo y se llenará con un enlace que permite ver el asiento generado.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‘Fecha contable’: Se lo puede dejar en blanco para que se llene con la fecha de la factura.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parte inferior de la pantalla encontrará la información del control SIN con campos que deben ser llenados. Los campos son los siguientes: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‘Nro. Factura’: Se llena de forma automática con el número 0, porque la nota fiscal es una póliza de importación.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‘Nro. Autorización’: Se llena de forma automática con el número 3, porque la nota fiscal es una póliza de importación.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‘Código de control’: Se llena de forma automática con el número 0.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‘NIT Proveedor’: Se tiene que llenar con el Nit del proveedor.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‘Razón Social’: Se tiene que llenar con la razón social del proveedor.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‘Fecha factura fiscal’: Se tiene que copiar la ‘Fecha de factura’.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‘Nro. Póliza Importación’: Tiene que ser llenado con el número DUI: AAAADDDCNNNNNNNN donde A &gt; año, D &gt; código de aduana, C &gt; Tipo de trámite y N &gt; número correlativo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‘Importe IVA’: Se tiene que copiar el monto del IVA aduanero.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‘Importe Exentos’: Se tiene que llenar con el importe de bienes exentos.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‘Importe ICE’: Se tiene que copiar el monto del ICE.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‘Estado SIN’: Se tiene que seleccionar de la pestaña desplegable el estado “Válida”.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Una vez que lleno todos los datos correctamente, se tiene que pulsar  el botón </w:t>
      </w:r>
      <w:r w:rsidDel="00000000" w:rsidR="00000000" w:rsidRPr="00000000">
        <w:rPr>
          <w:u w:val="single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Contabilidad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Para que la factura DUI pueda ser introducida a una carpeta de importación, tiene que estar validada. Si todo se encuentra en orden puede pulsar el botón </w:t>
      </w:r>
      <w:r w:rsidDel="00000000" w:rsidR="00000000" w:rsidRPr="00000000">
        <w:rPr>
          <w:u w:val="single"/>
          <w:rtl w:val="0"/>
        </w:rPr>
        <w:t xml:space="preserve">Validar</w:t>
      </w:r>
      <w:r w:rsidDel="00000000" w:rsidR="00000000" w:rsidRPr="00000000">
        <w:rPr>
          <w:rtl w:val="0"/>
        </w:rPr>
        <w:t xml:space="preserve"> y podrá importar las líneas de esta factura en la carpeta de importación. (Revisar </w:t>
      </w:r>
      <w:r w:rsidDel="00000000" w:rsidR="00000000" w:rsidRPr="00000000">
        <w:rPr>
          <w:b w:val="1"/>
          <w:rtl w:val="0"/>
        </w:rPr>
        <w:t xml:space="preserve">Carpeta de importación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3" name="image6.png"/>
            <a:graphic>
              <a:graphicData uri="http://schemas.openxmlformats.org/drawingml/2006/picture">
                <pic:pic>
                  <pic:nvPicPr>
                    <pic:cNvPr descr="Warning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ADVERTENCIA: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Todos los campos de color azul son de carácter OBLIGATORIO, los demás campos pueden ser dejados en blanco pero proveen información importante para futuras operaciones.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Una vez Validado el documento ocurrirá lo siguiente: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se podrán editar los campos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factura genera asientos contables en el sistema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Se pulsa el botón </w:t>
      </w:r>
      <w:r w:rsidDel="00000000" w:rsidR="00000000" w:rsidRPr="00000000">
        <w:rPr>
          <w:u w:val="single"/>
          <w:rtl w:val="0"/>
        </w:rPr>
        <w:t xml:space="preserve">Validar</w:t>
      </w:r>
      <w:r w:rsidDel="00000000" w:rsidR="00000000" w:rsidRPr="00000000">
        <w:rPr>
          <w:rtl w:val="0"/>
        </w:rPr>
        <w:t xml:space="preserve"> si y sólo sí los valores de los campos son los definitivos.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2" name="image4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FACTURA DUI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COMPRAS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Mes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3.png"/></Relationships>
</file>