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[VARIOS]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motores de búsqueda se encuentran en la parte superior derecha de todos los sub menúes, excepto en los reportes.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recomendable que la vista de los documentos de los sub menúes se encuentren en modo listado, para reducir los tiempos de carga y carga de memoria al servidor.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Existen dos criterios de búsqueda: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u w:val="single"/>
          <w:rtl w:val="0"/>
        </w:rPr>
        <w:t xml:space="preserve">filtrado</w:t>
      </w:r>
      <w:r w:rsidDel="00000000" w:rsidR="00000000" w:rsidRPr="00000000">
        <w:rPr>
          <w:rtl w:val="0"/>
        </w:rPr>
        <w:t xml:space="preserve">: Inicialmente se despliegan filtros predefinidos, pero se pueden agregar más criterios de filtrado al pulsar en </w:t>
      </w:r>
      <w:r w:rsidDel="00000000" w:rsidR="00000000" w:rsidRPr="00000000">
        <w:rPr>
          <w:u w:val="single"/>
          <w:rtl w:val="0"/>
        </w:rPr>
        <w:t xml:space="preserve">Añadir filtro personalizado</w:t>
      </w:r>
      <w:r w:rsidDel="00000000" w:rsidR="00000000" w:rsidRPr="00000000">
        <w:rPr>
          <w:rtl w:val="0"/>
        </w:rPr>
        <w:t xml:space="preserve">. Se despliegan 3 campos adicionales: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Campo del formulario: Campo de interés.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Criterio: Es el criterio de la condición que se está creando, puede ser: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Contiene/No contiene: Para campos llenados con texto.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igual a/No es igual a: Para campos llenados numéricamente.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Está establecido/No está establecido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Verdadero/Es Falso: Cuando el campo es un checkbox.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Campo de condición: Texto abierto.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u w:val="single"/>
          <w:rtl w:val="0"/>
        </w:rPr>
        <w:t xml:space="preserve">agrupación</w:t>
      </w:r>
      <w:r w:rsidDel="00000000" w:rsidR="00000000" w:rsidRPr="00000000">
        <w:rPr>
          <w:rtl w:val="0"/>
        </w:rPr>
        <w:t xml:space="preserve">: Inicialmente se despliegan agrupadores predefinidos, pero se pueden agregar más criterios de agrupación al pulsar en </w:t>
      </w:r>
      <w:r w:rsidDel="00000000" w:rsidR="00000000" w:rsidRPr="00000000">
        <w:rPr>
          <w:u w:val="single"/>
          <w:rtl w:val="0"/>
        </w:rPr>
        <w:t xml:space="preserve">Añadir grupo personalizado</w:t>
      </w:r>
      <w:r w:rsidDel="00000000" w:rsidR="00000000" w:rsidRPr="00000000">
        <w:rPr>
          <w:rtl w:val="0"/>
        </w:rPr>
        <w:t xml:space="preserve"> y se selecciona el campo por el cual se agruparán los formularios.</w:t>
      </w:r>
    </w:p>
    <w:p w:rsidR="00000000" w:rsidDel="00000000" w:rsidP="00000000" w:rsidRDefault="00000000" w:rsidRPr="00000000">
      <w:pPr>
        <w:spacing w:line="240" w:lineRule="auto"/>
        <w:ind w:left="714.0000000000002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Si en Productos sólo se desean ver Vehículos TOYOTA y por categoría. Se tendrían que crear un criterio de filtrado donde: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5.999999999999801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Campo de formulario: Marca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5.999999999999801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Criterio: Contiene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5.999999999999801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Campo de condición: TOYOTA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4.0000000000002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Y se tendrá que agrupar los productos por categoría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criterios de filtrado y agrupación son acumulativos, hasta obtener la lista de formularios deseados.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pueden deshacer criterios de búsqueda al borrarlos en el buscador.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existen criterios de filtrado y agrupación que se utilizan constantemente, o que es del agrado del usuario, puede guardarlo al pulsar en </w:t>
      </w:r>
      <w:r w:rsidDel="00000000" w:rsidR="00000000" w:rsidRPr="00000000">
        <w:rPr>
          <w:u w:val="single"/>
          <w:rtl w:val="0"/>
        </w:rPr>
        <w:t xml:space="preserve">Favoritos</w:t>
      </w:r>
      <w:r w:rsidDel="00000000" w:rsidR="00000000" w:rsidRPr="00000000">
        <w:rPr>
          <w:rtl w:val="0"/>
        </w:rPr>
        <w:t xml:space="preserve"> y pulsando </w:t>
      </w:r>
      <w:r w:rsidDel="00000000" w:rsidR="00000000" w:rsidRPr="00000000">
        <w:rPr>
          <w:u w:val="single"/>
          <w:rtl w:val="0"/>
        </w:rPr>
        <w:t xml:space="preserve">Guardar búsqueda actual</w:t>
      </w:r>
      <w:r w:rsidDel="00000000" w:rsidR="00000000" w:rsidRPr="00000000">
        <w:rPr>
          <w:rtl w:val="0"/>
        </w:rPr>
        <w:t xml:space="preserve">. Se desplegarán campos como el nombre que se asignará a la búsqueda y la posibilidad de marcar como ‘Usar por defecto’ y ‘Compartir con todos los usuarios’.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2" name="image4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MOTOR DE BUSQUEDA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Mes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2.png"/></Relationships>
</file>