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[VARIOS]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crear un pedido de compras i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 a:  </w:t>
      </w:r>
      <w:r w:rsidDel="00000000" w:rsidR="00000000" w:rsidRPr="00000000">
        <w:rPr>
          <w:b w:val="1"/>
          <w:rtl w:val="0"/>
        </w:rPr>
        <w:t xml:space="preserve">Compras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b w:val="1"/>
          <w:rtl w:val="0"/>
        </w:rPr>
        <w:t xml:space="preserve">Compra ► Pedido de compra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Pulsa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el botón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Inicialmente l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lenar los campos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roveedor</w:t>
      </w:r>
      <w:r w:rsidDel="00000000" w:rsidR="00000000" w:rsidRPr="00000000">
        <w:rPr>
          <w:rtl w:val="0"/>
        </w:rPr>
        <w:t xml:space="preserve">': Nombre de proveedor en dato maestro de contacto.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'Referencia de proveedor': Algún dato particular de la orden, para criterios de filtro y búsqueda.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‘Tipo de factura’: seleccionar si la factura debe ser registrada en sistema por: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Compra, si corresponde a un compra local.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Boleto BCP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Importación, si corresponde a una importación.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Recibo de alquiler, si se está pagando alquiler.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Nota de crédito a cliente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Nota de débito a cliente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Nota de débito a proveedor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Nota de crédito a proveedor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Venta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Rectificación, si corresponde a alguna rectificación.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Sin asignar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‘Divisa’: Moneda de pago al proveedor.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orden’: Fecha de creación del documento, se llena automáticamente y no puede ser editado.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agregar productos que se desean comprar debe ir a la pestaña “Productos” y pulsar </w:t>
      </w:r>
      <w:r w:rsidDel="00000000" w:rsidR="00000000" w:rsidRPr="00000000">
        <w:rPr>
          <w:u w:val="single"/>
          <w:rtl w:val="0"/>
        </w:rPr>
        <w:t xml:space="preserve">Añadir un elemento</w:t>
      </w:r>
      <w:r w:rsidDel="00000000" w:rsidR="00000000" w:rsidRPr="00000000">
        <w:rPr>
          <w:rtl w:val="0"/>
        </w:rPr>
        <w:t xml:space="preserve"> e ir llenando los campos: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'Producto</w:t>
      </w:r>
      <w:r w:rsidDel="00000000" w:rsidR="00000000" w:rsidRPr="00000000">
        <w:rPr>
          <w:rtl w:val="0"/>
        </w:rPr>
        <w:t xml:space="preserve">': Nombre del producto a comprar (en sistema).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campos 'Descripción', 'Unidad de medida del producto', 'Precio unidad' y 'Fecha vencimiento' e ‘Impuestos’ se llenan automáticamente si el dato maestro de producto está completo. (Revisar </w:t>
      </w: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'Fecha Prevista': Fecha en la que se prevé recibir los productos.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'Cantidad': Número de unidades que se solicitan.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‘Ctidad recibida’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‘Cant. facturada’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 “Entregas y facturas” llenar los campos: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prevista’: Fecha en la que se prevé recibir los productos.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‘Entregar a’: Almacén al que corresponda el ingreso de los productos.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‘Plazo de pago’: Plazo de pago acordado con el proveedor, se llena automáticamente si el dato maestro del proveedor se encuentra completo. (Revisar </w:t>
      </w:r>
      <w:r w:rsidDel="00000000" w:rsidR="00000000" w:rsidRPr="00000000">
        <w:rPr>
          <w:b w:val="1"/>
          <w:rtl w:val="0"/>
        </w:rPr>
        <w:t xml:space="preserve">Proveedores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Pulsar el botón </w:t>
      </w:r>
      <w:r w:rsidDel="00000000" w:rsidR="00000000" w:rsidRPr="00000000">
        <w:rPr>
          <w:u w:val="single"/>
          <w:rtl w:val="0"/>
        </w:rPr>
        <w:t xml:space="preserve">Guardar.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Pulsar el botón </w:t>
      </w:r>
      <w:r w:rsidDel="00000000" w:rsidR="00000000" w:rsidRPr="00000000">
        <w:rPr>
          <w:u w:val="single"/>
          <w:rtl w:val="0"/>
        </w:rPr>
        <w:t xml:space="preserve">Enviar SdP por correo electrónico</w:t>
      </w:r>
      <w:r w:rsidDel="00000000" w:rsidR="00000000" w:rsidRPr="00000000">
        <w:rPr>
          <w:rtl w:val="0"/>
        </w:rPr>
        <w:t xml:space="preserve"> para generar un correo electrónico o </w:t>
      </w:r>
      <w:r w:rsidDel="00000000" w:rsidR="00000000" w:rsidRPr="00000000">
        <w:rPr>
          <w:u w:val="single"/>
          <w:rtl w:val="0"/>
        </w:rPr>
        <w:t xml:space="preserve">Imprimir SdP</w:t>
      </w:r>
      <w:r w:rsidDel="00000000" w:rsidR="00000000" w:rsidRPr="00000000">
        <w:rPr>
          <w:rtl w:val="0"/>
        </w:rPr>
        <w:t xml:space="preserve"> para imprimir la solicitud y entregarlo a las personas pertinentes.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existir correcciones a la solicitud de presupuesto pulsar el botón </w:t>
      </w:r>
      <w:r w:rsidDel="00000000" w:rsidR="00000000" w:rsidRPr="00000000">
        <w:rPr>
          <w:u w:val="single"/>
          <w:rtl w:val="0"/>
        </w:rPr>
        <w:t xml:space="preserve">Editar</w:t>
      </w:r>
      <w:r w:rsidDel="00000000" w:rsidR="00000000" w:rsidRPr="00000000">
        <w:rPr>
          <w:rtl w:val="0"/>
        </w:rPr>
        <w:t xml:space="preserve"> modificar los campos a los que les corresponda alguna corrección y pulsar el botón </w:t>
      </w:r>
      <w:r w:rsidDel="00000000" w:rsidR="00000000" w:rsidRPr="00000000">
        <w:rPr>
          <w:u w:val="single"/>
          <w:rtl w:val="0"/>
        </w:rPr>
        <w:t xml:space="preserve">Guardar.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confirmar la solicitud de presupuesto y convertirlo en una Orden de compra pulsar el botón </w:t>
      </w:r>
      <w:r w:rsidDel="00000000" w:rsidR="00000000" w:rsidRPr="00000000">
        <w:rPr>
          <w:u w:val="single"/>
          <w:rtl w:val="0"/>
        </w:rPr>
        <w:t xml:space="preserve">Confirmar pedido.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vez confirmado el pedido, aparecerán dos botones: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Envío:</w:t>
      </w:r>
      <w:r w:rsidDel="00000000" w:rsidR="00000000" w:rsidRPr="00000000">
        <w:rPr>
          <w:rtl w:val="0"/>
        </w:rPr>
        <w:t xml:space="preserve"> Es un enlace que lleva a los albaranes relacionados al pedido de compra y además muestra su cantidad.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Facturas:</w:t>
      </w:r>
      <w:r w:rsidDel="00000000" w:rsidR="00000000" w:rsidRPr="00000000">
        <w:rPr>
          <w:rtl w:val="0"/>
        </w:rPr>
        <w:t xml:space="preserve"> Es un enlace que lleva a las facturas relacionadas al pedido y muestra su cantidad. Inicialmente se irá al listado vacío, al pulsar </w:t>
      </w:r>
      <w:r w:rsidDel="00000000" w:rsidR="00000000" w:rsidRPr="00000000">
        <w:rPr>
          <w:u w:val="single"/>
          <w:rtl w:val="0"/>
        </w:rPr>
        <w:t xml:space="preserve">Crear</w:t>
      </w:r>
      <w:r w:rsidDel="00000000" w:rsidR="00000000" w:rsidRPr="00000000">
        <w:rPr>
          <w:rtl w:val="0"/>
        </w:rPr>
        <w:t xml:space="preserve"> permitirá crear una factura directamente relacionada al pedido de venta. (Revisar </w:t>
      </w:r>
      <w:r w:rsidDel="00000000" w:rsidR="00000000" w:rsidRPr="00000000">
        <w:rPr>
          <w:b w:val="1"/>
          <w:rtl w:val="0"/>
        </w:rPr>
        <w:t xml:space="preserve">Factura Proveedor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vez finalizadas todas las actividades relacionadas con la Orden de compra (recepción de todos los productos, cierre de pagos y facturas) se pulsa el botón </w:t>
      </w:r>
      <w:r w:rsidDel="00000000" w:rsidR="00000000" w:rsidRPr="00000000">
        <w:rPr>
          <w:u w:val="single"/>
          <w:rtl w:val="0"/>
        </w:rPr>
        <w:t xml:space="preserve">Cambiar a finalizado.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 ser necesaria la cancelación de la Solicitud de presupuesto, se pulsa el botón </w:t>
      </w:r>
      <w:r w:rsidDel="00000000" w:rsidR="00000000" w:rsidRPr="00000000">
        <w:rPr>
          <w:u w:val="single"/>
          <w:rtl w:val="0"/>
        </w:rPr>
        <w:t xml:space="preserve">Cancelar.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3" name="image6.png"/>
            <a:graphic>
              <a:graphicData uri="http://schemas.openxmlformats.org/drawingml/2006/picture">
                <pic:pic>
                  <pic:nvPicPr>
                    <pic:cNvPr descr="Warning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Todos los campos de color azul son de carácter OBLIGATORIO, los demás campos pueden ser dejados en blanco pero proveen información importante para futuras operaciones.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-Una vez confirmado el pedido de compra ocurrirá lo siguiente: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se podrá editar ningún campo.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solicitud de presupuesto se convierte en una </w:t>
      </w:r>
      <w:r w:rsidDel="00000000" w:rsidR="00000000" w:rsidRPr="00000000">
        <w:rPr>
          <w:b w:val="1"/>
          <w:rtl w:val="0"/>
        </w:rPr>
        <w:t xml:space="preserve">Orden de compra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se requiere modificar un campo, sólo queda </w:t>
      </w:r>
      <w:r w:rsidDel="00000000" w:rsidR="00000000" w:rsidRPr="00000000">
        <w:rPr>
          <w:u w:val="single"/>
          <w:rtl w:val="0"/>
        </w:rPr>
        <w:t xml:space="preserve">Cancelar</w:t>
      </w:r>
      <w:r w:rsidDel="00000000" w:rsidR="00000000" w:rsidRPr="00000000">
        <w:rPr>
          <w:rtl w:val="0"/>
        </w:rPr>
        <w:t xml:space="preserve"> la Orden de compra y rehacer la solicitud de presupuesto.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Se pulsa el botón de </w:t>
      </w:r>
      <w:r w:rsidDel="00000000" w:rsidR="00000000" w:rsidRPr="00000000">
        <w:rPr>
          <w:u w:val="single"/>
          <w:rtl w:val="0"/>
        </w:rPr>
        <w:t xml:space="preserve">confirmar pedido</w:t>
      </w:r>
      <w:r w:rsidDel="00000000" w:rsidR="00000000" w:rsidRPr="00000000">
        <w:rPr>
          <w:rtl w:val="0"/>
        </w:rPr>
        <w:t xml:space="preserve"> si y sólo sí los valores de los campos son los definitivos.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2" name="image5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PEDIDO DE COMPRA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COMPRAS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Agosto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4.png"/></Relationships>
</file>