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[VARIOS]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right="0"/>
        <w:contextualSpacing w:val="0"/>
        <w:jc w:val="both"/>
        <w:rPr/>
      </w:pPr>
      <w:r w:rsidDel="00000000" w:rsidR="00000000" w:rsidRPr="00000000">
        <w:rPr>
          <w:rtl w:val="0"/>
        </w:rPr>
        <w:t xml:space="preserve">Dependiendo del método de costeo del producto en el sistema, la reversión del coste en destino variará. Para saber el método de costeo de un producto en específico tiene que ir a: </w:t>
      </w:r>
      <w:r w:rsidDel="00000000" w:rsidR="00000000" w:rsidRPr="00000000">
        <w:rPr>
          <w:b w:val="1"/>
          <w:rtl w:val="0"/>
        </w:rPr>
        <w:t xml:space="preserve">Inventario ► Control inventario ► Productos</w:t>
      </w:r>
      <w:r w:rsidDel="00000000" w:rsidR="00000000" w:rsidRPr="00000000">
        <w:rPr>
          <w:rtl w:val="0"/>
        </w:rPr>
        <w:t xml:space="preserve">, utilizar el motor de búsqueda hasta encontrar el producto de interés, pulsar sobre el mismo y pulsar sobre el enlace a la categoría del producto que se encuentra debajo de ‘Puede ser comprado’. En la sección </w:t>
      </w:r>
      <w:r w:rsidDel="00000000" w:rsidR="00000000" w:rsidRPr="00000000">
        <w:rPr>
          <w:b w:val="1"/>
          <w:rtl w:val="0"/>
        </w:rPr>
        <w:t xml:space="preserve">Valoración de inventario</w:t>
      </w:r>
      <w:r w:rsidDel="00000000" w:rsidR="00000000" w:rsidRPr="00000000">
        <w:rPr>
          <w:rtl w:val="0"/>
        </w:rPr>
        <w:t xml:space="preserve"> se encuentra el método de costeo.</w:t>
      </w:r>
    </w:p>
    <w:p w:rsidR="00000000" w:rsidDel="00000000" w:rsidP="00000000" w:rsidRDefault="00000000" w:rsidRPr="00000000">
      <w:pPr>
        <w:numPr>
          <w:ilvl w:val="0"/>
          <w:numId w:val="1"/>
        </w:numPr>
        <w:ind w:left="720" w:hanging="360"/>
        <w:jc w:val="both"/>
        <w:rPr/>
      </w:pPr>
      <w:r w:rsidDel="00000000" w:rsidR="00000000" w:rsidRPr="00000000">
        <w:rPr>
          <w:b w:val="1"/>
          <w:rtl w:val="0"/>
        </w:rPr>
        <w:t xml:space="preserve">Reversiones Precio real: </w:t>
      </w:r>
      <w:r w:rsidDel="00000000" w:rsidR="00000000" w:rsidRPr="00000000">
        <w:rPr>
          <w:rtl w:val="0"/>
        </w:rPr>
        <w:t xml:space="preserve">Primeramente se tiene que identificar específicamente los documentos que se desean revertir, para ello a partir de la orden de compra o importación tiene que ir a la carpeta de importación, pulsar el botón </w:t>
      </w:r>
      <w:r w:rsidDel="00000000" w:rsidR="00000000" w:rsidRPr="00000000">
        <w:rPr>
          <w:u w:val="single"/>
          <w:rtl w:val="0"/>
        </w:rPr>
        <w:t xml:space="preserve">Importaciones</w:t>
      </w:r>
      <w:r w:rsidDel="00000000" w:rsidR="00000000" w:rsidRPr="00000000">
        <w:rPr>
          <w:rtl w:val="0"/>
        </w:rPr>
        <w:t xml:space="preserve"> y seleccionar la carpeta de interés. Una vez en la carpeta se tiene que ir a la pestaña “Gastos” e identificar las líneas de costes en destino asentados a revertir (se encontrarán de color plomo) mediante la corroboración de la siguiente información:</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‘Proveedor’: Muestra el nombre del proveedor que prestó el servicio o vendió el producto y que generó el coste en destino.</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‘Producto o servicio’: Muestra el nombre del producto o servicio que generó el coste en destino.</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‘Fecha’: Muestra la fecha en la que se generó el coste en destino.</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‘Stock’: Se mostrarán los chasis o lotes sobre los cuales se aplicó el coste en destino. Si se encuentra vacío se tiene que revisar el campo ‘Transferencia’.</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‘Transferencia’: Se mostrará el albarán que abarca todos lo productos sobre los cuales se están aplicando los costes en destino. Si se encuentra vacío se tiene que revisar el campo ‘Stock’.</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‘Costo aplicado’: Muestra el monto que se está aplicando como coste en destino sobre los productos.</w:t>
      </w:r>
    </w:p>
    <w:p w:rsidR="00000000" w:rsidDel="00000000" w:rsidP="00000000" w:rsidRDefault="00000000" w:rsidRPr="00000000">
      <w:pPr>
        <w:ind w:left="720" w:firstLine="0"/>
        <w:contextualSpacing w:val="0"/>
        <w:jc w:val="both"/>
        <w:rPr/>
      </w:pPr>
      <w:r w:rsidDel="00000000" w:rsidR="00000000" w:rsidRPr="00000000">
        <w:rPr>
          <w:rtl w:val="0"/>
        </w:rPr>
        <w:t xml:space="preserve">Si efectivamente la línea es uno de los costes que desea revertir tiene que pulsar el botón con la siguiente figura:</w:t>
      </w:r>
      <w:r w:rsidDel="00000000" w:rsidR="00000000" w:rsidRPr="00000000">
        <w:rPr/>
        <w:drawing>
          <wp:inline distB="114300" distT="114300" distL="114300" distR="114300">
            <wp:extent cx="190500" cy="257175"/>
            <wp:effectExtent b="0" l="0" r="0" t="0"/>
            <wp:docPr descr="botonfacturacarpeta.png" id="4" name="image8.png"/>
            <a:graphic>
              <a:graphicData uri="http://schemas.openxmlformats.org/drawingml/2006/picture">
                <pic:pic>
                  <pic:nvPicPr>
                    <pic:cNvPr descr="botonfacturacarpeta.png" id="0" name="image8.png"/>
                    <pic:cNvPicPr preferRelativeResize="0"/>
                  </pic:nvPicPr>
                  <pic:blipFill>
                    <a:blip r:embed="rId5"/>
                    <a:srcRect b="0" l="0" r="0" t="0"/>
                    <a:stretch>
                      <a:fillRect/>
                    </a:stretch>
                  </pic:blipFill>
                  <pic:spPr>
                    <a:xfrm>
                      <a:off x="0" y="0"/>
                      <a:ext cx="190500" cy="257175"/>
                    </a:xfrm>
                    <a:prstGeom prst="rect"/>
                    <a:ln/>
                  </pic:spPr>
                </pic:pic>
              </a:graphicData>
            </a:graphic>
          </wp:inline>
        </w:drawing>
      </w:r>
      <w:r w:rsidDel="00000000" w:rsidR="00000000" w:rsidRPr="00000000">
        <w:rPr>
          <w:rtl w:val="0"/>
        </w:rPr>
        <w:t xml:space="preserve">, de esta forma irá al formulario del coste en destino donde tiene que pulsar el enlace del campo ‘Asiento contable’. Así irá al asiento contable, para revertirlo tiene que pulsar el botón </w:t>
      </w:r>
      <w:r w:rsidDel="00000000" w:rsidR="00000000" w:rsidRPr="00000000">
        <w:rPr>
          <w:u w:val="single"/>
          <w:rtl w:val="0"/>
        </w:rPr>
        <w:t xml:space="preserve">Revertir Asiento Contable</w:t>
      </w:r>
      <w:r w:rsidDel="00000000" w:rsidR="00000000" w:rsidRPr="00000000">
        <w:rPr>
          <w:rtl w:val="0"/>
        </w:rPr>
        <w:t xml:space="preserve">. Tiene que repetir el proceso hasta que todos los costes que se cargaron al producto se hayan revertido. El siguiente paso del proceso de reversiones, es la reversión de las facturas de los costos de importación, pasa eso siga las instrucciones de la guía </w:t>
      </w:r>
      <w:r w:rsidDel="00000000" w:rsidR="00000000" w:rsidRPr="00000000">
        <w:rPr>
          <w:b w:val="1"/>
          <w:rtl w:val="0"/>
        </w:rPr>
        <w:t xml:space="preserve">Reversión Facturas de importación</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b w:val="1"/>
          <w:rtl w:val="0"/>
        </w:rPr>
        <w:t xml:space="preserve">Reversiones Precio promedio: </w:t>
      </w:r>
      <w:r w:rsidDel="00000000" w:rsidR="00000000" w:rsidRPr="00000000">
        <w:rPr>
          <w:rtl w:val="0"/>
        </w:rPr>
        <w:t xml:space="preserve">Para revertir los costos de importación que fueron aplicados a los productos costeados por promedio ponderado se tiene que buscar la carpeta de importación que aplicó dichos costos. Se puede llegar a la carpeta a partir de la orden de importación pulsando el botón </w:t>
      </w:r>
      <w:r w:rsidDel="00000000" w:rsidR="00000000" w:rsidRPr="00000000">
        <w:rPr>
          <w:u w:val="single"/>
          <w:rtl w:val="0"/>
        </w:rPr>
        <w:t xml:space="preserve">Importaciones</w:t>
      </w:r>
      <w:r w:rsidDel="00000000" w:rsidR="00000000" w:rsidRPr="00000000">
        <w:rPr>
          <w:rtl w:val="0"/>
        </w:rPr>
        <w:t xml:space="preserve">. Una vez en la carpeta se tiene que verificar el estado de la misma. El estado de la carpeta puede ser uno de los siguientes: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Arial" w:cs="Arial" w:eastAsia="Arial" w:hAnsi="Arial"/>
        </w:rPr>
      </w:pPr>
      <w:r w:rsidDel="00000000" w:rsidR="00000000" w:rsidRPr="00000000">
        <w:rPr>
          <w:rtl w:val="0"/>
        </w:rPr>
        <w:t xml:space="preserve">“Borrador”: el valor del inventario no se habrá incrementado, porque aún no se aplicaron los costos.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Arial" w:cs="Arial" w:eastAsia="Arial" w:hAnsi="Arial"/>
        </w:rPr>
      </w:pPr>
      <w:r w:rsidDel="00000000" w:rsidR="00000000" w:rsidRPr="00000000">
        <w:rPr>
          <w:rtl w:val="0"/>
        </w:rPr>
        <w:t xml:space="preserve">“Calculado” o “Realizado”: Los costos que se encuentran en la carpeta se encuentran aplicados, incrementando el valor del inventario. Para revertirlos simplemente tiene que pulsar el botón que se encuentra en la parte superior derecha </w:t>
      </w:r>
      <w:r w:rsidDel="00000000" w:rsidR="00000000" w:rsidRPr="00000000">
        <w:rPr>
          <w:u w:val="single"/>
          <w:rtl w:val="0"/>
        </w:rPr>
        <w:t xml:space="preserve">Cancelar</w:t>
      </w:r>
      <w:r w:rsidDel="00000000" w:rsidR="00000000" w:rsidRPr="00000000">
        <w:rPr>
          <w:rtl w:val="0"/>
        </w:rPr>
        <w:t xml:space="preserve">. Puede corroborar que el valor de los productos se reduce con ayuda del reporte </w:t>
      </w:r>
      <w:r w:rsidDel="00000000" w:rsidR="00000000" w:rsidRPr="00000000">
        <w:rPr>
          <w:b w:val="1"/>
          <w:rtl w:val="0"/>
        </w:rPr>
        <w:t xml:space="preserve">Valoración del inventario</w:t>
      </w:r>
      <w:r w:rsidDel="00000000" w:rsidR="00000000" w:rsidRPr="00000000">
        <w:rPr>
          <w:rtl w:val="0"/>
        </w:rPr>
        <w:t xml:space="preserve">.</w:t>
      </w:r>
    </w:p>
    <w:p w:rsidR="00000000" w:rsidDel="00000000" w:rsidP="00000000" w:rsidRDefault="00000000" w:rsidRPr="00000000">
      <w:pPr>
        <w:ind w:left="720" w:firstLine="0"/>
        <w:contextualSpacing w:val="0"/>
        <w:jc w:val="both"/>
        <w:rPr/>
      </w:pPr>
      <w:r w:rsidDel="00000000" w:rsidR="00000000" w:rsidRPr="00000000">
        <w:rPr>
          <w:rtl w:val="0"/>
        </w:rPr>
        <w:t xml:space="preserve">El siguiente paso del proceso de reversiones, es la reversión de las facturas de los costos de importación, pasa eso siga las instrucciones de la guía </w:t>
      </w:r>
      <w:r w:rsidDel="00000000" w:rsidR="00000000" w:rsidRPr="00000000">
        <w:rPr>
          <w:b w:val="1"/>
          <w:rtl w:val="0"/>
        </w:rPr>
        <w:t xml:space="preserve">Reversión Facturas de importación</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7.png"/>
            <a:graphic>
              <a:graphicData uri="http://schemas.openxmlformats.org/drawingml/2006/picture">
                <pic:pic>
                  <pic:nvPicPr>
                    <pic:cNvPr descr="Warning.png" id="0" name="image7.png"/>
                    <pic:cNvPicPr preferRelativeResize="0"/>
                  </pic:nvPicPr>
                  <pic:blipFill>
                    <a:blip r:embed="rId6"/>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-La reversión de los asientos contables los puede realizar únicamente una persona con los permisos necesarios.</w:t>
      </w:r>
    </w:p>
    <w:p w:rsidR="00000000" w:rsidDel="00000000" w:rsidP="00000000" w:rsidRDefault="00000000" w:rsidRPr="00000000">
      <w:pPr>
        <w:spacing w:after="0" w:lineRule="auto"/>
        <w:contextualSpacing w:val="0"/>
        <w:jc w:val="both"/>
        <w:rPr/>
      </w:pPr>
      <w:r w:rsidDel="00000000" w:rsidR="00000000" w:rsidRPr="00000000">
        <w:rPr>
          <w:rtl w:val="0"/>
        </w:rPr>
        <w:t xml:space="preserve">-Si requiere realizar las reversiones tiene que notificar a los usuarios pertinentes mediante el uso de la mensajería interna.</w:t>
      </w:r>
      <w:r w:rsidDel="00000000" w:rsidR="00000000" w:rsidRPr="00000000">
        <w:rPr>
          <w:rtl w:val="0"/>
        </w:rPr>
      </w:r>
    </w:p>
    <w:sectPr>
      <w:headerReference r:id="rId7" w:type="default"/>
      <w:footerReference r:id="rId8"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4.jpg"/>
                <a:graphic>
                  <a:graphicData uri="http://schemas.openxmlformats.org/drawingml/2006/picture">
                    <pic:pic>
                      <pic:nvPicPr>
                        <pic:cNvPr descr="Description: C:\Users\Owner\Documents\_Poiesis\Emprendimiento\logo\Poiesis small.jpg" id="0" name="image4.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REVERSION COSTE EN DESTINO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