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Ejecutivo de Ventas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varios tipos de venta, según el tipo de cotización: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Motocicletas; para este se puede elegir los siguientes ‘Tipo de venta’: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directa (Motocicleta)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después del pago inicial.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firstLine="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720" w:right="0" w:firstLine="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1" name="image2.png"/>
            <a:graphic>
              <a:graphicData uri="http://schemas.openxmlformats.org/drawingml/2006/picture">
                <pic:pic>
                  <pic:nvPicPr>
                    <pic:cNvPr descr="Warning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ADVERTENCIA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puede crear una cotización indistintamente de si la oportunidad está marcada como ganada o perdida.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podrá llenar la línea de producto cuando tenga asignado un  tipo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 posible eliminar los registros de oportunidades.</w:t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3" name="image6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TIPOS DE VENTA - MOTOCICLETAS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5.png"/></Relationships>
</file>