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Ejecutivo de Ventas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varios tipos de venta, según el tipo de cotización: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Neumáticos</w:t>
      </w:r>
      <w:r w:rsidDel="00000000" w:rsidR="00000000" w:rsidRPr="00000000">
        <w:rPr>
          <w:rtl w:val="0"/>
        </w:rPr>
        <w:t xml:space="preserve">; para este se puede elegir los siguientes ‘Tipo de venta’: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hay reserva.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no debe estar Liberado, ni Nacionalizado.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 se habilita el boton Tramite de placas, ya que no es necesario.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3.png"/>
            <a:graphic>
              <a:graphicData uri="http://schemas.openxmlformats.org/drawingml/2006/picture">
                <pic:pic>
                  <pic:nvPicPr>
                    <pic:cNvPr descr="Warning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puede crear una cotización indistintamente de si la oportunidad está marcada como ganada o perdida.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podrá llenar la línea de producto cuando tenga asignado un  tipo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 posible eliminar los registros de oportunidades.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TIPOS DE VENTA - NEUMATICOS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png"/></Relationships>
</file>