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64E6A" w:rsidRDefault="00F91864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770E00">
        <w:rPr>
          <w:rFonts w:ascii="Arial" w:hAnsi="Arial" w:cs="Arial"/>
          <w:b/>
          <w:sz w:val="20"/>
          <w:szCs w:val="20"/>
          <w:u w:val="single"/>
        </w:rPr>
        <w:t>PARA EMISIÓN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F667C1" w:rsidRDefault="00770E00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 RENOVACIÓN DE SOAT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D413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5B1CE6">
        <w:rPr>
          <w:rFonts w:ascii="Arial" w:hAnsi="Arial" w:cs="Arial"/>
          <w:sz w:val="20"/>
          <w:szCs w:val="20"/>
        </w:rPr>
        <w:t>documento</w:t>
      </w:r>
      <w:r w:rsidR="00770E00">
        <w:rPr>
          <w:rFonts w:ascii="Arial" w:hAnsi="Arial" w:cs="Arial"/>
          <w:sz w:val="20"/>
          <w:szCs w:val="20"/>
        </w:rPr>
        <w:t xml:space="preserve"> tiene como objetivo</w:t>
      </w:r>
      <w:r w:rsidR="00501EC4">
        <w:rPr>
          <w:rFonts w:ascii="Arial" w:hAnsi="Arial" w:cs="Arial"/>
          <w:sz w:val="20"/>
          <w:szCs w:val="20"/>
        </w:rPr>
        <w:t xml:space="preserve"> normar</w:t>
      </w:r>
      <w:r w:rsidRPr="0055534E">
        <w:rPr>
          <w:rFonts w:ascii="Arial" w:hAnsi="Arial" w:cs="Arial"/>
          <w:sz w:val="20"/>
          <w:szCs w:val="20"/>
        </w:rPr>
        <w:t xml:space="preserve"> </w:t>
      </w:r>
      <w:r w:rsidR="00770E00">
        <w:rPr>
          <w:rFonts w:ascii="Arial" w:hAnsi="Arial" w:cs="Arial"/>
          <w:sz w:val="20"/>
          <w:szCs w:val="20"/>
        </w:rPr>
        <w:t xml:space="preserve">tanto la emisión como la renovación de SOAT </w:t>
      </w:r>
      <w:bookmarkStart w:id="0" w:name="_GoBack"/>
      <w:bookmarkEnd w:id="0"/>
      <w:r w:rsidR="00770E00">
        <w:rPr>
          <w:rFonts w:ascii="Arial" w:hAnsi="Arial" w:cs="Arial"/>
          <w:sz w:val="20"/>
          <w:szCs w:val="20"/>
        </w:rPr>
        <w:t>para los vehículos.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47D4B" w:rsidRPr="00D41353" w:rsidRDefault="00D41353" w:rsidP="00D41353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D41353">
        <w:rPr>
          <w:rFonts w:ascii="Arial" w:hAnsi="Arial" w:cs="Arial"/>
          <w:sz w:val="20"/>
          <w:szCs w:val="20"/>
        </w:rPr>
        <w:t>Este documento incluye una descripción de las actividades a realizarse desde</w:t>
      </w:r>
      <w:r w:rsidR="00E71FEC">
        <w:rPr>
          <w:rFonts w:ascii="Arial" w:hAnsi="Arial" w:cs="Arial"/>
          <w:sz w:val="20"/>
          <w:szCs w:val="20"/>
        </w:rPr>
        <w:t xml:space="preserve"> la</w:t>
      </w:r>
      <w:r w:rsidRPr="00D41353">
        <w:rPr>
          <w:rFonts w:ascii="Arial" w:hAnsi="Arial" w:cs="Arial"/>
          <w:sz w:val="20"/>
          <w:szCs w:val="20"/>
        </w:rPr>
        <w:t xml:space="preserve"> </w:t>
      </w:r>
      <w:r w:rsidR="00770E00">
        <w:rPr>
          <w:rFonts w:ascii="Arial" w:hAnsi="Arial" w:cs="Arial"/>
          <w:sz w:val="20"/>
          <w:szCs w:val="20"/>
        </w:rPr>
        <w:t xml:space="preserve">Solicitud de Emisión/ Renovación de </w:t>
      </w:r>
      <w:r w:rsidR="00501EC4">
        <w:rPr>
          <w:rFonts w:ascii="Arial" w:hAnsi="Arial" w:cs="Arial"/>
          <w:sz w:val="20"/>
          <w:szCs w:val="20"/>
        </w:rPr>
        <w:t>Seguro Obligatorio de Accidentes de Tránsito “</w:t>
      </w:r>
      <w:r w:rsidR="00770E00">
        <w:rPr>
          <w:rFonts w:ascii="Arial" w:hAnsi="Arial" w:cs="Arial"/>
          <w:sz w:val="20"/>
          <w:szCs w:val="20"/>
        </w:rPr>
        <w:t>SOAT</w:t>
      </w:r>
      <w:r w:rsidR="00501EC4">
        <w:rPr>
          <w:rFonts w:ascii="Arial" w:hAnsi="Arial" w:cs="Arial"/>
          <w:sz w:val="20"/>
          <w:szCs w:val="20"/>
        </w:rPr>
        <w:t>”</w:t>
      </w:r>
      <w:r w:rsidR="00770E00">
        <w:rPr>
          <w:rFonts w:ascii="Arial" w:hAnsi="Arial" w:cs="Arial"/>
          <w:sz w:val="20"/>
          <w:szCs w:val="20"/>
        </w:rPr>
        <w:t xml:space="preserve">, hasta </w:t>
      </w:r>
      <w:r w:rsidR="000B0476">
        <w:rPr>
          <w:rFonts w:ascii="Arial" w:hAnsi="Arial" w:cs="Arial"/>
          <w:sz w:val="20"/>
          <w:szCs w:val="20"/>
        </w:rPr>
        <w:t>que se efect</w:t>
      </w:r>
      <w:r w:rsidR="00E71FEC">
        <w:rPr>
          <w:rFonts w:ascii="Arial" w:hAnsi="Arial" w:cs="Arial"/>
          <w:sz w:val="20"/>
          <w:szCs w:val="20"/>
        </w:rPr>
        <w:t>úa</w:t>
      </w:r>
      <w:r w:rsidR="000B0476">
        <w:rPr>
          <w:rFonts w:ascii="Arial" w:hAnsi="Arial" w:cs="Arial"/>
          <w:sz w:val="20"/>
          <w:szCs w:val="20"/>
        </w:rPr>
        <w:t xml:space="preserve"> el</w:t>
      </w:r>
      <w:r w:rsidR="00770E00">
        <w:rPr>
          <w:rFonts w:ascii="Arial" w:hAnsi="Arial" w:cs="Arial"/>
          <w:sz w:val="20"/>
          <w:szCs w:val="20"/>
        </w:rPr>
        <w:t xml:space="preserve"> Pago a la </w:t>
      </w:r>
      <w:r w:rsidR="00501EC4">
        <w:rPr>
          <w:rFonts w:ascii="Arial" w:hAnsi="Arial" w:cs="Arial"/>
          <w:sz w:val="20"/>
          <w:szCs w:val="20"/>
        </w:rPr>
        <w:t xml:space="preserve">Empresa </w:t>
      </w:r>
      <w:r w:rsidR="00770E00">
        <w:rPr>
          <w:rFonts w:ascii="Arial" w:hAnsi="Arial" w:cs="Arial"/>
          <w:sz w:val="20"/>
          <w:szCs w:val="20"/>
        </w:rPr>
        <w:t>Aseguradora.</w:t>
      </w:r>
    </w:p>
    <w:p w:rsidR="00F47D4B" w:rsidRDefault="00F47D4B" w:rsidP="00D41353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1353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A0C7D" w:rsidRDefault="007A60A5" w:rsidP="003A0C7D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3A0C7D" w:rsidRPr="000B0476" w:rsidRDefault="003A0C7D" w:rsidP="003A0C7D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70E00" w:rsidRPr="003A0C7D" w:rsidRDefault="003A0C7D" w:rsidP="003A0C7D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3A0C7D">
        <w:rPr>
          <w:rFonts w:ascii="Arial" w:hAnsi="Arial" w:cs="Arial"/>
          <w:b/>
          <w:sz w:val="20"/>
          <w:szCs w:val="20"/>
          <w:u w:val="single"/>
        </w:rPr>
        <w:t>E</w:t>
      </w:r>
      <w:r w:rsidR="00501EC4" w:rsidRPr="003A0C7D">
        <w:rPr>
          <w:rFonts w:ascii="Arial" w:hAnsi="Arial" w:cs="Arial"/>
          <w:b/>
          <w:sz w:val="20"/>
          <w:szCs w:val="20"/>
          <w:u w:val="single"/>
        </w:rPr>
        <w:t>misión de SOAT</w:t>
      </w:r>
    </w:p>
    <w:p w:rsidR="003A0C7D" w:rsidRPr="003A0C7D" w:rsidRDefault="003A0C7D" w:rsidP="003A0C7D">
      <w:pPr>
        <w:pStyle w:val="Prrafodelista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DC13E4" w:rsidRPr="003A0C7D" w:rsidRDefault="001F3B9F" w:rsidP="003A0C7D">
      <w:pPr>
        <w:pStyle w:val="Prrafodelista"/>
        <w:numPr>
          <w:ilvl w:val="2"/>
          <w:numId w:val="8"/>
        </w:numPr>
        <w:spacing w:before="240"/>
        <w:jc w:val="both"/>
        <w:rPr>
          <w:rFonts w:ascii="Arial" w:hAnsi="Arial" w:cs="Arial"/>
          <w:b/>
          <w:sz w:val="20"/>
          <w:szCs w:val="20"/>
        </w:rPr>
      </w:pPr>
      <w:r w:rsidRPr="003A0C7D">
        <w:rPr>
          <w:rFonts w:ascii="Arial" w:hAnsi="Arial" w:cs="Arial"/>
          <w:b/>
          <w:sz w:val="20"/>
          <w:szCs w:val="20"/>
        </w:rPr>
        <w:t xml:space="preserve"> </w:t>
      </w:r>
      <w:r w:rsidR="00770E00" w:rsidRPr="003A0C7D">
        <w:rPr>
          <w:rFonts w:ascii="Arial" w:hAnsi="Arial" w:cs="Arial"/>
          <w:b/>
          <w:sz w:val="20"/>
          <w:szCs w:val="20"/>
        </w:rPr>
        <w:t>Solicitud de Emisión de SOAT</w:t>
      </w:r>
    </w:p>
    <w:p w:rsidR="00770E00" w:rsidRPr="00770E00" w:rsidRDefault="00770E00" w:rsidP="00770E00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770E00">
        <w:rPr>
          <w:rFonts w:ascii="Arial" w:eastAsia="Times New Roman" w:hAnsi="Arial" w:cs="Arial"/>
          <w:sz w:val="20"/>
          <w:szCs w:val="20"/>
          <w:lang w:eastAsia="es-BO"/>
        </w:rPr>
        <w:t>Una vez finali</w:t>
      </w:r>
      <w:r w:rsidR="00D90C28">
        <w:rPr>
          <w:rFonts w:ascii="Arial" w:eastAsia="Times New Roman" w:hAnsi="Arial" w:cs="Arial"/>
          <w:sz w:val="20"/>
          <w:szCs w:val="20"/>
          <w:lang w:eastAsia="es-BO"/>
        </w:rPr>
        <w:t>zada la gestión de Liquidación Aduanera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 xml:space="preserve"> y emitida la D</w:t>
      </w:r>
      <w:r w:rsidR="00501EC4">
        <w:rPr>
          <w:rFonts w:ascii="Arial" w:eastAsia="Times New Roman" w:hAnsi="Arial" w:cs="Arial"/>
          <w:sz w:val="20"/>
          <w:szCs w:val="20"/>
          <w:lang w:eastAsia="es-BO"/>
        </w:rPr>
        <w:t xml:space="preserve">eclaración Única de 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>I</w:t>
      </w:r>
      <w:r w:rsidR="00501EC4">
        <w:rPr>
          <w:rFonts w:ascii="Arial" w:eastAsia="Times New Roman" w:hAnsi="Arial" w:cs="Arial"/>
          <w:sz w:val="20"/>
          <w:szCs w:val="20"/>
          <w:lang w:eastAsia="es-BO"/>
        </w:rPr>
        <w:t>mportación “DUI”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 xml:space="preserve"> y</w:t>
      </w:r>
      <w:r w:rsidR="00501EC4">
        <w:rPr>
          <w:rFonts w:ascii="Arial" w:eastAsia="Times New Roman" w:hAnsi="Arial" w:cs="Arial"/>
          <w:sz w:val="20"/>
          <w:szCs w:val="20"/>
          <w:lang w:eastAsia="es-BO"/>
        </w:rPr>
        <w:t xml:space="preserve"> el Formulario de Registro de Vehículos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501EC4">
        <w:rPr>
          <w:rFonts w:ascii="Arial" w:eastAsia="Times New Roman" w:hAnsi="Arial" w:cs="Arial"/>
          <w:sz w:val="20"/>
          <w:szCs w:val="20"/>
          <w:lang w:eastAsia="es-BO"/>
        </w:rPr>
        <w:t>“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>FRV</w:t>
      </w:r>
      <w:r w:rsidR="00501EC4">
        <w:rPr>
          <w:rFonts w:ascii="Arial" w:eastAsia="Times New Roman" w:hAnsi="Arial" w:cs="Arial"/>
          <w:sz w:val="20"/>
          <w:szCs w:val="20"/>
          <w:lang w:eastAsia="es-BO"/>
        </w:rPr>
        <w:t>”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 xml:space="preserve"> por la Agencia Aduanera</w:t>
      </w:r>
      <w:r w:rsidR="00501EC4">
        <w:rPr>
          <w:rFonts w:ascii="Arial" w:eastAsia="Times New Roman" w:hAnsi="Arial" w:cs="Arial"/>
          <w:sz w:val="20"/>
          <w:szCs w:val="20"/>
          <w:lang w:eastAsia="es-BO"/>
        </w:rPr>
        <w:t xml:space="preserve"> y/o Despacho Directo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>, se realiza el presente procedimiento para la emisión del SOAT (en caso que la Agencia Aduanera no haya gestionado la emisión del mismo) para lo cual las Agencias</w:t>
      </w:r>
      <w:r w:rsidR="004322D5">
        <w:rPr>
          <w:rFonts w:ascii="Arial" w:eastAsia="Times New Roman" w:hAnsi="Arial" w:cs="Arial"/>
          <w:sz w:val="20"/>
          <w:szCs w:val="20"/>
          <w:lang w:eastAsia="es-BO"/>
        </w:rPr>
        <w:t xml:space="preserve"> y/o Despacho Directo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 xml:space="preserve"> deben entregar el DUI y FRV respectivo al Encargado de Documentación</w:t>
      </w:r>
      <w:r w:rsidR="00535762">
        <w:rPr>
          <w:rFonts w:ascii="Arial" w:eastAsia="Times New Roman" w:hAnsi="Arial" w:cs="Arial"/>
          <w:sz w:val="20"/>
          <w:szCs w:val="20"/>
          <w:lang w:eastAsia="es-BO"/>
        </w:rPr>
        <w:t xml:space="preserve">, esto se realiza previamente a la extracción del vehículo del Depósito Aduanero o Zona Franca. </w:t>
      </w:r>
      <w:r w:rsidRPr="00770E00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</w:p>
    <w:p w:rsidR="00501EC4" w:rsidRDefault="00501EC4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F47D4B" w:rsidRPr="00007C94" w:rsidRDefault="001F3B9F" w:rsidP="003A0C7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007C94">
        <w:rPr>
          <w:rFonts w:ascii="Arial" w:hAnsi="Arial" w:cs="Arial"/>
          <w:b/>
          <w:sz w:val="20"/>
          <w:szCs w:val="20"/>
        </w:rPr>
        <w:t xml:space="preserve"> </w:t>
      </w:r>
      <w:r w:rsidR="00F47D4B" w:rsidRPr="00007C94">
        <w:rPr>
          <w:rFonts w:ascii="Arial" w:hAnsi="Arial" w:cs="Arial"/>
          <w:b/>
          <w:sz w:val="20"/>
          <w:szCs w:val="20"/>
        </w:rPr>
        <w:t>E</w:t>
      </w:r>
      <w:r w:rsidR="00770E00" w:rsidRPr="00007C94">
        <w:rPr>
          <w:rFonts w:ascii="Arial" w:hAnsi="Arial" w:cs="Arial"/>
          <w:b/>
          <w:sz w:val="20"/>
          <w:szCs w:val="20"/>
        </w:rPr>
        <w:t>misión de SOAT</w:t>
      </w:r>
    </w:p>
    <w:p w:rsidR="003A0C7D" w:rsidRDefault="00D90C28" w:rsidP="003A0C7D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90C28">
        <w:rPr>
          <w:rFonts w:ascii="Arial" w:eastAsia="Times New Roman" w:hAnsi="Arial" w:cs="Arial"/>
          <w:sz w:val="20"/>
          <w:szCs w:val="20"/>
          <w:lang w:eastAsia="es-BO"/>
        </w:rPr>
        <w:t>El Encargado de Documentación</w:t>
      </w:r>
      <w:r w:rsidR="004322D5">
        <w:rPr>
          <w:rFonts w:ascii="Arial" w:eastAsia="Times New Roman" w:hAnsi="Arial" w:cs="Arial"/>
          <w:sz w:val="20"/>
          <w:szCs w:val="20"/>
          <w:lang w:eastAsia="es-BO"/>
        </w:rPr>
        <w:t xml:space="preserve"> del área de Importaciones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recibe el FRV para la emisión del SOAT  correspondiente y realiza el llenado manual del Certificado SOAT del año actual que se encuentra</w:t>
      </w:r>
      <w:r w:rsidR="003A0C7D">
        <w:rPr>
          <w:rFonts w:ascii="Arial" w:eastAsia="Times New Roman" w:hAnsi="Arial" w:cs="Arial"/>
          <w:sz w:val="20"/>
          <w:szCs w:val="20"/>
          <w:lang w:eastAsia="es-BO"/>
        </w:rPr>
        <w:t xml:space="preserve"> e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>n su</w:t>
      </w:r>
      <w:r w:rsidR="00A02F49">
        <w:rPr>
          <w:rFonts w:ascii="Arial" w:eastAsia="Times New Roman" w:hAnsi="Arial" w:cs="Arial"/>
          <w:sz w:val="20"/>
          <w:szCs w:val="20"/>
          <w:lang w:eastAsia="es-BO"/>
        </w:rPr>
        <w:t xml:space="preserve"> custodia con los datos de FRV.</w:t>
      </w:r>
    </w:p>
    <w:p w:rsidR="00D90C28" w:rsidRPr="000B0476" w:rsidRDefault="00D90C28" w:rsidP="000B0476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BO"/>
        </w:rPr>
      </w:pPr>
      <w:r w:rsidRPr="00D90C28">
        <w:rPr>
          <w:rFonts w:ascii="Arial" w:eastAsia="Times New Roman" w:hAnsi="Arial" w:cs="Arial"/>
          <w:sz w:val="20"/>
          <w:szCs w:val="20"/>
          <w:lang w:eastAsia="es-BO"/>
        </w:rPr>
        <w:t>Los Certificados SOAT no deben tener borrones</w:t>
      </w:r>
      <w:r w:rsidR="00501EC4">
        <w:rPr>
          <w:rFonts w:ascii="Arial" w:eastAsia="Times New Roman" w:hAnsi="Arial" w:cs="Arial"/>
          <w:sz w:val="20"/>
          <w:szCs w:val="20"/>
          <w:lang w:eastAsia="es-BO"/>
        </w:rPr>
        <w:t xml:space="preserve"> ni estar tachados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, por lo que en caso que exista </w:t>
      </w:r>
      <w:r w:rsidR="000B0476">
        <w:rPr>
          <w:rFonts w:ascii="Arial" w:eastAsia="Times New Roman" w:hAnsi="Arial" w:cs="Arial"/>
          <w:sz w:val="20"/>
          <w:szCs w:val="20"/>
          <w:lang w:eastAsia="es-BO"/>
        </w:rPr>
        <w:t>algún error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en el llenado del mismo con los datos del FRV, dicho formulario debe ser anulado y se debe realizar el llenado de un nuevo Certificado SOAT.</w:t>
      </w:r>
    </w:p>
    <w:p w:rsidR="00D41353" w:rsidRDefault="00D41353" w:rsidP="00F47D4B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D41353" w:rsidRPr="007477C7" w:rsidRDefault="00D16656" w:rsidP="003A0C7D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7477C7">
        <w:rPr>
          <w:rFonts w:ascii="Arial" w:hAnsi="Arial" w:cs="Arial"/>
          <w:b/>
          <w:sz w:val="20"/>
          <w:szCs w:val="20"/>
        </w:rPr>
        <w:t xml:space="preserve"> </w:t>
      </w:r>
      <w:r w:rsidR="00501EC4" w:rsidRPr="003A0C7D">
        <w:rPr>
          <w:rFonts w:ascii="Arial" w:hAnsi="Arial" w:cs="Arial"/>
          <w:b/>
          <w:sz w:val="20"/>
          <w:szCs w:val="20"/>
          <w:u w:val="single"/>
        </w:rPr>
        <w:t>Para Renovación de SOAT</w:t>
      </w:r>
    </w:p>
    <w:p w:rsidR="00D41353" w:rsidRPr="00007C94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F47D4B" w:rsidRPr="00007C94" w:rsidRDefault="001F3B9F" w:rsidP="003A0C7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007C94">
        <w:rPr>
          <w:rFonts w:ascii="Arial" w:hAnsi="Arial" w:cs="Arial"/>
          <w:b/>
          <w:sz w:val="20"/>
          <w:szCs w:val="20"/>
        </w:rPr>
        <w:t xml:space="preserve"> </w:t>
      </w:r>
      <w:r w:rsidR="00770E00" w:rsidRPr="00007C94">
        <w:rPr>
          <w:rFonts w:ascii="Arial" w:hAnsi="Arial" w:cs="Arial"/>
          <w:b/>
          <w:sz w:val="20"/>
          <w:szCs w:val="20"/>
        </w:rPr>
        <w:t>Solicitud de Renovación de SOAT</w:t>
      </w:r>
    </w:p>
    <w:p w:rsidR="00137B99" w:rsidRDefault="00D90C28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90C28">
        <w:rPr>
          <w:rFonts w:ascii="Arial" w:eastAsia="Times New Roman" w:hAnsi="Arial" w:cs="Arial"/>
          <w:sz w:val="20"/>
          <w:szCs w:val="20"/>
          <w:lang w:eastAsia="es-BO"/>
        </w:rPr>
        <w:t>En caso que un vehículo no sea vendido en el año al que corresponde el SOAT, se debe proceder a la renovación del mismo. El Asi</w:t>
      </w:r>
      <w:r w:rsidR="00137B99">
        <w:rPr>
          <w:rFonts w:ascii="Arial" w:eastAsia="Times New Roman" w:hAnsi="Arial" w:cs="Arial"/>
          <w:sz w:val="20"/>
          <w:szCs w:val="20"/>
          <w:lang w:eastAsia="es-BO"/>
        </w:rPr>
        <w:t xml:space="preserve">stente de Ventas de la sucursal </w:t>
      </w:r>
      <w:r w:rsidR="00137B99" w:rsidRPr="00D90C28">
        <w:rPr>
          <w:rFonts w:ascii="Arial" w:eastAsia="Times New Roman" w:hAnsi="Arial" w:cs="Arial"/>
          <w:sz w:val="20"/>
          <w:szCs w:val="20"/>
          <w:lang w:eastAsia="es-BO"/>
        </w:rPr>
        <w:t>debe verificar que el SOAT se encuentre vigente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antes de solicitar la facturación de un vehículo</w:t>
      </w:r>
      <w:r w:rsidR="00137B99">
        <w:rPr>
          <w:rFonts w:ascii="Arial" w:eastAsia="Times New Roman" w:hAnsi="Arial" w:cs="Arial"/>
          <w:sz w:val="20"/>
          <w:szCs w:val="20"/>
          <w:lang w:eastAsia="es-BO"/>
        </w:rPr>
        <w:t>. E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n caso </w:t>
      </w:r>
      <w:r w:rsidR="004322D5">
        <w:rPr>
          <w:rFonts w:ascii="Arial" w:eastAsia="Times New Roman" w:hAnsi="Arial" w:cs="Arial"/>
          <w:sz w:val="20"/>
          <w:szCs w:val="20"/>
          <w:lang w:eastAsia="es-BO"/>
        </w:rPr>
        <w:t xml:space="preserve">de 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que </w:t>
      </w:r>
      <w:r w:rsidR="00AC7E89">
        <w:rPr>
          <w:rFonts w:ascii="Arial" w:eastAsia="Times New Roman" w:hAnsi="Arial" w:cs="Arial"/>
          <w:sz w:val="20"/>
          <w:szCs w:val="20"/>
          <w:lang w:eastAsia="es-BO"/>
        </w:rPr>
        <w:t>el SOAT se encuentre vencido, el Asistente de Ventas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4322D5">
        <w:rPr>
          <w:rFonts w:ascii="Arial" w:eastAsia="Times New Roman" w:hAnsi="Arial" w:cs="Arial"/>
          <w:sz w:val="20"/>
          <w:szCs w:val="20"/>
          <w:lang w:eastAsia="es-BO"/>
        </w:rPr>
        <w:t xml:space="preserve">o el </w:t>
      </w:r>
      <w:r w:rsidR="000B0476">
        <w:rPr>
          <w:rFonts w:ascii="Arial" w:eastAsia="Times New Roman" w:hAnsi="Arial" w:cs="Arial"/>
          <w:sz w:val="20"/>
          <w:szCs w:val="20"/>
          <w:lang w:eastAsia="es-BO"/>
        </w:rPr>
        <w:t>funcionario asignado</w:t>
      </w:r>
      <w:r w:rsidR="004322D5">
        <w:rPr>
          <w:rFonts w:ascii="Arial" w:eastAsia="Times New Roman" w:hAnsi="Arial" w:cs="Arial"/>
          <w:sz w:val="20"/>
          <w:szCs w:val="20"/>
          <w:lang w:eastAsia="es-BO"/>
        </w:rPr>
        <w:t xml:space="preserve"> para preparar la </w:t>
      </w:r>
      <w:r w:rsidR="004322D5">
        <w:rPr>
          <w:rFonts w:ascii="Arial" w:eastAsia="Times New Roman" w:hAnsi="Arial" w:cs="Arial"/>
          <w:sz w:val="20"/>
          <w:szCs w:val="20"/>
          <w:lang w:eastAsia="es-BO"/>
        </w:rPr>
        <w:lastRenderedPageBreak/>
        <w:t xml:space="preserve">documentación 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>debe</w:t>
      </w:r>
      <w:r w:rsidR="00137B99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>solicitar personalmente la renovación del mismo al Encargado de Documentaci</w:t>
      </w:r>
      <w:r>
        <w:rPr>
          <w:rFonts w:ascii="Arial" w:eastAsia="Times New Roman" w:hAnsi="Arial" w:cs="Arial"/>
          <w:sz w:val="20"/>
          <w:szCs w:val="20"/>
          <w:lang w:eastAsia="es-BO"/>
        </w:rPr>
        <w:t>ón en el área de Importaciones/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>Operaciones.</w:t>
      </w:r>
      <w:r w:rsidR="00137B99" w:rsidRPr="00137B99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</w:p>
    <w:p w:rsidR="00137B99" w:rsidRDefault="00137B99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D90C28" w:rsidRPr="004322D5" w:rsidRDefault="00137B99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4322D5">
        <w:rPr>
          <w:rFonts w:ascii="Arial" w:eastAsia="Times New Roman" w:hAnsi="Arial" w:cs="Arial"/>
          <w:sz w:val="20"/>
          <w:szCs w:val="20"/>
          <w:lang w:eastAsia="es-BO"/>
        </w:rPr>
        <w:t>El Asistente de ventas debe prever alrededor de cuatro (4) días para que el proceso de renovación entre en facturación.</w:t>
      </w:r>
    </w:p>
    <w:p w:rsidR="00D90C28" w:rsidRDefault="00D90C28" w:rsidP="00D41353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90C28" w:rsidRPr="00007C94" w:rsidRDefault="001F3B9F" w:rsidP="003A0C7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007C94">
        <w:rPr>
          <w:rFonts w:ascii="Arial" w:hAnsi="Arial" w:cs="Arial"/>
          <w:b/>
          <w:sz w:val="20"/>
          <w:szCs w:val="20"/>
        </w:rPr>
        <w:t xml:space="preserve"> </w:t>
      </w:r>
      <w:r w:rsidR="00D90C28" w:rsidRPr="00007C94">
        <w:rPr>
          <w:rFonts w:ascii="Arial" w:hAnsi="Arial" w:cs="Arial"/>
          <w:b/>
          <w:sz w:val="20"/>
          <w:szCs w:val="20"/>
        </w:rPr>
        <w:t>Renovación de SOAT</w:t>
      </w:r>
    </w:p>
    <w:p w:rsidR="00D90C28" w:rsidRDefault="00D90C28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El Encargado de Documentación recibe el SOAT vencido del Asistente de Ventas y </w:t>
      </w:r>
      <w:r w:rsidR="00930A71">
        <w:rPr>
          <w:rFonts w:ascii="Arial" w:eastAsia="Times New Roman" w:hAnsi="Arial" w:cs="Arial"/>
          <w:sz w:val="20"/>
          <w:szCs w:val="20"/>
          <w:lang w:eastAsia="es-BO"/>
        </w:rPr>
        <w:t>procede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0B0476">
        <w:rPr>
          <w:rFonts w:ascii="Arial" w:eastAsia="Times New Roman" w:hAnsi="Arial" w:cs="Arial"/>
          <w:sz w:val="20"/>
          <w:szCs w:val="20"/>
          <w:lang w:eastAsia="es-BO"/>
        </w:rPr>
        <w:t>a</w:t>
      </w:r>
      <w:r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la renovación del mismo. Para este fin, el Encargado de Documentación copia los datos del SOAT en un formulario de SOAT del año actual y entrega el mismo al Asistente de Ventas para que proceda con la facturación del vehículo. </w:t>
      </w:r>
    </w:p>
    <w:p w:rsidR="004F2250" w:rsidRDefault="004F2250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4F2250" w:rsidRPr="00D90C28" w:rsidRDefault="004F2250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Cabe resaltar que la Renovación del SOAT solo se realiza una vez que el vehículo se encuentre en trámites de venta. </w:t>
      </w:r>
    </w:p>
    <w:p w:rsidR="00D90C28" w:rsidRPr="00007C94" w:rsidRDefault="00D90C28" w:rsidP="00D41353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770E00" w:rsidRPr="003A0C7D" w:rsidRDefault="00501EC4" w:rsidP="003A0C7D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3A0C7D">
        <w:rPr>
          <w:rFonts w:ascii="Arial" w:hAnsi="Arial" w:cs="Arial"/>
          <w:b/>
          <w:sz w:val="20"/>
          <w:szCs w:val="20"/>
        </w:rPr>
        <w:t xml:space="preserve"> </w:t>
      </w:r>
      <w:r w:rsidRPr="003A0C7D">
        <w:rPr>
          <w:rFonts w:ascii="Arial" w:hAnsi="Arial" w:cs="Arial"/>
          <w:b/>
          <w:sz w:val="20"/>
          <w:szCs w:val="20"/>
          <w:u w:val="single"/>
        </w:rPr>
        <w:t>Para Ambos Casos</w:t>
      </w:r>
    </w:p>
    <w:p w:rsidR="00770E00" w:rsidRPr="00007C94" w:rsidRDefault="00770E00" w:rsidP="00D41353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D90C28" w:rsidRPr="00007C94" w:rsidRDefault="001F3B9F" w:rsidP="003A0C7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007C94">
        <w:rPr>
          <w:rFonts w:ascii="Arial" w:hAnsi="Arial" w:cs="Arial"/>
          <w:b/>
          <w:sz w:val="20"/>
          <w:szCs w:val="20"/>
        </w:rPr>
        <w:t xml:space="preserve"> </w:t>
      </w:r>
      <w:r w:rsidR="00D90C28" w:rsidRPr="00007C94">
        <w:rPr>
          <w:rFonts w:ascii="Arial" w:hAnsi="Arial" w:cs="Arial"/>
          <w:b/>
          <w:sz w:val="20"/>
          <w:szCs w:val="20"/>
        </w:rPr>
        <w:t>Registro de SOAT</w:t>
      </w:r>
    </w:p>
    <w:p w:rsidR="00D90C28" w:rsidRPr="00D90C28" w:rsidRDefault="00501EC4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Una vez emitido o renovado el SOAT, e</w:t>
      </w:r>
      <w:r w:rsidR="00D90C28" w:rsidRPr="00D90C28">
        <w:rPr>
          <w:rFonts w:ascii="Arial" w:eastAsia="Times New Roman" w:hAnsi="Arial" w:cs="Arial"/>
          <w:sz w:val="20"/>
          <w:szCs w:val="20"/>
          <w:lang w:eastAsia="es-BO"/>
        </w:rPr>
        <w:t>l Encargado de Documentación debe realizar el registro</w:t>
      </w:r>
      <w:r w:rsidR="003B3E31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D90C28"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del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mismo</w:t>
      </w:r>
      <w:r w:rsidR="00D90C28"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en el "Registro de SOATs", </w:t>
      </w:r>
      <w:r w:rsidR="006D0588">
        <w:rPr>
          <w:rFonts w:ascii="Arial" w:eastAsia="Times New Roman" w:hAnsi="Arial" w:cs="Arial"/>
          <w:sz w:val="20"/>
          <w:szCs w:val="20"/>
          <w:lang w:eastAsia="es-BO"/>
        </w:rPr>
        <w:t>documento en Excel que</w:t>
      </w:r>
      <w:r w:rsidR="003B3E31">
        <w:rPr>
          <w:rFonts w:ascii="Arial" w:eastAsia="Times New Roman" w:hAnsi="Arial" w:cs="Arial"/>
          <w:sz w:val="20"/>
          <w:szCs w:val="20"/>
          <w:lang w:eastAsia="es-BO"/>
        </w:rPr>
        <w:t xml:space="preserve"> detalla </w:t>
      </w:r>
      <w:r w:rsidR="00D90C28" w:rsidRPr="00D90C28">
        <w:rPr>
          <w:rFonts w:ascii="Arial" w:eastAsia="Times New Roman" w:hAnsi="Arial" w:cs="Arial"/>
          <w:sz w:val="20"/>
          <w:szCs w:val="20"/>
          <w:lang w:eastAsia="es-BO"/>
        </w:rPr>
        <w:t>los siguientes datos: Chasis, fecha de emisión, marca, año, empresa a la que corresponde (Toyosa o Crown</w:t>
      </w:r>
      <w:r w:rsidR="00D90C28">
        <w:rPr>
          <w:rFonts w:ascii="Arial" w:eastAsia="Times New Roman" w:hAnsi="Arial" w:cs="Arial"/>
          <w:sz w:val="20"/>
          <w:szCs w:val="20"/>
          <w:lang w:eastAsia="es-BO"/>
        </w:rPr>
        <w:t>),</w:t>
      </w:r>
      <w:r w:rsidR="00D90C28"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monto a pagar a la Aseguradora (prima), entre otros.</w:t>
      </w:r>
    </w:p>
    <w:p w:rsidR="00D90C28" w:rsidRDefault="00D90C28" w:rsidP="00D90C2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770E00" w:rsidRDefault="006D0588" w:rsidP="003B3E31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Se deben registrar</w:t>
      </w:r>
      <w:r w:rsidR="00D90C28"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de igual manera</w:t>
      </w:r>
      <w:r w:rsidR="003B3E31"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="00D90C28" w:rsidRPr="00D90C28">
        <w:rPr>
          <w:rFonts w:ascii="Arial" w:eastAsia="Times New Roman" w:hAnsi="Arial" w:cs="Arial"/>
          <w:sz w:val="20"/>
          <w:szCs w:val="20"/>
          <w:lang w:eastAsia="es-BO"/>
        </w:rPr>
        <w:t xml:space="preserve"> los Certificados Anulados por equivocaciones</w:t>
      </w:r>
      <w:r w:rsidR="00930A71">
        <w:rPr>
          <w:rFonts w:ascii="Arial" w:eastAsia="Times New Roman" w:hAnsi="Arial" w:cs="Arial"/>
          <w:sz w:val="20"/>
          <w:szCs w:val="20"/>
          <w:lang w:eastAsia="es-BO"/>
        </w:rPr>
        <w:t xml:space="preserve"> y se debe indicar</w:t>
      </w:r>
      <w:r w:rsidR="00965DBF">
        <w:rPr>
          <w:rFonts w:ascii="Arial" w:eastAsia="Times New Roman" w:hAnsi="Arial" w:cs="Arial"/>
          <w:sz w:val="20"/>
          <w:szCs w:val="20"/>
          <w:lang w:eastAsia="es-BO"/>
        </w:rPr>
        <w:t xml:space="preserve"> a la compañía de seguros</w:t>
      </w:r>
      <w:r w:rsidR="002A6228">
        <w:rPr>
          <w:rFonts w:ascii="Arial" w:eastAsia="Times New Roman" w:hAnsi="Arial" w:cs="Arial"/>
          <w:sz w:val="20"/>
          <w:szCs w:val="20"/>
          <w:lang w:eastAsia="es-BO"/>
        </w:rPr>
        <w:t xml:space="preserve"> que el mismo fue ANULADO</w:t>
      </w:r>
      <w:r w:rsidR="00965DBF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:rsidR="00691EA2" w:rsidRDefault="00691EA2" w:rsidP="00691EA2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691EA2" w:rsidRPr="00007C94" w:rsidRDefault="001F3B9F" w:rsidP="003A0C7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007C94">
        <w:rPr>
          <w:rFonts w:ascii="Arial" w:hAnsi="Arial" w:cs="Arial"/>
          <w:b/>
          <w:sz w:val="20"/>
          <w:szCs w:val="20"/>
        </w:rPr>
        <w:t xml:space="preserve"> </w:t>
      </w:r>
      <w:r w:rsidR="00691EA2" w:rsidRPr="00007C94">
        <w:rPr>
          <w:rFonts w:ascii="Arial" w:hAnsi="Arial" w:cs="Arial"/>
          <w:b/>
          <w:sz w:val="20"/>
          <w:szCs w:val="20"/>
        </w:rPr>
        <w:t>Distribución de SOAT Original y Copias</w:t>
      </w:r>
    </w:p>
    <w:p w:rsidR="00691EA2" w:rsidRDefault="00691EA2" w:rsidP="00691EA2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691EA2" w:rsidRPr="00691EA2" w:rsidRDefault="00691EA2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691EA2">
        <w:rPr>
          <w:rFonts w:ascii="Arial" w:hAnsi="Arial" w:cs="Arial"/>
          <w:sz w:val="20"/>
          <w:szCs w:val="20"/>
        </w:rPr>
        <w:t xml:space="preserve">El Encargado de Documentación distribuye el Certificado original del SOAT y las </w:t>
      </w:r>
      <w:r w:rsidR="00B7132C">
        <w:rPr>
          <w:rFonts w:ascii="Arial" w:hAnsi="Arial" w:cs="Arial"/>
          <w:sz w:val="20"/>
          <w:szCs w:val="20"/>
        </w:rPr>
        <w:t xml:space="preserve">dos </w:t>
      </w:r>
      <w:r>
        <w:rPr>
          <w:rFonts w:ascii="Arial" w:hAnsi="Arial" w:cs="Arial"/>
          <w:sz w:val="20"/>
          <w:szCs w:val="20"/>
        </w:rPr>
        <w:t>(</w:t>
      </w:r>
      <w:r w:rsidR="00B7132C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)</w:t>
      </w:r>
      <w:r w:rsidRPr="00691EA2">
        <w:rPr>
          <w:rFonts w:ascii="Arial" w:hAnsi="Arial" w:cs="Arial"/>
          <w:sz w:val="20"/>
          <w:szCs w:val="20"/>
        </w:rPr>
        <w:t xml:space="preserve"> copias de la siguiente manera:</w:t>
      </w:r>
    </w:p>
    <w:p w:rsidR="00C77E29" w:rsidRPr="000B0476" w:rsidRDefault="00691EA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691EA2">
        <w:rPr>
          <w:rFonts w:ascii="Arial" w:hAnsi="Arial" w:cs="Arial"/>
          <w:sz w:val="20"/>
          <w:szCs w:val="20"/>
        </w:rPr>
        <w:t xml:space="preserve"> El Certificado Original del SOAT se entreg</w:t>
      </w:r>
      <w:r>
        <w:rPr>
          <w:rFonts w:ascii="Arial" w:hAnsi="Arial" w:cs="Arial"/>
          <w:sz w:val="20"/>
          <w:szCs w:val="20"/>
        </w:rPr>
        <w:t>a al Auxiliar de Importaciones/</w:t>
      </w:r>
      <w:r w:rsidRPr="00691EA2">
        <w:rPr>
          <w:rFonts w:ascii="Arial" w:hAnsi="Arial" w:cs="Arial"/>
          <w:sz w:val="20"/>
          <w:szCs w:val="20"/>
        </w:rPr>
        <w:t>Operaciones</w:t>
      </w:r>
      <w:r w:rsidR="002A6228">
        <w:rPr>
          <w:rFonts w:ascii="Arial" w:hAnsi="Arial" w:cs="Arial"/>
          <w:sz w:val="20"/>
          <w:szCs w:val="20"/>
        </w:rPr>
        <w:t xml:space="preserve">, quién a su vez entregará el mismo </w:t>
      </w:r>
      <w:r w:rsidRPr="00691EA2">
        <w:rPr>
          <w:rFonts w:ascii="Arial" w:hAnsi="Arial" w:cs="Arial"/>
          <w:sz w:val="20"/>
          <w:szCs w:val="20"/>
        </w:rPr>
        <w:t xml:space="preserve">al área de Administración </w:t>
      </w:r>
      <w:r w:rsidR="002A6228">
        <w:rPr>
          <w:rFonts w:ascii="Arial" w:hAnsi="Arial" w:cs="Arial"/>
          <w:sz w:val="20"/>
          <w:szCs w:val="20"/>
        </w:rPr>
        <w:t>de Ventas de la Regional, junto a las fotocopias</w:t>
      </w:r>
      <w:r w:rsidR="000B0476">
        <w:rPr>
          <w:rFonts w:ascii="Arial" w:hAnsi="Arial" w:cs="Arial"/>
          <w:sz w:val="20"/>
          <w:szCs w:val="20"/>
        </w:rPr>
        <w:t xml:space="preserve"> </w:t>
      </w:r>
      <w:r w:rsidR="002A6228">
        <w:rPr>
          <w:rFonts w:ascii="Arial" w:hAnsi="Arial" w:cs="Arial"/>
          <w:sz w:val="20"/>
          <w:szCs w:val="20"/>
        </w:rPr>
        <w:t xml:space="preserve">legalizadas de los DUIs, de acuerdo al procedimiento </w:t>
      </w:r>
      <w:r w:rsidR="002A6228" w:rsidRPr="002A6228">
        <w:rPr>
          <w:rFonts w:ascii="Arial" w:hAnsi="Arial" w:cs="Arial"/>
          <w:i/>
          <w:sz w:val="20"/>
          <w:szCs w:val="20"/>
        </w:rPr>
        <w:t>“Registro, Control, Custodia Y Envío de DUIs”.</w:t>
      </w:r>
      <w:r w:rsidR="00AC7E89">
        <w:rPr>
          <w:rFonts w:ascii="Arial" w:hAnsi="Arial" w:cs="Arial"/>
          <w:sz w:val="20"/>
          <w:szCs w:val="20"/>
        </w:rPr>
        <w:t xml:space="preserve"> </w:t>
      </w:r>
    </w:p>
    <w:p w:rsidR="00691EA2" w:rsidRDefault="00691EA2" w:rsidP="00B7132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91EA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Pr="00691EA2">
        <w:rPr>
          <w:rFonts w:ascii="Arial" w:hAnsi="Arial" w:cs="Arial"/>
          <w:sz w:val="20"/>
          <w:szCs w:val="20"/>
        </w:rPr>
        <w:t xml:space="preserve">Una copia de los Certificados de SOAT emitidos en el mes se entrega a fin del mes correspondiente </w:t>
      </w:r>
      <w:r>
        <w:rPr>
          <w:rFonts w:ascii="Arial" w:hAnsi="Arial" w:cs="Arial"/>
          <w:sz w:val="20"/>
          <w:szCs w:val="20"/>
        </w:rPr>
        <w:t xml:space="preserve">  </w:t>
      </w:r>
      <w:r w:rsidRPr="00691EA2">
        <w:rPr>
          <w:rFonts w:ascii="Arial" w:hAnsi="Arial" w:cs="Arial"/>
          <w:sz w:val="20"/>
          <w:szCs w:val="20"/>
        </w:rPr>
        <w:t xml:space="preserve">al área de Contabilidad para la emisión de la Orden de Pago para la </w:t>
      </w:r>
      <w:r w:rsidR="002A6228">
        <w:rPr>
          <w:rFonts w:ascii="Arial" w:hAnsi="Arial" w:cs="Arial"/>
          <w:sz w:val="20"/>
          <w:szCs w:val="20"/>
        </w:rPr>
        <w:t xml:space="preserve">Empresa </w:t>
      </w:r>
      <w:r w:rsidRPr="00691EA2">
        <w:rPr>
          <w:rFonts w:ascii="Arial" w:hAnsi="Arial" w:cs="Arial"/>
          <w:sz w:val="20"/>
          <w:szCs w:val="20"/>
        </w:rPr>
        <w:t>Aseguradora. Adjunto a estos se entregan</w:t>
      </w:r>
      <w:r w:rsidR="002A6228">
        <w:rPr>
          <w:rFonts w:ascii="Arial" w:hAnsi="Arial" w:cs="Arial"/>
          <w:sz w:val="20"/>
          <w:szCs w:val="20"/>
        </w:rPr>
        <w:t xml:space="preserve"> también</w:t>
      </w:r>
      <w:r w:rsidRPr="00691EA2">
        <w:rPr>
          <w:rFonts w:ascii="Arial" w:hAnsi="Arial" w:cs="Arial"/>
          <w:sz w:val="20"/>
          <w:szCs w:val="20"/>
        </w:rPr>
        <w:t xml:space="preserve"> las facturas recibidas de la </w:t>
      </w:r>
      <w:r w:rsidR="002A6228">
        <w:rPr>
          <w:rFonts w:ascii="Arial" w:hAnsi="Arial" w:cs="Arial"/>
          <w:sz w:val="20"/>
          <w:szCs w:val="20"/>
        </w:rPr>
        <w:t xml:space="preserve">Empresa </w:t>
      </w:r>
      <w:r w:rsidRPr="00691EA2">
        <w:rPr>
          <w:rFonts w:ascii="Arial" w:hAnsi="Arial" w:cs="Arial"/>
          <w:sz w:val="20"/>
          <w:szCs w:val="20"/>
        </w:rPr>
        <w:t>Aseguradora y un cuadro que elabora el Encargado de Documentación con los datos (chasis, marca y prima) de los Certificados adjuntos. Dicho cuadro impreso debe ser revisado y firmado por el Gerente Nacional de Admin</w:t>
      </w:r>
      <w:r w:rsidR="002A6228">
        <w:rPr>
          <w:rFonts w:ascii="Arial" w:hAnsi="Arial" w:cs="Arial"/>
          <w:sz w:val="20"/>
          <w:szCs w:val="20"/>
        </w:rPr>
        <w:t xml:space="preserve">istración y Finanzas antes </w:t>
      </w:r>
      <w:r w:rsidRPr="00691EA2">
        <w:rPr>
          <w:rFonts w:ascii="Arial" w:hAnsi="Arial" w:cs="Arial"/>
          <w:sz w:val="20"/>
          <w:szCs w:val="20"/>
        </w:rPr>
        <w:t>de entregarse al área de Contabilidad</w:t>
      </w:r>
      <w:r w:rsidR="00AC7E89">
        <w:rPr>
          <w:rFonts w:ascii="Arial" w:hAnsi="Arial" w:cs="Arial"/>
          <w:sz w:val="20"/>
          <w:szCs w:val="20"/>
        </w:rPr>
        <w:t>, previo visto bueno del Subgerente Nacional de Importaciones.</w:t>
      </w:r>
    </w:p>
    <w:p w:rsidR="00691EA2" w:rsidRDefault="00691EA2" w:rsidP="00B7132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691EA2">
        <w:rPr>
          <w:rFonts w:ascii="Arial" w:hAnsi="Arial" w:cs="Arial"/>
          <w:sz w:val="20"/>
          <w:szCs w:val="20"/>
        </w:rPr>
        <w:t>Una copia de los Certificados de SOAT debe</w:t>
      </w:r>
      <w:r w:rsidR="00B7132C">
        <w:rPr>
          <w:rFonts w:ascii="Arial" w:hAnsi="Arial" w:cs="Arial"/>
          <w:sz w:val="20"/>
          <w:szCs w:val="20"/>
        </w:rPr>
        <w:t xml:space="preserve"> ser</w:t>
      </w:r>
      <w:r w:rsidRPr="00691EA2">
        <w:rPr>
          <w:rFonts w:ascii="Arial" w:hAnsi="Arial" w:cs="Arial"/>
          <w:sz w:val="20"/>
          <w:szCs w:val="20"/>
        </w:rPr>
        <w:t xml:space="preserve"> entrega</w:t>
      </w:r>
      <w:r w:rsidR="00B7132C">
        <w:rPr>
          <w:rFonts w:ascii="Arial" w:hAnsi="Arial" w:cs="Arial"/>
          <w:sz w:val="20"/>
          <w:szCs w:val="20"/>
        </w:rPr>
        <w:t>da</w:t>
      </w:r>
      <w:r w:rsidRPr="00691EA2">
        <w:rPr>
          <w:rFonts w:ascii="Arial" w:hAnsi="Arial" w:cs="Arial"/>
          <w:sz w:val="20"/>
          <w:szCs w:val="20"/>
        </w:rPr>
        <w:t xml:space="preserve"> a la</w:t>
      </w:r>
      <w:r w:rsidR="002A6228">
        <w:rPr>
          <w:rFonts w:ascii="Arial" w:hAnsi="Arial" w:cs="Arial"/>
          <w:sz w:val="20"/>
          <w:szCs w:val="20"/>
        </w:rPr>
        <w:t xml:space="preserve"> Empresa Aseguradora al momento de </w:t>
      </w:r>
      <w:r w:rsidRPr="00691EA2">
        <w:rPr>
          <w:rFonts w:ascii="Arial" w:hAnsi="Arial" w:cs="Arial"/>
          <w:sz w:val="20"/>
          <w:szCs w:val="20"/>
        </w:rPr>
        <w:t>realizarse el pago a la misma.</w:t>
      </w:r>
    </w:p>
    <w:p w:rsidR="00B7132C" w:rsidRDefault="00B7132C" w:rsidP="00764534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764534" w:rsidRPr="00007C94" w:rsidRDefault="001F3B9F" w:rsidP="003A0C7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007C94">
        <w:rPr>
          <w:rFonts w:ascii="Arial" w:hAnsi="Arial" w:cs="Arial"/>
          <w:b/>
          <w:sz w:val="20"/>
          <w:szCs w:val="20"/>
        </w:rPr>
        <w:t xml:space="preserve"> </w:t>
      </w:r>
      <w:r w:rsidR="00764534" w:rsidRPr="00007C94">
        <w:rPr>
          <w:rFonts w:ascii="Arial" w:hAnsi="Arial" w:cs="Arial"/>
          <w:b/>
          <w:sz w:val="20"/>
          <w:szCs w:val="20"/>
        </w:rPr>
        <w:t>Pago a Aseguradora</w:t>
      </w:r>
    </w:p>
    <w:p w:rsidR="00AC7E89" w:rsidRDefault="002E7B53" w:rsidP="002E7B53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2E7B53">
        <w:rPr>
          <w:rFonts w:ascii="Arial" w:eastAsia="Times New Roman" w:hAnsi="Arial" w:cs="Arial"/>
          <w:sz w:val="20"/>
          <w:szCs w:val="20"/>
          <w:lang w:eastAsia="es-BO"/>
        </w:rPr>
        <w:t xml:space="preserve">El área de Contabilidad </w:t>
      </w:r>
      <w:r w:rsidR="003F3864">
        <w:rPr>
          <w:rFonts w:ascii="Arial" w:eastAsia="Times New Roman" w:hAnsi="Arial" w:cs="Arial"/>
          <w:sz w:val="20"/>
          <w:szCs w:val="20"/>
          <w:lang w:eastAsia="es-BO"/>
        </w:rPr>
        <w:t>debe generar</w:t>
      </w:r>
      <w:r w:rsidRPr="002E7B53">
        <w:rPr>
          <w:rFonts w:ascii="Arial" w:eastAsia="Times New Roman" w:hAnsi="Arial" w:cs="Arial"/>
          <w:sz w:val="20"/>
          <w:szCs w:val="20"/>
          <w:lang w:eastAsia="es-BO"/>
        </w:rPr>
        <w:t xml:space="preserve"> la Orden de Pago para la Aseguradora y</w:t>
      </w:r>
      <w:r>
        <w:rPr>
          <w:rFonts w:ascii="Arial" w:eastAsia="Times New Roman" w:hAnsi="Arial" w:cs="Arial"/>
          <w:sz w:val="20"/>
          <w:szCs w:val="20"/>
          <w:lang w:eastAsia="es-BO"/>
        </w:rPr>
        <w:t>, después de ser autorizado</w:t>
      </w:r>
      <w:r w:rsidRPr="002E7B53">
        <w:rPr>
          <w:rFonts w:ascii="Arial" w:eastAsia="Times New Roman" w:hAnsi="Arial" w:cs="Arial"/>
          <w:sz w:val="20"/>
          <w:szCs w:val="20"/>
          <w:lang w:eastAsia="es-BO"/>
        </w:rPr>
        <w:t xml:space="preserve"> por el área d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e Finanzas, se emitirá el pago </w:t>
      </w:r>
      <w:r w:rsidRPr="002E7B53">
        <w:rPr>
          <w:rFonts w:ascii="Arial" w:eastAsia="Times New Roman" w:hAnsi="Arial" w:cs="Arial"/>
          <w:sz w:val="20"/>
          <w:szCs w:val="20"/>
          <w:lang w:eastAsia="es-BO"/>
        </w:rPr>
        <w:t xml:space="preserve">por el monto total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de </w:t>
      </w:r>
      <w:r w:rsidRPr="002E7B53">
        <w:rPr>
          <w:rFonts w:ascii="Arial" w:eastAsia="Times New Roman" w:hAnsi="Arial" w:cs="Arial"/>
          <w:sz w:val="20"/>
          <w:szCs w:val="20"/>
          <w:lang w:eastAsia="es-BO"/>
        </w:rPr>
        <w:t>los Certificados de SOAT emitidos</w:t>
      </w:r>
      <w:r w:rsidR="00AC7E89">
        <w:rPr>
          <w:rFonts w:ascii="Arial" w:eastAsia="Times New Roman" w:hAnsi="Arial" w:cs="Arial"/>
          <w:sz w:val="20"/>
          <w:szCs w:val="20"/>
          <w:lang w:eastAsia="es-BO"/>
        </w:rPr>
        <w:t>, de acuerdo al Procedimiento “</w:t>
      </w:r>
      <w:r w:rsidR="00AC7E89" w:rsidRPr="007477C7">
        <w:rPr>
          <w:rFonts w:ascii="Arial" w:eastAsia="Times New Roman" w:hAnsi="Arial" w:cs="Arial"/>
          <w:i/>
          <w:sz w:val="20"/>
          <w:szCs w:val="20"/>
          <w:lang w:eastAsia="es-BO"/>
        </w:rPr>
        <w:t>Emisión de Órdenes de Pago</w:t>
      </w:r>
      <w:r w:rsidR="00AC7E89">
        <w:rPr>
          <w:rFonts w:ascii="Arial" w:eastAsia="Times New Roman" w:hAnsi="Arial" w:cs="Arial"/>
          <w:sz w:val="20"/>
          <w:szCs w:val="20"/>
          <w:lang w:eastAsia="es-BO"/>
        </w:rPr>
        <w:t>”.</w:t>
      </w:r>
    </w:p>
    <w:p w:rsidR="002E7B53" w:rsidRPr="002E7B53" w:rsidRDefault="002E7B53" w:rsidP="002E7B53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2E7B53">
        <w:rPr>
          <w:rFonts w:ascii="Arial" w:eastAsia="Times New Roman" w:hAnsi="Arial" w:cs="Arial"/>
          <w:sz w:val="20"/>
          <w:szCs w:val="20"/>
          <w:lang w:eastAsia="es-BO"/>
        </w:rPr>
        <w:t>No se realiza el pago de los SOAT que se encuentran anulados.</w:t>
      </w:r>
    </w:p>
    <w:p w:rsidR="00764534" w:rsidRPr="00764534" w:rsidRDefault="00764534" w:rsidP="00764534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7A60A5" w:rsidRDefault="007A60A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281"/>
      </w:tblGrid>
      <w:tr w:rsidR="00E57C63" w:rsidTr="007477C7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7477C7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278" w:rsidRDefault="00C16278" w:rsidP="00C16278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64534" w:rsidRDefault="00535762" w:rsidP="00C16278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5357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:rsidR="00E57C63" w:rsidRPr="00535762" w:rsidRDefault="005357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5762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7477C7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3A0C7D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3A0C7D" w:rsidRPr="00535762" w:rsidRDefault="003A0C7D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5762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7477C7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5357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5762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BAC" w:rsidRDefault="00CE6BAC" w:rsidP="008A36DB">
      <w:pPr>
        <w:spacing w:after="0" w:line="240" w:lineRule="auto"/>
      </w:pPr>
      <w:r>
        <w:separator/>
      </w:r>
    </w:p>
  </w:endnote>
  <w:endnote w:type="continuationSeparator" w:id="0">
    <w:p w:rsidR="00CE6BAC" w:rsidRDefault="00CE6BAC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BAC" w:rsidRDefault="00CE6BAC" w:rsidP="008A36DB">
      <w:pPr>
        <w:spacing w:after="0" w:line="240" w:lineRule="auto"/>
      </w:pPr>
      <w:r>
        <w:separator/>
      </w:r>
    </w:p>
  </w:footnote>
  <w:footnote w:type="continuationSeparator" w:id="0">
    <w:p w:rsidR="00CE6BAC" w:rsidRDefault="00CE6BAC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5B1CE6" w:rsidTr="005B1CE6">
      <w:trPr>
        <w:trHeight w:val="410"/>
        <w:jc w:val="center"/>
      </w:trPr>
      <w:tc>
        <w:tcPr>
          <w:tcW w:w="2942" w:type="dxa"/>
          <w:vMerge w:val="restart"/>
        </w:tcPr>
        <w:p w:rsidR="005B1CE6" w:rsidRDefault="005B1CE6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14D5D4E1" wp14:editId="6A54817F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5B1CE6" w:rsidRDefault="005B1CE6" w:rsidP="005B1CE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5B1CE6" w:rsidRDefault="005B1CE6" w:rsidP="005B1CE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5B1CE6" w:rsidRDefault="005B1CE6" w:rsidP="005B1CE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5B1CE6" w:rsidRPr="00C873BD" w:rsidRDefault="005B1CE6" w:rsidP="005B1CE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5B1CE6" w:rsidRDefault="003A0C7D">
          <w:pPr>
            <w:pStyle w:val="Encabezado"/>
          </w:pPr>
          <w:r>
            <w:t>Versión: 1.0.</w:t>
          </w:r>
        </w:p>
      </w:tc>
    </w:tr>
    <w:tr w:rsidR="005B1CE6" w:rsidTr="008A36DB">
      <w:trPr>
        <w:jc w:val="center"/>
      </w:trPr>
      <w:tc>
        <w:tcPr>
          <w:tcW w:w="2942" w:type="dxa"/>
          <w:vMerge/>
        </w:tcPr>
        <w:p w:rsidR="005B1CE6" w:rsidRDefault="005B1CE6">
          <w:pPr>
            <w:pStyle w:val="Encabezado"/>
          </w:pPr>
        </w:p>
      </w:tc>
      <w:tc>
        <w:tcPr>
          <w:tcW w:w="5558" w:type="dxa"/>
          <w:vMerge/>
        </w:tcPr>
        <w:p w:rsidR="005B1CE6" w:rsidRPr="00C873BD" w:rsidRDefault="005B1CE6" w:rsidP="005B1CE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5B1CE6" w:rsidRPr="00C873BD" w:rsidRDefault="005B1CE6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B94523" w:rsidRPr="00B94523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B94523" w:rsidRPr="00B94523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5B1CE6" w:rsidTr="008A36DB">
      <w:trPr>
        <w:trHeight w:val="574"/>
        <w:jc w:val="center"/>
      </w:trPr>
      <w:tc>
        <w:tcPr>
          <w:tcW w:w="2942" w:type="dxa"/>
          <w:vMerge/>
        </w:tcPr>
        <w:p w:rsidR="005B1CE6" w:rsidRDefault="005B1CE6">
          <w:pPr>
            <w:pStyle w:val="Encabezado"/>
          </w:pPr>
        </w:p>
      </w:tc>
      <w:tc>
        <w:tcPr>
          <w:tcW w:w="5558" w:type="dxa"/>
          <w:vMerge/>
        </w:tcPr>
        <w:p w:rsidR="005B1CE6" w:rsidRPr="00C873BD" w:rsidRDefault="005B1CE6" w:rsidP="005B1CE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5B1CE6" w:rsidRDefault="005B1CE6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5B1CE6" w:rsidRPr="00F818CC" w:rsidRDefault="005B1CE6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B94523">
            <w:rPr>
              <w:rFonts w:ascii="Arial" w:hAnsi="Arial" w:cs="Arial"/>
              <w:i/>
              <w:sz w:val="20"/>
              <w:szCs w:val="20"/>
            </w:rPr>
            <w:t>10 de Junio de 2017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D0E4B" wp14:editId="442A1E40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BCE67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2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8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6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2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5"/>
  </w:num>
  <w:num w:numId="4">
    <w:abstractNumId w:val="9"/>
  </w:num>
  <w:num w:numId="5">
    <w:abstractNumId w:val="28"/>
  </w:num>
  <w:num w:numId="6">
    <w:abstractNumId w:val="23"/>
  </w:num>
  <w:num w:numId="7">
    <w:abstractNumId w:val="26"/>
  </w:num>
  <w:num w:numId="8">
    <w:abstractNumId w:val="7"/>
  </w:num>
  <w:num w:numId="9">
    <w:abstractNumId w:val="21"/>
  </w:num>
  <w:num w:numId="10">
    <w:abstractNumId w:val="2"/>
  </w:num>
  <w:num w:numId="11">
    <w:abstractNumId w:val="35"/>
  </w:num>
  <w:num w:numId="12">
    <w:abstractNumId w:val="22"/>
  </w:num>
  <w:num w:numId="13">
    <w:abstractNumId w:val="36"/>
  </w:num>
  <w:num w:numId="14">
    <w:abstractNumId w:val="15"/>
  </w:num>
  <w:num w:numId="15">
    <w:abstractNumId w:val="6"/>
  </w:num>
  <w:num w:numId="16">
    <w:abstractNumId w:val="8"/>
  </w:num>
  <w:num w:numId="17">
    <w:abstractNumId w:val="30"/>
  </w:num>
  <w:num w:numId="18">
    <w:abstractNumId w:val="24"/>
  </w:num>
  <w:num w:numId="19">
    <w:abstractNumId w:val="33"/>
  </w:num>
  <w:num w:numId="20">
    <w:abstractNumId w:val="40"/>
  </w:num>
  <w:num w:numId="21">
    <w:abstractNumId w:val="1"/>
  </w:num>
  <w:num w:numId="22">
    <w:abstractNumId w:val="17"/>
  </w:num>
  <w:num w:numId="23">
    <w:abstractNumId w:val="31"/>
  </w:num>
  <w:num w:numId="24">
    <w:abstractNumId w:val="11"/>
  </w:num>
  <w:num w:numId="25">
    <w:abstractNumId w:val="4"/>
  </w:num>
  <w:num w:numId="26">
    <w:abstractNumId w:val="10"/>
  </w:num>
  <w:num w:numId="27">
    <w:abstractNumId w:val="13"/>
  </w:num>
  <w:num w:numId="28">
    <w:abstractNumId w:val="19"/>
  </w:num>
  <w:num w:numId="29">
    <w:abstractNumId w:val="12"/>
  </w:num>
  <w:num w:numId="30">
    <w:abstractNumId w:val="3"/>
  </w:num>
  <w:num w:numId="31">
    <w:abstractNumId w:val="20"/>
  </w:num>
  <w:num w:numId="32">
    <w:abstractNumId w:val="34"/>
  </w:num>
  <w:num w:numId="33">
    <w:abstractNumId w:val="39"/>
  </w:num>
  <w:num w:numId="34">
    <w:abstractNumId w:val="14"/>
  </w:num>
  <w:num w:numId="35">
    <w:abstractNumId w:val="37"/>
  </w:num>
  <w:num w:numId="36">
    <w:abstractNumId w:val="29"/>
  </w:num>
  <w:num w:numId="37">
    <w:abstractNumId w:val="0"/>
  </w:num>
  <w:num w:numId="38">
    <w:abstractNumId w:val="18"/>
  </w:num>
  <w:num w:numId="39">
    <w:abstractNumId w:val="27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07C94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476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37B99"/>
    <w:rsid w:val="00140082"/>
    <w:rsid w:val="0015082B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3B9F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A6228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E7B53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0C7D"/>
    <w:rsid w:val="003A1A1E"/>
    <w:rsid w:val="003A312F"/>
    <w:rsid w:val="003A39A5"/>
    <w:rsid w:val="003A66D1"/>
    <w:rsid w:val="003A7E25"/>
    <w:rsid w:val="003B37F8"/>
    <w:rsid w:val="003B3E31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864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22D5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908"/>
    <w:rsid w:val="004B2A97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74AA"/>
    <w:rsid w:val="004F2250"/>
    <w:rsid w:val="004F304C"/>
    <w:rsid w:val="004F676A"/>
    <w:rsid w:val="005003FF"/>
    <w:rsid w:val="00500F50"/>
    <w:rsid w:val="0050184E"/>
    <w:rsid w:val="00501EC4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5762"/>
    <w:rsid w:val="0053661E"/>
    <w:rsid w:val="00540E8C"/>
    <w:rsid w:val="005420DE"/>
    <w:rsid w:val="00552B46"/>
    <w:rsid w:val="0055534E"/>
    <w:rsid w:val="005555B7"/>
    <w:rsid w:val="0055639E"/>
    <w:rsid w:val="005567F4"/>
    <w:rsid w:val="00561CE3"/>
    <w:rsid w:val="00562876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64C"/>
    <w:rsid w:val="005B1CE6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C67F2"/>
    <w:rsid w:val="005D0114"/>
    <w:rsid w:val="005D1003"/>
    <w:rsid w:val="005D191E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3CCE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1EA2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58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477C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4534"/>
    <w:rsid w:val="00765FFC"/>
    <w:rsid w:val="007671D3"/>
    <w:rsid w:val="00767455"/>
    <w:rsid w:val="00770E00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2681"/>
    <w:rsid w:val="007B35D1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0C0"/>
    <w:rsid w:val="007F5C43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A71"/>
    <w:rsid w:val="00930DE9"/>
    <w:rsid w:val="00935E58"/>
    <w:rsid w:val="00937970"/>
    <w:rsid w:val="00937983"/>
    <w:rsid w:val="00937FA2"/>
    <w:rsid w:val="009444A2"/>
    <w:rsid w:val="00954682"/>
    <w:rsid w:val="00954C60"/>
    <w:rsid w:val="0095722A"/>
    <w:rsid w:val="00962ACA"/>
    <w:rsid w:val="0096314D"/>
    <w:rsid w:val="00965DBF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65B3"/>
    <w:rsid w:val="00A02F49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C7E89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3E4B"/>
    <w:rsid w:val="00B241DD"/>
    <w:rsid w:val="00B25B04"/>
    <w:rsid w:val="00B264C8"/>
    <w:rsid w:val="00B268AD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32C"/>
    <w:rsid w:val="00B717AA"/>
    <w:rsid w:val="00B82452"/>
    <w:rsid w:val="00B83A7F"/>
    <w:rsid w:val="00B84B97"/>
    <w:rsid w:val="00B9293A"/>
    <w:rsid w:val="00B9351D"/>
    <w:rsid w:val="00B94523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CCC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D5C43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16278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77E29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6BAC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56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0C28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1FEC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0817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2DB8"/>
    <w:rsid w:val="00F13929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39C9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E05B9"/>
    <w:rsid w:val="00FE2D38"/>
    <w:rsid w:val="00FE3D57"/>
    <w:rsid w:val="00FE5612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0CCE49EC-FDF1-4366-8075-08E22E9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DC78-A8FA-4775-B5F9-F9EDBF0E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6</cp:revision>
  <cp:lastPrinted>2017-09-27T20:35:00Z</cp:lastPrinted>
  <dcterms:created xsi:type="dcterms:W3CDTF">2017-03-27T21:58:00Z</dcterms:created>
  <dcterms:modified xsi:type="dcterms:W3CDTF">2017-09-27T20:35:00Z</dcterms:modified>
</cp:coreProperties>
</file>