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i w:val="1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[VARIOS]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crear un nuevo cliente i</w:t>
      </w:r>
      <w:r w:rsidDel="00000000" w:rsidR="00000000" w:rsidRPr="00000000"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 a:  </w:t>
      </w:r>
      <w:r w:rsidDel="00000000" w:rsidR="00000000" w:rsidRPr="00000000">
        <w:rPr>
          <w:b w:val="1"/>
          <w:rtl w:val="0"/>
        </w:rPr>
        <w:t xml:space="preserve">Ventas ► Ventas ► Clientes </w:t>
      </w:r>
      <w:r w:rsidDel="00000000" w:rsidR="00000000" w:rsidRPr="00000000">
        <w:rPr>
          <w:rtl w:val="0"/>
        </w:rPr>
        <w:t xml:space="preserve">y p</w:t>
      </w:r>
      <w:r w:rsidDel="00000000" w:rsidR="00000000" w:rsidRPr="00000000"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ulsar el botón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0"/>
          <w:smallCaps w:val="0"/>
          <w:strike w:val="0"/>
          <w:color w:val="00000a"/>
          <w:sz w:val="22"/>
          <w:szCs w:val="22"/>
          <w:u w:val="single"/>
          <w:shd w:fill="auto" w:val="clear"/>
          <w:vertAlign w:val="baseline"/>
          <w:rtl w:val="0"/>
        </w:rPr>
        <w:t xml:space="preserve">Crear.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Seleccionar el campo: ‘Individual’ o ‘Compañía’.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es ‘Individual’ llenar los campos: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‘A. Paterno’, ‘A. Materno’, ‘Primer Nombre’, ‘Segundo Nombre’, ‘CI’ y ‘Expedido’.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216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‘Compañía’: Si el contacto pertenece a una seleccione a una compañía previamente registrada.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Si es ‘Compañía’ debe llenar los campos: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‘Nombre’, ‘NIT’, ‘Razón Social’, ‘Razón Social para facturación’ y ‘Fundempresa’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el campo ‘Categoría de socio’ debe seleccionar si el cliente está relacionado con: Automotores, Volvo o Neumático.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 corresponde, llenar los campos ‘Dirección’, ‘Sitio web’, ‘Phone’, ‘Móvil’, ‘Puesto de trabajo’, ‘Correo electrónico’, ‘Title’ e ‘Idioma’.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Si el cliente es también cliente puede etiquetarlo como: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CLIENTE/INTERNACIONAL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CLIENTE/LOCAL/JURÍDICA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CLIENTE/LOCAL/PÚBLICA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CLIENTE/LOCAL/NATURAL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CLIENTE/LOCAL/JURÍDICA/UNIPERSONAL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En el campo ‘Etiquetas’ seleccione si el cliente es: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PROVEEDOR/INTERNACIONAL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PROVEEDOR/LOCAL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pestaña</w:t>
      </w:r>
      <w:r w:rsidDel="00000000" w:rsidR="00000000" w:rsidRPr="00000000">
        <w:rPr>
          <w:color w:val="000000"/>
          <w:rtl w:val="0"/>
        </w:rPr>
        <w:t xml:space="preserve"> “Contactos y Direcciones” puede crear contactos pertenecientes a la compañía que se está creando, para ello p</w:t>
      </w:r>
      <w:r w:rsidDel="00000000" w:rsidR="00000000" w:rsidRPr="00000000">
        <w:rPr>
          <w:rtl w:val="0"/>
        </w:rPr>
        <w:t xml:space="preserve">ulsar el botón </w:t>
      </w:r>
      <w:r w:rsidDel="00000000" w:rsidR="00000000" w:rsidRPr="00000000">
        <w:rPr>
          <w:u w:val="single"/>
          <w:rtl w:val="0"/>
        </w:rPr>
        <w:t xml:space="preserve">Crear</w:t>
      </w:r>
      <w:r w:rsidDel="00000000" w:rsidR="00000000" w:rsidRPr="00000000">
        <w:rPr>
          <w:rtl w:val="0"/>
        </w:rPr>
        <w:t xml:space="preserve">. Emergerá un formulario con cuatro alternativas seleccionables: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‘Contacto’: Creará un nuevo dato maestro de cliente individual directamente relacionado a la compañía.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‘Dirección de facturación’: Cuando se </w:t>
      </w:r>
      <w:r w:rsidDel="00000000" w:rsidR="00000000" w:rsidRPr="00000000">
        <w:rPr>
          <w:rtl w:val="0"/>
        </w:rPr>
        <w:t xml:space="preserve">registren facturas</w:t>
      </w:r>
      <w:r w:rsidDel="00000000" w:rsidR="00000000" w:rsidRPr="00000000">
        <w:rPr>
          <w:rtl w:val="0"/>
        </w:rPr>
        <w:t xml:space="preserve"> a nombre de la compañía la dirección de facturación será asignado de forma automática a ésta dirección.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‘Dirección de envío’: Cuando se tengan que realizar entregas de productos a la compañía la dirección de entrega será asignada de forma automática a ésta dirección.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‘Otra dirección’: En caso de que la compañía que se está creando tiene múltiples direcciones de entrega.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pestaña</w:t>
      </w:r>
      <w:r w:rsidDel="00000000" w:rsidR="00000000" w:rsidRPr="00000000">
        <w:rPr>
          <w:color w:val="000000"/>
          <w:rtl w:val="0"/>
        </w:rPr>
        <w:t xml:space="preserve"> “Notas internas” se puede agregar un texto abierto que servirá para registrar información importante acerca del cliente.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pestaña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“Ventas y Compras” se realizan configuraciones importantes para las compras y/o ventas asignadas a este cliente: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En Venta marcar ‘Es Cliente’ si el cliente también compra a Toyosa y llenar los campos: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‘Comercial’: Asigna un ejecutivo de ventas a éste cliente.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‘Tarifa de venta’: Asigna una tarifa por defecto al cliente, puede ser: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‘Tarifa pública’: Tarifa de venta normal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288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‘Tarifa preferencial’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‘Tarifa de venta (con seguro)’: Asigna una tarifa con seguro por defecto, puede ser: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Tarifa pública con seguro’: Tarifa de venta con seguro normal</w:t>
      </w:r>
    </w:p>
    <w:p w:rsidR="00000000" w:rsidDel="00000000" w:rsidP="00000000" w:rsidRDefault="00000000" w:rsidRPr="00000000">
      <w:pPr>
        <w:numPr>
          <w:ilvl w:val="3"/>
          <w:numId w:val="2"/>
        </w:numPr>
        <w:spacing w:after="0" w:lineRule="auto"/>
        <w:ind w:left="288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‘Tarifa preferencial’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Misc. llenar los campos: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‘Referencia interna’: Algún dato particular del cliente que facilite su búsqueda con filtros.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lineRule="auto"/>
        <w:ind w:left="2160" w:hanging="360"/>
        <w:jc w:val="both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‘Compañía’: Sólo en caso de multicompañias.</w:t>
      </w:r>
    </w:p>
    <w:p w:rsidR="00000000" w:rsidDel="00000000" w:rsidP="00000000" w:rsidRDefault="00000000" w:rsidRPr="00000000">
      <w:pPr>
        <w:contextualSpacing w:val="0"/>
        <w:jc w:val="both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[Contabilidad]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99999999999994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color w:val="000000"/>
          <w:rtl w:val="0"/>
        </w:rPr>
        <w:t xml:space="preserve">Para cambiar o actualizar las cuentas bancarias y/o tarjetas del cliente debe ir a: </w:t>
      </w:r>
      <w:r w:rsidDel="00000000" w:rsidR="00000000" w:rsidRPr="00000000">
        <w:rPr>
          <w:b w:val="1"/>
          <w:rtl w:val="0"/>
        </w:rPr>
        <w:t xml:space="preserve">Ventas ► Ventas ► Proveedores</w:t>
      </w:r>
      <w:r w:rsidDel="00000000" w:rsidR="00000000" w:rsidRPr="00000000">
        <w:rPr>
          <w:rtl w:val="0"/>
        </w:rPr>
        <w:t xml:space="preserve"> buscar con el motor de búsqueda y filtrado al cliente de interés y seleccionarlo. (Revisar </w:t>
      </w:r>
      <w:r w:rsidDel="00000000" w:rsidR="00000000" w:rsidRPr="00000000">
        <w:rPr>
          <w:b w:val="1"/>
          <w:rtl w:val="0"/>
        </w:rPr>
        <w:t xml:space="preserve">Motor de búsqueda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pestaña de “Compras y Pagos”, en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Pagos se encuentran los siguientes enlaces: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0 Cuenta(s) bancaria(s)</w:t>
      </w:r>
      <w:r w:rsidDel="00000000" w:rsidR="00000000" w:rsidRPr="00000000">
        <w:rPr>
          <w:rtl w:val="0"/>
        </w:rPr>
        <w:t xml:space="preserve">: Al pulsar sobre éste enlace se abre un formulario en el que se tiene que llenar: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‘Número de cuenta’, ‘Banco’ y ‘Divisa’.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campos ‘Titular’ y ‘Compañía’ se llenarán automáticamente a partir de los campos del dato maestro de cliente,</w:t>
      </w:r>
      <w:r w:rsidDel="00000000" w:rsidR="00000000" w:rsidRPr="00000000">
        <w:rPr>
          <w:color w:val="000000"/>
          <w:rtl w:val="0"/>
        </w:rPr>
        <w:t xml:space="preserve"> pueden ser modificados.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0 Tarjeta(s) de crédito</w:t>
      </w:r>
      <w:r w:rsidDel="00000000" w:rsidR="00000000" w:rsidRPr="00000000">
        <w:rPr>
          <w:rtl w:val="0"/>
        </w:rPr>
        <w:t xml:space="preserve">: Al pulsar sobre éste enlace </w:t>
      </w:r>
      <w:r w:rsidDel="00000000" w:rsidR="00000000" w:rsidRPr="00000000">
        <w:rPr>
          <w:rtl w:val="0"/>
        </w:rPr>
        <w:t xml:space="preserve">se abrirá una ventana en la que debe pulsar</w:t>
      </w:r>
      <w:r w:rsidDel="00000000" w:rsidR="00000000" w:rsidRPr="00000000">
        <w:rPr>
          <w:rtl w:val="0"/>
        </w:rPr>
        <w:t xml:space="preserve"> el botón </w:t>
      </w:r>
      <w:r w:rsidDel="00000000" w:rsidR="00000000" w:rsidRPr="00000000">
        <w:rPr>
          <w:u w:val="single"/>
          <w:rtl w:val="0"/>
        </w:rPr>
        <w:t xml:space="preserve">Crear</w:t>
      </w:r>
      <w:r w:rsidDel="00000000" w:rsidR="00000000" w:rsidRPr="00000000">
        <w:rPr>
          <w:rtl w:val="0"/>
        </w:rPr>
        <w:t xml:space="preserve"> y se abrirá el formulario en el que se deben llenar los siguientes campos: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‘Nombre’ y ‘Empresa’: Se llenan de forma automática.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‘Activo’: Indica si la tarjeta sirve.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‘Acquirer Account’: Cuenta contable de la tarjeta.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‘Acquirer Ref’: Referencia del cliente.</w:t>
      </w:r>
    </w:p>
    <w:p w:rsidR="00000000" w:rsidDel="00000000" w:rsidP="00000000" w:rsidRDefault="00000000" w:rsidRPr="00000000">
      <w:pPr>
        <w:contextualSpacing w:val="0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[Contabilidad]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Para cambiar o actualizar los plazos de pago y cuentas contables del cliente debe ir a: </w:t>
      </w:r>
      <w:r w:rsidDel="00000000" w:rsidR="00000000" w:rsidRPr="00000000">
        <w:rPr>
          <w:b w:val="1"/>
          <w:rtl w:val="0"/>
        </w:rPr>
        <w:t xml:space="preserve">Venta ► Ventas</w:t>
        <w:tab/>
        <w:t xml:space="preserve"> ► Clientes</w:t>
      </w:r>
      <w:r w:rsidDel="00000000" w:rsidR="00000000" w:rsidRPr="00000000">
        <w:rPr>
          <w:rtl w:val="0"/>
        </w:rPr>
        <w:t xml:space="preserve"> buscar con el motor de búsqueda y filtrado al cliente de interés y seleccionarlo. (Revisar </w:t>
      </w:r>
      <w:r w:rsidDel="00000000" w:rsidR="00000000" w:rsidRPr="00000000">
        <w:rPr>
          <w:b w:val="1"/>
          <w:rtl w:val="0"/>
        </w:rPr>
        <w:t xml:space="preserve">Motor de búsqueda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 la p</w:t>
      </w:r>
      <w:r w:rsidDel="00000000" w:rsidR="00000000" w:rsidRPr="00000000">
        <w:rPr>
          <w:rtl w:val="0"/>
        </w:rPr>
        <w:t xml:space="preserve">estaña “Contabilidad” debe llenar o modificar los siguientes campos: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Rule="auto"/>
        <w:ind w:left="144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‘Plazo de pago de cliente’: Seleccionar la alternativa que corresponda si es que el cliente está marcado como cliente en la pestaña “Ventas y compras”. Las alternativas de los plazos de pago son: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Rule="auto"/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‘15 días’: 15 días desde la confirmación de la importación.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Rule="auto"/>
        <w:ind w:left="21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‘15 días 50% + saldo’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‘30 días’: 30 días desde la confirmación de la importación.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‘Posición fiscal’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‘Segmento’: Línea de negocio del cliente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‘Cuenta a cobrar’: Cuenta contable del sistema para registrar cobros al cliente. (si se encuentra marcado como cliente)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‘Cuenta por Cobrar (Adelantado)’: Cuenta contable del sistema para registrar cobros adelantados al cliente. (si se encuentra marcado como cliente)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‘Cuenta a pagar’: Cuenta contable del sistema para registrar pagos al cliente.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‘Cuenta por Pagar (Adelantado)’: Cuenta contable del sistema para registrar pagos adelantados al cliente.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296228" cy="296228"/>
            <wp:effectExtent b="0" l="0" r="0" t="0"/>
            <wp:docPr descr="Warning.png" id="2" name="image5.png"/>
            <a:graphic>
              <a:graphicData uri="http://schemas.openxmlformats.org/drawingml/2006/picture">
                <pic:pic>
                  <pic:nvPicPr>
                    <pic:cNvPr descr="Warning.png"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8" cy="2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ADVERTENCIA: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Todos los campos de color azul son de carácter OBLIGATORIO, los demás campos pueden ser dejados en blanco pero proveen información importante para otras operaciones.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-Si un cliente tiene las cuentas contables de la pestaña “Contabilidad” en blanco no se le podrán asignar solicitudes de presupuesto, órdenes de importación, cotizaciones ni órdenes de venta.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1" name="image4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4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CLIENTES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VENTAS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Mayo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6.png"/></Relationships>
</file>