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[No definido]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ver/crear un nuevo dato maestro de serie i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 a:  </w:t>
      </w:r>
      <w:r w:rsidDel="00000000" w:rsidR="00000000" w:rsidRPr="00000000">
        <w:rPr>
          <w:b w:val="1"/>
          <w:rtl w:val="0"/>
        </w:rPr>
        <w:t xml:space="preserve">Venta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b w:val="1"/>
          <w:rtl w:val="0"/>
        </w:rPr>
        <w:t xml:space="preserve">Ventas ► Lotes y Series Automotriz </w:t>
      </w:r>
      <w:r w:rsidDel="00000000" w:rsidR="00000000" w:rsidRPr="00000000">
        <w:rPr>
          <w:rtl w:val="0"/>
        </w:rPr>
        <w:t xml:space="preserve">y p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ulsar el botón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tl w:val="0"/>
        </w:rPr>
        <w:t xml:space="preserve"> o directamente pulsar sobre un Dato maestro de chasis. Los campos que se muestran 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'N° de serie': Es el número de serie/chasis real o es un número de serie/chasis temporal, dependiendo de su estado de importación.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'Producto': Es un campo no editable que hace referencia a un Dato maestro de producto (Master de producto)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‘N° Producción’: Es el número de serie temporal, siempre y cuando se haya asignado el número de chasis real.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‘Referencia Interna’: Campo libre para poner alguna referencia en caso de ser necesario.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apartado “Datos de vehículos” se muestran los siguientes campos: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'Modelo': Es el modelo asignado al dato maestro de chasis según el campo ‘Producto’ (se llena automáticamente).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'Marca': Es el modelo asignado al dato maestro de chasis según el campo ‘Producto’ (se llena automáticamente).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'Año Modelo'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'N° Motor'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'ED': Muestra el ED al que pertenece el chasis, se llena automáticamente con lo que se llenó en la orden de importación.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'N° Llave': Se tienen que llenar con el código de llave correspondiente.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'Cant. Llaves': Se llena de forma automática si el dato maestro del producto se encuentra completo (Revisar 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). Si la cantidad de llaves es diferente a la cantidad mostrada en este campo, simplemente actualice la información.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'Color Externo': Muestra el color externo del chasis, se llena automáticamente con lo que se llenó en la orden de importación.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'Color Interno': Muestra el color interno del chasis, se llena automáticamente de lo que se llenó en la orden de importación. En caso de tratarse de una motocicleta se encontrará en blanco.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'Motocicleta desarmada': Si se marca esta opción se indica que, para el caso de las motocicletas, se encuentra desarmada.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‘N° Caja’: Para vehículos se deja en blanco. Para motocicletas se tiene que llenar con el número de identificación de la caja en la que se encuentra la motocicleta.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'Ubicación actual': el campo no editable y se llena únicamente mediante ajuste de inventarios. (Revisar </w:t>
      </w:r>
      <w:r w:rsidDel="00000000" w:rsidR="00000000" w:rsidRPr="00000000">
        <w:rPr>
          <w:b w:val="1"/>
          <w:rtl w:val="0"/>
        </w:rPr>
        <w:t xml:space="preserve">Ajustes de inventario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apartado “Fechas” se muestran los siguientes campos: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'Consumir preferentemente antes de</w:t>
      </w:r>
      <w:r w:rsidDel="00000000" w:rsidR="00000000" w:rsidRPr="00000000">
        <w:rPr>
          <w:rtl w:val="0"/>
        </w:rPr>
        <w:t xml:space="preserve">': Indica la fecha en el bien con este número de chasis empieza  deteriorarse sin ser perjudicial. (no aplica)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'Fecha de caducidad': Indica la fecha en el bien con este número de chasis se convierte en peligroso y no deben ser vendidos.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'Fecha de eliminación': Indica la fecha en que el bien con este número de chasis debería ser eliminado.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'Fecha de alerta': indica la fecha de alerta para su eliminación.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Gestión, en el apartado “Datos de importación” se muestran los siguientes campos: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'Embarque': Si corresponde, el campo debe ser llenado con el nombre del navío en el que fueron embarcados los productos. Caso contrario se lo deja en blanco.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'Prioridad Nacionalización': Según se requiera, la mayor prioridad es 1.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'Prioridad Liberación': Según se requiera, la mayor prioridad es 1.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'Producción': Para el caso de la importación, se llena automáticamente con el mes/año en la que fue creada pero puede ser modificado.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'Caso': Indica las siguientes opciones: ‘Especiales’, ‘Multa’, ‘Usados’ y ‘Entra y sale’.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‘Factura DUI’: donde se indica la factura DUI correspondiente al chasis.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pestaña Gestión, en el apartado “Datos de reserva” se muestran los siguientes campos: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'Observaciones de reserva': es un campo editable, que al reservar mediante una orden de venta se muestra el número de la venta correspondiente.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'Tipo de reserva': Según la Orden de venta (Revisar </w:t>
      </w:r>
      <w:r w:rsidDel="00000000" w:rsidR="00000000" w:rsidRPr="00000000">
        <w:rPr>
          <w:b w:val="1"/>
          <w:rtl w:val="0"/>
        </w:rPr>
        <w:t xml:space="preserve">Orden de venta) </w:t>
      </w:r>
      <w:r w:rsidDel="00000000" w:rsidR="00000000" w:rsidRPr="00000000">
        <w:rPr>
          <w:rtl w:val="0"/>
        </w:rPr>
        <w:t xml:space="preserve">y extensión de Cartera.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'Fecha de reserva': Según el tipo de venta.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'Tiempo de reserva': Indica el tiempo de reserva.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'Responsable de reserva': indica la persona que realizó la reserva.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'Titular de reserva': indica el cliente titular de la realización de la reserva.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pestaña Gestión, en el apartado “Datos de venta” se muestran los siguientes campos: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'Precio Venta': Indica el precio de venta según tarifario.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'% Descuento': En caso de que en el proceso de venta se haya indicado un descuento.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'Placa': indica el número de placa asignado según el trámite de placas.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'SOAT': Indica el número de SOAT.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'Cliente': Indica el nombre del cliente con el cual se confirmó la venta.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'Vendedor': Indica el nombre del comercial que realizó la venta.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'Bloqueo por Venta CIF': el check indica si está bloqueado para venta CIF.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Bloqueo para la Venta': el check indica si está bloqueado para la venta.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pestaña Productos se muestra la siguiente información en una tabla: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‘Identificador’: Describe el número de chasis/lote: las unidades y la ubicación.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Indica la referencia interna entre corchetes y el nombre del producto.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‘Cantidad’: Indica la cantidad del producto.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‘Ubicación’: Indica la ubicación del chasis/lote.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2" name="image5.png"/>
            <a:graphic>
              <a:graphicData uri="http://schemas.openxmlformats.org/drawingml/2006/picture">
                <pic:pic>
                  <pic:nvPicPr>
                    <pic:cNvPr descr="Warning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-Todos los campos de color azul son de carácter OBLIGATORIO, los demás campos pueden ser dejados en blanco pero proveen información importante para otras operaciones.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1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DATO MAESTRO DE CHASIS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COMPRAS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Agosto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6.png"/></Relationships>
</file>