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udentTitle"/>
        <w:widowControl/>
      </w:pPr>
      <w:r>
        <w:t>Fuentes de datos para el proyecto</w:t>
      </w:r>
    </w:p>
    <w:p>
      <w:pPr>
        <w:pStyle w:val="Info"/>
        <w:widowControl/>
      </w:pPr>
      <w:r>
        <w:rPr>
          <w:b/>
        </w:rPr>
        <w:t>Notas de corte y salarios en Valencia</w:t>
      </w:r>
    </w:p>
    <w:p>
      <w:pPr>
        <w:pStyle w:val="Info"/>
        <w:widowControl/>
      </w:pPr>
      <w:r>
        <w:t>Gestión de Proyectos · SCRUM-29 · Jose Miguel García Ríos · 28 de octubre de 2026</w:t>
      </w:r>
    </w:p>
    <w:p>
      <w:pPr>
        <w:pStyle w:val="Heading1"/>
        <w:widowControl/>
      </w:pPr>
      <w:r>
        <w:t>1. Qué hemos revisado</w:t>
      </w:r>
    </w:p>
    <w:p>
      <w:pPr>
        <w:widowControl/>
      </w:pPr>
      <w:r>
        <w:t>Para esta tarea he reunido los datos de notas de corte que tenemos en GitHub y las investigaciones realizadas en SCRUM-26, SCRUM-27 y SCRUM-28. La idea es decidir qué fuentes podemos utilizar en el análisis y dejar claro qué mide cada una, antes de juntar archivos o calcular correlaciones.</w:t>
      </w:r>
    </w:p>
    <w:p>
      <w:pPr>
        <w:widowControl/>
      </w:pPr>
      <w:r>
        <w:t>El principal problema es que encontrar datos sobre salarios no significa que podamos asociarlos a una carrera. Por ejemplo, el sueldo medio de la Comunitat Valenciana no representa el salario de los titulados de Medicina, Informática o ADE. Por eso hemos separado las fuentes que sirven para describir el contexto de las que podrían ayudarnos a comparar titulaciones.</w:t>
      </w:r>
    </w:p>
    <w:p>
      <w:pPr>
        <w:pStyle w:val="Heading1"/>
        <w:widowControl/>
      </w:pPr>
      <w:r>
        <w:t>2. Fuentes revisadas</w:t>
      </w:r>
    </w:p>
    <w:p>
      <w:pPr>
        <w:pStyle w:val="Heading2"/>
        <w:widowControl/>
      </w:pPr>
      <w:r>
        <w:t>Notas de corte de la UPV y la UV</w:t>
      </w:r>
    </w:p>
    <w:p>
      <w:pPr>
        <w:widowControl/>
      </w:pPr>
      <w:r>
        <w:rPr>
          <w:b/>
        </w:rPr>
        <w:t>Datos y cobertura.</w:t>
      </w:r>
      <w:r>
        <w:t xml:space="preserve"> Partimos de los CSV que ya ha preparado el equipo. Hay 51 registros de la UPV y 58 de la UV; el archivo unificado contiene 109 filas correspondientes a grados, universidades y campus, con 91 denominaciones de grado distintas. Tenemos columnas de notas para 2022, 2023, 2024, 2025 y 2026.</w:t>
      </w:r>
    </w:p>
    <w:p>
      <w:pPr>
        <w:widowControl/>
      </w:pPr>
      <w:r>
        <w:rPr>
          <w:b/>
        </w:rPr>
        <w:t>Procedencia y formato.</w:t>
      </w:r>
      <w:r>
        <w:t xml:space="preserve"> Los archivos están en </w:t>
      </w:r>
      <w:hyperlink r:id="rId9">
        <w:r>
          <w:rPr>
            <w:color w:val="25567A"/>
            <w:u w:val="single"/>
            <w:rFonts w:ascii="Calibri" w:hAnsi="Calibri"/>
          </w:rPr>
          <w:t>data/raw del repositorio</w:t>
        </w:r>
      </w:hyperlink>
      <w:r>
        <w:t xml:space="preserve"> y el resultado procesado en </w:t>
      </w:r>
      <w:hyperlink r:id="rId10">
        <w:r>
          <w:rPr>
            <w:color w:val="25567A"/>
            <w:u w:val="single"/>
            <w:rFonts w:ascii="Calibri" w:hAnsi="Calibri"/>
          </w:rPr>
          <w:t>data/processed</w:t>
        </w:r>
      </w:hyperlink>
      <w:r>
        <w:t>. El formato es CSV y la unidad es la nota de corte en puntos. He revisado la copia del proyecto el 28/10/2026, pero todavía no consta la URL oficial ni la fecha de descarga original de cada nota. Conviene comprobarlo antes de citar cifras concretas en la presentación.</w:t>
      </w:r>
    </w:p>
    <w:p>
      <w:pPr>
        <w:widowControl/>
      </w:pPr>
      <w:r>
        <w:rPr>
          <w:b/>
        </w:rPr>
        <w:t>Uso.</w:t>
      </w:r>
      <w:r>
        <w:t xml:space="preserve"> Esta será nuestra base para estudiar las notas. Hay datos ausentes en algunos años (tres filas en 2022, tres en 2023 y dos en 2024); no deben convertirse en ceros. Además, una media conjunta de un grado ofrecido en varios campus no sustituye la nota de cada campus.</w:t>
      </w:r>
    </w:p>
    <w:p>
      <w:pPr>
        <w:pStyle w:val="Heading2"/>
        <w:widowControl/>
      </w:pPr>
      <w:r>
        <w:t>INE: Encuestas de estructura salarial (SCRUM-26)</w:t>
      </w:r>
    </w:p>
    <w:p>
      <w:pPr>
        <w:widowControl/>
      </w:pPr>
      <w:r>
        <w:t xml:space="preserve">El INE es la fuente más sólida para explicar cómo son los salarios en la Comunitat Valenciana. La serie que hemos trabajado va de </w:t>
      </w:r>
      <w:r>
        <w:rPr>
          <w:b/>
        </w:rPr>
        <w:t>2018 a 2024</w:t>
      </w:r>
      <w:r>
        <w:t>, con datos de la Encuesta Anual de Estructura Salarial y las ediciones más detalladas de 2018 y 2022. La consulta de esta fuente se hizo el 25/10/2026.</w:t>
      </w:r>
    </w:p>
    <w:p>
      <w:pPr>
        <w:widowControl/>
      </w:pPr>
      <w:r>
        <w:t xml:space="preserve">La información se puede consultar en </w:t>
      </w:r>
      <w:hyperlink r:id="rId11">
        <w:r>
          <w:rPr>
            <w:color w:val="25567A"/>
            <w:u w:val="single"/>
            <w:rFonts w:ascii="Calibri" w:hAnsi="Calibri"/>
          </w:rPr>
          <w:t>INEbase</w:t>
        </w:r>
      </w:hyperlink>
      <w:r>
        <w:t xml:space="preserve"> y descargar en CSV o Excel. Por ejemplo, la </w:t>
      </w:r>
      <w:hyperlink r:id="rId12">
        <w:r>
          <w:rPr>
            <w:color w:val="25567A"/>
            <w:u w:val="single"/>
            <w:rFonts w:ascii="Calibri" w:hAnsi="Calibri"/>
          </w:rPr>
          <w:t>tabla 28191</w:t>
        </w:r>
      </w:hyperlink>
      <w:r>
        <w:t xml:space="preserve"> permite revisar la ganancia media por comunidad autónoma. La unidad que nos interesa es </w:t>
      </w:r>
      <w:r>
        <w:rPr>
          <w:b/>
        </w:rPr>
        <w:t>euros brutos anuales por trabajador</w:t>
      </w:r>
      <w:r>
        <w:t>. La población son personas asalariadas incluidas en la encuesta; no representa a todos los trabajadores ni a todos los titulados universitarios.</w:t>
      </w:r>
    </w:p>
    <w:p>
      <w:pPr>
        <w:widowControl/>
      </w:pPr>
      <w:r>
        <w:rPr>
          <w:b/>
        </w:rPr>
        <w:t>Decisión:</w:t>
      </w:r>
      <w:r>
        <w:t xml:space="preserve"> usar el INE para dar contexto salarial y comparar la evolución general de los salarios. No sirve para asignar directamente un sueldo a cada grado porque no identifica la titulación estudiada, la universidad ni a los recién graduados. Las categorías de edad y antigüedad pueden orientar, pero no equivalen exactamente a un perfil junior.</w:t>
      </w:r>
    </w:p>
    <w:p>
      <w:pPr>
        <w:pStyle w:val="Heading2"/>
        <w:widowControl/>
      </w:pPr>
      <w:r>
        <w:t>Portales de empleo (SCRUM-27)</w:t>
      </w:r>
    </w:p>
    <w:p>
      <w:pPr>
        <w:widowControl/>
      </w:pPr>
      <w:r>
        <w:t xml:space="preserve">Iván revisó InfoJobs, LinkedIn e Indeed el </w:t>
      </w:r>
      <w:r>
        <w:rPr>
          <w:b/>
        </w:rPr>
        <w:t>25/10/2026</w:t>
      </w:r>
      <w:r>
        <w:t xml:space="preserve">, buscando puestos junior en Valencia y su provincia. En </w:t>
      </w:r>
      <w:hyperlink r:id="rId13">
        <w:r>
          <w:rPr>
            <w:color w:val="25567A"/>
            <w:u w:val="single"/>
            <w:rFonts w:ascii="Calibri" w:hAnsi="Calibri"/>
          </w:rPr>
          <w:t>Indeed, para «comercial junior» en Valencia provincia</w:t>
        </w:r>
      </w:hyperlink>
      <w:r>
        <w:t xml:space="preserve">, registró una estimación de unos </w:t>
      </w:r>
      <w:r>
        <w:rPr>
          <w:b/>
        </w:rPr>
        <w:t>20.860 € brutos al año</w:t>
      </w:r>
      <w:r>
        <w:t>. Es el resultado de aquella consulta, no un dato histórico fijo: las estimaciones del portal pueden cambiar con el tiempo.</w:t>
      </w:r>
    </w:p>
    <w:p>
      <w:pPr>
        <w:widowControl/>
      </w:pPr>
      <w:r>
        <w:t xml:space="preserve">También encontró una oferta de InfoJobs con un rango de </w:t>
      </w:r>
      <w:r>
        <w:rPr>
          <w:b/>
        </w:rPr>
        <w:t>18.000–20.000 € brutos al año</w:t>
      </w:r>
      <w:r>
        <w:t xml:space="preserve"> y vacantes de LinkedIn sin sueldo visible. No hemos mezclado esos resultados porque una oferta concreta y una estimación media de un portal no miden lo mismo. Cuando no aparece el salario, se anota como dato ausente.</w:t>
      </w:r>
    </w:p>
    <w:p>
      <w:pPr>
        <w:widowControl/>
      </w:pPr>
      <w:r>
        <w:rPr>
          <w:b/>
        </w:rPr>
        <w:t>Decisión:</w:t>
      </w:r>
      <w:r>
        <w:t xml:space="preserve"> Indeed puede servir para una muestra de salarios junior </w:t>
      </w:r>
      <w:r>
        <w:rPr>
          <w:b/>
        </w:rPr>
        <w:t>por ocupación</w:t>
      </w:r>
      <w:r>
        <w:t>, siempre que anotemos puesto, lugar, fecha, tipo de cifra y, si se conoce, tamaño de muestra. No permite obtener por sí solo una serie 2018–2024 ni asignar automáticamente un sueldo a cada grado.</w:t>
      </w:r>
    </w:p>
    <w:p>
      <w:pPr>
        <w:pStyle w:val="Heading2"/>
        <w:widowControl/>
      </w:pPr>
      <w:r>
        <w:t>Informes de colegios profesionales (SCRUM-28)</w:t>
      </w:r>
    </w:p>
    <w:p>
      <w:pPr>
        <w:widowControl/>
      </w:pPr>
      <w:r>
        <w:t xml:space="preserve">Lianghao revisó cinco informes, que dejó documentados en </w:t>
      </w:r>
      <w:hyperlink r:id="rId14">
        <w:r>
          <w:rPr>
            <w:color w:val="25567A"/>
            <w:u w:val="single"/>
            <w:rFonts w:ascii="Calibri" w:hAnsi="Calibri"/>
          </w:rPr>
          <w:t>SCRUM-28 de Jira</w:t>
        </w:r>
      </w:hyperlink>
      <w:r>
        <w:t>. El estudio del COIICV de 2023 recoge rangos para perfiles con poca experiencia en la Comunitat Valenciana, pero no queda suficientemente clara la unidad salarial para convertirlos en una cifra anual comparable. El Observatorio de la Ingeniería de 2022 aporta información nacional, no específica de los recién titulados de cada carrera en Valencia.</w:t>
      </w:r>
    </w:p>
    <w:p>
      <w:pPr>
        <w:widowControl/>
      </w:pPr>
      <w:r>
        <w:t>Otros informes son de 2012 y 2017, por lo que quedan fuera del periodo estudiado. El barómetro COGITI de 2023 tampoco aporta el salario junior por grado que necesitaríamos.</w:t>
      </w:r>
    </w:p>
    <w:p>
      <w:pPr>
        <w:widowControl/>
      </w:pPr>
      <w:r>
        <w:rPr>
          <w:b/>
        </w:rPr>
        <w:t>Decisión:</w:t>
      </w:r>
      <w:r>
        <w:t xml:space="preserve"> mantenerlos como referencias complementarias. No utilizaremos promedios generales ni puntos medios de rangos como si fueran salarios reales de una titulación.</w:t>
      </w:r>
    </w:p>
    <w:p>
      <w:pPr>
        <w:pStyle w:val="Heading2"/>
        <w:widowControl/>
      </w:pPr>
      <w:r>
        <w:t>QEDU y UNIVbase: alternativa por titulación</w:t>
      </w:r>
    </w:p>
    <w:p>
      <w:pPr>
        <w:widowControl/>
      </w:pPr>
      <w:r>
        <w:t xml:space="preserve">También conviene mirar </w:t>
      </w:r>
      <w:hyperlink r:id="rId15">
        <w:r>
          <w:rPr>
            <w:color w:val="25567A"/>
            <w:u w:val="single"/>
            <w:rFonts w:ascii="Calibri" w:hAnsi="Calibri"/>
          </w:rPr>
          <w:t>QEDU</w:t>
        </w:r>
      </w:hyperlink>
      <w:r>
        <w:t xml:space="preserve"> y las </w:t>
      </w:r>
      <w:hyperlink r:id="rId16">
        <w:r>
          <w:rPr>
            <w:color w:val="25567A"/>
            <w:u w:val="single"/>
            <w:rFonts w:ascii="Calibri" w:hAnsi="Calibri"/>
          </w:rPr>
          <w:t>tablas de UNIVbase</w:t>
        </w:r>
      </w:hyperlink>
      <w:r>
        <w:t>, del Ministerio. Estos recursos ofrecen indicadores de inserción laboral de personas que terminaron sus estudios, con desgloses que pueden acercarse más a una universidad o titulación.</w:t>
      </w:r>
    </w:p>
    <w:p>
      <w:pPr>
        <w:widowControl/>
      </w:pPr>
      <w:r>
        <w:t xml:space="preserve">El indicador de </w:t>
      </w:r>
      <w:r>
        <w:rPr>
          <w:b/>
        </w:rPr>
        <w:t>base media anual de cotización</w:t>
      </w:r>
      <w:r>
        <w:t xml:space="preserve"> no es exactamente un salario ni representa el primer sueldo al graduarse. Además, los datos corresponden a promociones anteriores. </w:t>
      </w:r>
      <w:r>
        <w:rPr>
          <w:b/>
        </w:rPr>
        <w:t>A fecha 28/10/2026 no hemos comprobado cuántos de nuestros 91 grados tienen un dato utilizable</w:t>
      </w:r>
      <w:r>
        <w:t>, así que esta opción queda pendiente de validar y no la damos por incorporada al análisis.</w:t>
      </w:r>
    </w:p>
    <w:p>
      <w:pPr>
        <w:pStyle w:val="Heading1"/>
        <w:widowControl/>
      </w:pPr>
      <w:r>
        <w:t>3. Qué vamos a utilizar</w:t>
      </w:r>
    </w:p>
    <w:p>
      <w:pPr>
        <w:widowControl/>
      </w:pPr>
      <w:r>
        <w:t xml:space="preserve">Para el primer análisis proponemos </w:t>
      </w:r>
      <w:r>
        <w:rPr>
          <w:b/>
        </w:rPr>
        <w:t>mantener las notas UPV/UV como conjunto principal</w:t>
      </w:r>
      <w:r>
        <w:t xml:space="preserve"> y utilizar el </w:t>
      </w:r>
      <w:r>
        <w:rPr>
          <w:b/>
        </w:rPr>
        <w:t>INE para describir los salarios generales de la Comunitat Valenciana</w:t>
      </w:r>
      <w:r>
        <w:t>. Es una combinación útil para contextualizar el trabajo, pero no para decir cuánto cobra alguien de cada carrera.</w:t>
      </w:r>
    </w:p>
    <w:p>
      <w:pPr>
        <w:widowControl/>
      </w:pPr>
      <w:r>
        <w:t xml:space="preserve">Si finalmente queremos hacer el gráfico de </w:t>
      </w:r>
      <w:r>
        <w:rPr>
          <w:b/>
        </w:rPr>
        <w:t>nota de corte frente a ingresos por grado</w:t>
      </w:r>
      <w:r>
        <w:t>, primero habrá que revisar la cobertura real de QEDU/UNIVbase. Como alternativa, se pueden estudiar salarios junior de ocupaciones concretas a partir de Indeed, pero con una correspondencia grado–profesión razonada y sin mezclar las cifras con las del INE. Los informes de colegios quedarán como apoyo y las fuentes descartadas seguirán registradas.</w:t>
      </w:r>
    </w:p>
    <w:p>
      <w:pPr>
        <w:widowControl/>
      </w:pPr>
      <w:r>
        <w:t>La elección final del archivo para el cruce se hará cuando el equipo haya verificado qué datos están realmente disponibles. No he creado ni cruzado ningún dataset salarial en esta tarea.</w:t>
      </w:r>
    </w:p>
    <w:p>
      <w:pPr>
        <w:pStyle w:val="Heading1"/>
        <w:widowControl/>
      </w:pPr>
      <w:r>
        <w:t>4. Cómo tratar los años</w:t>
      </w:r>
    </w:p>
    <w:p>
      <w:pPr>
        <w:widowControl/>
      </w:pPr>
      <w:r>
        <w:t xml:space="preserve">Las </w:t>
      </w:r>
      <w:r>
        <w:rPr>
          <w:b/>
        </w:rPr>
        <w:t>notas de corte abarcan 2022–2026</w:t>
      </w:r>
      <w:r>
        <w:t xml:space="preserve"> y la serie salarial consultada del </w:t>
      </w:r>
      <w:r>
        <w:rPr>
          <w:b/>
        </w:rPr>
        <w:t>INE, 2018–2024</w:t>
      </w:r>
      <w:r>
        <w:t>. Comparten las etiquetas 2022, 2023 y 2024, pero eso no significa que estemos siguiendo a los mismos estudiantes. El salario medio de 2022 corresponde a personas que trabajaban entonces, no a quienes entraron en una carrera ese año.</w:t>
      </w:r>
    </w:p>
    <w:p>
      <w:pPr>
        <w:widowControl/>
      </w:pPr>
      <w:r>
        <w:t xml:space="preserve">Por tanto, conservaríamos ambas series completas </w:t>
      </w:r>
      <w:r>
        <w:rPr>
          <w:b/>
        </w:rPr>
        <w:t>por separado</w:t>
      </w:r>
      <w:r>
        <w:t>. Si incluimos un gráfico de evolución, indicaremos que la comparación es descriptiva. Y si usamos datos de QEDU o de portales de empleo, pondremos su fecha de referencia y la población que representan, sin presentarlos como salarios futuros causados por una nota alta.</w:t>
      </w:r>
    </w:p>
    <w:p>
      <w:pPr>
        <w:pStyle w:val="Heading1"/>
        <w:widowControl/>
      </w:pPr>
      <w:r>
        <w:t>5. Variables que hay que guardar</w:t>
      </w:r>
    </w:p>
    <w:p>
      <w:pPr>
        <w:widowControl/>
      </w:pPr>
      <w:r>
        <w:t>En el CSV de notas ya aparecen estos campos:</w:t>
      </w:r>
    </w:p>
    <w:tbl>
      <w:tblPr>
        <w:tblW w:type="auto" w:w="0"/>
        <w:jc w:val="center"/>
        <w:tblLayout w:type="fixed"/>
        <w:tblLook w:firstColumn="1" w:firstRow="1" w:lastColumn="0" w:lastRow="0" w:noHBand="0" w:noVBand="1" w:val="04A0"/>
      </w:tblPr>
      <w:tblGrid>
        <w:gridCol w:w="4564"/>
        <w:gridCol w:w="4564"/>
      </w:tblGrid>
      <w:tr>
        <w:trPr>
          <w:cantSplit/>
        </w:trPr>
        <w:tc>
          <w:tcPr>
            <w:tcW w:type="dxa" w:w="3061"/>
            <w:vAlign w:val="center"/>
            <w:tcBorders>
              <w:bottom w:val="single" w:sz="4" w:color="D8D8D8"/>
              <w:top w:val="single" w:sz="5" w:color="B2B6BA"/>
            </w:tcBorders>
          </w:tcPr>
          <w:p>
            <w:pPr>
              <w:spacing w:after="40" w:before="40" w:line="254" w:lineRule="auto"/>
            </w:pPr>
            <w:r>
              <w:rPr>
                <w:rFonts w:ascii="Calibri" w:hAnsi="Calibri"/>
                <w:b/>
                <w:sz w:val="19"/>
              </w:rPr>
            </w:r>
            <w:r>
              <w:rPr>
                <w:rFonts w:ascii="Calibri" w:hAnsi="Calibri"/>
                <w:b/>
                <w:sz w:val="19"/>
              </w:rPr>
              <w:t>Campo</w:t>
            </w:r>
          </w:p>
        </w:tc>
        <w:tc>
          <w:tcPr>
            <w:tcW w:type="dxa" w:w="6066"/>
            <w:vAlign w:val="center"/>
            <w:tcBorders>
              <w:bottom w:val="single" w:sz="4" w:color="D8D8D8"/>
              <w:top w:val="single" w:sz="5" w:color="B2B6BA"/>
            </w:tcBorders>
          </w:tcPr>
          <w:p>
            <w:pPr>
              <w:spacing w:after="40" w:before="40" w:line="254" w:lineRule="auto"/>
            </w:pPr>
            <w:r>
              <w:rPr>
                <w:rFonts w:ascii="Calibri" w:hAnsi="Calibri"/>
                <w:b/>
                <w:sz w:val="19"/>
              </w:rPr>
            </w:r>
            <w:r>
              <w:rPr>
                <w:rFonts w:ascii="Calibri" w:hAnsi="Calibri"/>
                <w:b/>
                <w:sz w:val="19"/>
              </w:rPr>
              <w:t>Qué representa</w:t>
            </w:r>
          </w:p>
        </w:tc>
      </w:tr>
      <w:tr>
        <w:trPr>
          <w:cantSplit/>
        </w:trPr>
        <w:tc>
          <w:tcPr>
            <w:tcW w:type="dxa" w:w="3061"/>
            <w:vAlign w:val="center"/>
            <w:tcBorders>
              <w:bottom w:val="single" w:sz="4" w:color="D8D8D8"/>
            </w:tcBorders>
          </w:tcPr>
          <w:p>
            <w:pPr>
              <w:spacing w:after="40" w:before="40" w:line="254" w:lineRule="auto"/>
            </w:pPr>
            <w:r>
              <w:rPr>
                <w:rFonts w:ascii="Calibri" w:hAnsi="Calibri"/>
                <w:sz w:val="19"/>
              </w:rPr>
            </w:r>
            <w:r>
              <w:rPr>
                <w:rFonts w:ascii="Calibri" w:hAnsi="Calibri"/>
                <w:color w:val="3E4246"/>
                <w:sz w:val="19"/>
              </w:rPr>
              <w:t>Universidad</w:t>
            </w:r>
            <w:r>
              <w:rPr>
                <w:rFonts w:ascii="Calibri" w:hAnsi="Calibri"/>
                <w:sz w:val="19"/>
              </w:rPr>
              <w:t xml:space="preserve">, </w:t>
            </w:r>
            <w:r>
              <w:rPr>
                <w:rFonts w:ascii="Calibri" w:hAnsi="Calibri"/>
                <w:color w:val="3E4246"/>
                <w:sz w:val="19"/>
              </w:rPr>
              <w:t>Grado</w:t>
            </w:r>
            <w:r>
              <w:rPr>
                <w:rFonts w:ascii="Calibri" w:hAnsi="Calibri"/>
                <w:sz w:val="19"/>
              </w:rPr>
              <w:t xml:space="preserve">, </w:t>
            </w:r>
            <w:r>
              <w:rPr>
                <w:rFonts w:ascii="Calibri" w:hAnsi="Calibri"/>
                <w:color w:val="3E4246"/>
                <w:sz w:val="19"/>
              </w:rPr>
              <w:t>Campus</w:t>
            </w:r>
          </w:p>
        </w:tc>
        <w:tc>
          <w:tcPr>
            <w:tcW w:type="dxa" w:w="6066"/>
            <w:vAlign w:val="center"/>
            <w:tcBorders>
              <w:bottom w:val="single" w:sz="4" w:color="D8D8D8"/>
            </w:tcBorders>
          </w:tcPr>
          <w:p>
            <w:pPr>
              <w:spacing w:after="40" w:before="40" w:line="254" w:lineRule="auto"/>
            </w:pPr>
            <w:r>
              <w:rPr>
                <w:rFonts w:ascii="Calibri" w:hAnsi="Calibri"/>
                <w:sz w:val="19"/>
              </w:rPr>
            </w:r>
            <w:r>
              <w:rPr>
                <w:rFonts w:ascii="Calibri" w:hAnsi="Calibri"/>
                <w:sz w:val="19"/>
              </w:rPr>
              <w:t>Identifican la titulación y dónde se oferta. Conviene conservar los tres.</w:t>
            </w:r>
          </w:p>
        </w:tc>
      </w:tr>
      <w:tr>
        <w:trPr>
          <w:cantSplit/>
        </w:trPr>
        <w:tc>
          <w:tcPr>
            <w:tcW w:type="dxa" w:w="3061"/>
            <w:vAlign w:val="center"/>
            <w:tcBorders>
              <w:bottom w:val="single" w:sz="4" w:color="D8D8D8"/>
            </w:tcBorders>
          </w:tcPr>
          <w:p>
            <w:pPr>
              <w:spacing w:after="40" w:before="40" w:line="254" w:lineRule="auto"/>
            </w:pPr>
            <w:r>
              <w:rPr>
                <w:rFonts w:ascii="Calibri" w:hAnsi="Calibri"/>
                <w:sz w:val="19"/>
              </w:rPr>
            </w:r>
            <w:r>
              <w:rPr>
                <w:rFonts w:ascii="Calibri" w:hAnsi="Calibri"/>
                <w:color w:val="3E4246"/>
                <w:sz w:val="19"/>
              </w:rPr>
              <w:t>2022</w:t>
            </w:r>
            <w:r>
              <w:rPr>
                <w:rFonts w:ascii="Calibri" w:hAnsi="Calibri"/>
                <w:sz w:val="19"/>
              </w:rPr>
              <w:t xml:space="preserve"> a </w:t>
            </w:r>
            <w:r>
              <w:rPr>
                <w:rFonts w:ascii="Calibri" w:hAnsi="Calibri"/>
                <w:color w:val="3E4246"/>
                <w:sz w:val="19"/>
              </w:rPr>
              <w:t>2026</w:t>
            </w:r>
          </w:p>
        </w:tc>
        <w:tc>
          <w:tcPr>
            <w:tcW w:type="dxa" w:w="6066"/>
            <w:vAlign w:val="center"/>
            <w:tcBorders>
              <w:bottom w:val="single" w:sz="4" w:color="D8D8D8"/>
            </w:tcBorders>
          </w:tcPr>
          <w:p>
            <w:pPr>
              <w:spacing w:after="40" w:before="40" w:line="254" w:lineRule="auto"/>
            </w:pPr>
            <w:r>
              <w:rPr>
                <w:rFonts w:ascii="Calibri" w:hAnsi="Calibri"/>
                <w:sz w:val="19"/>
              </w:rPr>
            </w:r>
            <w:r>
              <w:rPr>
                <w:rFonts w:ascii="Calibri" w:hAnsi="Calibri"/>
                <w:sz w:val="19"/>
              </w:rPr>
              <w:t>Nota de corte anual; puede haber valores vacíos.</w:t>
            </w:r>
          </w:p>
        </w:tc>
      </w:tr>
      <w:tr>
        <w:trPr>
          <w:cantSplit/>
        </w:trPr>
        <w:tc>
          <w:tcPr>
            <w:tcW w:type="dxa" w:w="3061"/>
            <w:vAlign w:val="center"/>
            <w:tcBorders>
              <w:bottom w:val="single" w:sz="4" w:color="D8D8D8"/>
            </w:tcBorders>
          </w:tcPr>
          <w:p>
            <w:pPr>
              <w:spacing w:after="40" w:before="40" w:line="254" w:lineRule="auto"/>
            </w:pPr>
            <w:r>
              <w:rPr>
                <w:rFonts w:ascii="Calibri" w:hAnsi="Calibri"/>
                <w:sz w:val="19"/>
              </w:rPr>
            </w:r>
            <w:r>
              <w:rPr>
                <w:rFonts w:ascii="Calibri" w:hAnsi="Calibri"/>
                <w:color w:val="3E4246"/>
                <w:sz w:val="19"/>
              </w:rPr>
              <w:t>Media_2022_2026</w:t>
            </w:r>
          </w:p>
        </w:tc>
        <w:tc>
          <w:tcPr>
            <w:tcW w:type="dxa" w:w="6066"/>
            <w:vAlign w:val="center"/>
            <w:tcBorders>
              <w:bottom w:val="single" w:sz="4" w:color="D8D8D8"/>
            </w:tcBorders>
          </w:tcPr>
          <w:p>
            <w:pPr>
              <w:spacing w:after="40" w:before="40" w:line="254" w:lineRule="auto"/>
            </w:pPr>
            <w:r>
              <w:rPr>
                <w:rFonts w:ascii="Calibri" w:hAnsi="Calibri"/>
                <w:sz w:val="19"/>
              </w:rPr>
            </w:r>
            <w:r>
              <w:rPr>
                <w:rFonts w:ascii="Calibri" w:hAnsi="Calibri"/>
                <w:sz w:val="19"/>
              </w:rPr>
              <w:t>Media calculada a partir de las notas disponibles.</w:t>
            </w:r>
          </w:p>
        </w:tc>
      </w:tr>
      <w:tr>
        <w:trPr>
          <w:cantSplit/>
        </w:trPr>
        <w:tc>
          <w:tcPr>
            <w:tcW w:type="dxa" w:w="3061"/>
            <w:vAlign w:val="center"/>
            <w:tcBorders>
              <w:bottom w:val="single" w:sz="4" w:color="D8D8D8"/>
            </w:tcBorders>
          </w:tcPr>
          <w:p>
            <w:pPr>
              <w:spacing w:after="40" w:before="40" w:line="254" w:lineRule="auto"/>
            </w:pPr>
            <w:r>
              <w:rPr>
                <w:rFonts w:ascii="Calibri" w:hAnsi="Calibri"/>
                <w:sz w:val="19"/>
              </w:rPr>
            </w:r>
            <w:r>
              <w:rPr>
                <w:rFonts w:ascii="Calibri" w:hAnsi="Calibri"/>
                <w:color w:val="3E4246"/>
                <w:sz w:val="19"/>
              </w:rPr>
              <w:t>Coincidencia</w:t>
            </w:r>
          </w:p>
        </w:tc>
        <w:tc>
          <w:tcPr>
            <w:tcW w:type="dxa" w:w="6066"/>
            <w:vAlign w:val="center"/>
            <w:tcBorders>
              <w:bottom w:val="single" w:sz="4" w:color="D8D8D8"/>
            </w:tcBorders>
          </w:tcPr>
          <w:p>
            <w:pPr>
              <w:spacing w:after="40" w:before="40" w:line="254" w:lineRule="auto"/>
            </w:pPr>
            <w:r>
              <w:rPr>
                <w:rFonts w:ascii="Calibri" w:hAnsi="Calibri"/>
                <w:sz w:val="19"/>
              </w:rPr>
            </w:r>
            <w:r>
              <w:rPr>
                <w:rFonts w:ascii="Calibri" w:hAnsi="Calibri"/>
                <w:sz w:val="19"/>
              </w:rPr>
              <w:t>Señala grados que coinciden entre universidades.</w:t>
            </w:r>
          </w:p>
        </w:tc>
      </w:tr>
      <w:tr>
        <w:trPr>
          <w:cantSplit/>
        </w:trPr>
        <w:tc>
          <w:tcPr>
            <w:tcW w:type="dxa" w:w="3061"/>
            <w:vAlign w:val="center"/>
            <w:tcBorders>
              <w:bottom w:val="single" w:sz="4" w:color="D8D8D8"/>
            </w:tcBorders>
          </w:tcPr>
          <w:p>
            <w:pPr>
              <w:spacing w:after="40" w:before="40" w:line="254" w:lineRule="auto"/>
            </w:pPr>
            <w:r>
              <w:rPr>
                <w:rFonts w:ascii="Calibri" w:hAnsi="Calibri"/>
                <w:sz w:val="19"/>
              </w:rPr>
            </w:r>
            <w:r>
              <w:rPr>
                <w:rFonts w:ascii="Calibri" w:hAnsi="Calibri"/>
                <w:color w:val="3E4246"/>
                <w:sz w:val="19"/>
              </w:rPr>
              <w:t>Media_Conjunta_2022_2026</w:t>
            </w:r>
            <w:r>
              <w:rPr>
                <w:rFonts w:ascii="Calibri" w:hAnsi="Calibri"/>
                <w:sz w:val="19"/>
              </w:rPr>
              <w:t xml:space="preserve">, </w:t>
            </w:r>
            <w:r>
              <w:rPr>
                <w:rFonts w:ascii="Calibri" w:hAnsi="Calibri"/>
                <w:color w:val="3E4246"/>
                <w:sz w:val="19"/>
              </w:rPr>
              <w:t>Media_2022_2026_Final</w:t>
            </w:r>
          </w:p>
        </w:tc>
        <w:tc>
          <w:tcPr>
            <w:tcW w:type="dxa" w:w="6066"/>
            <w:vAlign w:val="center"/>
            <w:tcBorders>
              <w:bottom w:val="single" w:sz="4" w:color="D8D8D8"/>
            </w:tcBorders>
          </w:tcPr>
          <w:p>
            <w:pPr>
              <w:spacing w:after="40" w:before="40" w:line="254" w:lineRule="auto"/>
            </w:pPr>
            <w:r>
              <w:rPr>
                <w:rFonts w:ascii="Calibri" w:hAnsi="Calibri"/>
                <w:sz w:val="19"/>
              </w:rPr>
            </w:r>
            <w:r>
              <w:rPr>
                <w:rFonts w:ascii="Calibri" w:hAnsi="Calibri"/>
                <w:sz w:val="19"/>
              </w:rPr>
              <w:t>Valores derivados para el análisis; no son notas originales de una convocatoria.</w:t>
            </w:r>
          </w:p>
        </w:tc>
      </w:tr>
    </w:tbl>
    <w:p>
      <w:pPr>
        <w:spacing w:after="0"/>
      </w:pPr>
    </w:p>
    <w:p>
      <w:pPr>
        <w:widowControl/>
      </w:pPr>
      <w:r>
        <w:t xml:space="preserve">Para el futuro archivo salarial propongo guardar, como mínimo: </w:t>
      </w:r>
      <w:r>
        <w:rPr>
          <w:b/>
        </w:rPr>
        <w:t>fuente y URL</w:t>
      </w:r>
      <w:r>
        <w:t xml:space="preserve">, </w:t>
      </w:r>
      <w:r>
        <w:rPr>
          <w:b/>
        </w:rPr>
        <w:t>fecha de consulta</w:t>
      </w:r>
      <w:r>
        <w:t xml:space="preserve">, </w:t>
      </w:r>
      <w:r>
        <w:rPr>
          <w:b/>
        </w:rPr>
        <w:t>periodo al que corresponde el dato</w:t>
      </w:r>
      <w:r>
        <w:t xml:space="preserve">, </w:t>
      </w:r>
      <w:r>
        <w:rPr>
          <w:b/>
        </w:rPr>
        <w:t>ámbito geográfico</w:t>
      </w:r>
      <w:r>
        <w:t xml:space="preserve"> (Comunitat, provincia o ciudad), </w:t>
      </w:r>
      <w:r>
        <w:rPr>
          <w:b/>
        </w:rPr>
        <w:t>ocupación o titulación</w:t>
      </w:r>
      <w:r>
        <w:t xml:space="preserve">, </w:t>
      </w:r>
      <w:r>
        <w:rPr>
          <w:b/>
        </w:rPr>
        <w:t>experiencia</w:t>
      </w:r>
      <w:r>
        <w:t xml:space="preserve">, </w:t>
      </w:r>
      <w:r>
        <w:rPr>
          <w:b/>
        </w:rPr>
        <w:t>importe y unidad</w:t>
      </w:r>
      <w:r>
        <w:t xml:space="preserve"> (bruto/neto y mensual/anual), </w:t>
      </w:r>
      <w:r>
        <w:rPr>
          <w:b/>
        </w:rPr>
        <w:t>tipo de medida</w:t>
      </w:r>
      <w:r>
        <w:t xml:space="preserve"> (oferta, estimación, media INE o base de cotización) y </w:t>
      </w:r>
      <w:r>
        <w:rPr>
          <w:b/>
        </w:rPr>
        <w:t>observaciones</w:t>
      </w:r>
      <w:r>
        <w:t>. Si hay un rango, se conservan el mínimo y el máximo. Si falta un sueldo, se deja vacío.</w:t>
      </w:r>
    </w:p>
    <w:p>
      <w:pPr>
        <w:widowControl/>
      </w:pPr>
      <w:r>
        <w:t xml:space="preserve">Estos campos son una propuesta para SCRUM-32; </w:t>
      </w:r>
      <w:r>
        <w:rPr>
          <w:b/>
        </w:rPr>
        <w:t>todavía no son columnas de un CSV salarial terminado</w:t>
      </w:r>
      <w:r>
        <w:t>. Así podremos saber de dónde sale cada cifra y evitar combinar datos que no son comparables.</w:t>
      </w:r>
    </w:p>
    <w:p>
      <w:pPr>
        <w:pStyle w:val="Heading1"/>
        <w:widowControl/>
      </w:pPr>
      <w:r>
        <w:t>6. Conclusión y tareas siguientes</w:t>
      </w:r>
    </w:p>
    <w:p>
      <w:pPr>
        <w:widowControl/>
      </w:pPr>
      <w:r>
        <w:t xml:space="preserve">Con las revisiones realizadas ya podemos justificar la elección de fuentes del proyecto. La principal conclusión es sencilla: </w:t>
      </w:r>
      <w:r>
        <w:rPr>
          <w:b/>
        </w:rPr>
        <w:t>tenemos notas de corte por grado y salarios de distintas fuentes, pero todavía no un salario comparable para todos los grados</w:t>
      </w:r>
      <w:r>
        <w:t>.</w:t>
      </w:r>
    </w:p>
    <w:p>
      <w:pPr>
        <w:widowControl/>
      </w:pPr>
      <w:r>
        <w:t>La documentación de SCRUM-29 queda preparada. En las tareas siguientes habrá que descargar y guardar los datos salariales elegidos (SCRUM-30 o SCRUM-31), organizar sus unidades y procedencia (SCRUM-32), y validar las correspondencias antes de cruzarlos con las notas (SCRUM-35). También queda pendiente comprobar la fuente oficial original de las notas y la cobertura de QEDU.</w:t>
      </w:r>
    </w:p>
    <w:p>
      <w:pPr>
        <w:widowControl/>
      </w:pPr>
      <w:r>
        <w:t>No deberíamos presentar una correlación por titulación hasta saber cuántos grados tienen realmente un indicador salarial y de qué año procede.</w:t>
      </w:r>
    </w:p>
    <w:p>
      <w:pPr>
        <w:pStyle w:val="Heading1"/>
        <w:widowControl/>
      </w:pPr>
      <w:r>
        <w:t>Referencias</w:t>
      </w:r>
    </w:p>
    <w:p>
      <w:pPr>
        <w:pStyle w:val="ListBullet"/>
        <w:widowControl/>
      </w:pPr>
      <w:hyperlink r:id="rId9">
        <w:r>
          <w:rPr>
            <w:color w:val="25567A"/>
            <w:u w:val="single"/>
            <w:rFonts w:ascii="Calibri" w:hAnsi="Calibri"/>
          </w:rPr>
          <w:t>Repositorio GPR: datos originales</w:t>
        </w:r>
      </w:hyperlink>
      <w:r>
        <w:t xml:space="preserve"> y </w:t>
      </w:r>
      <w:hyperlink r:id="rId10">
        <w:r>
          <w:rPr>
            <w:color w:val="25567A"/>
            <w:u w:val="single"/>
            <w:rFonts w:ascii="Calibri" w:hAnsi="Calibri"/>
          </w:rPr>
          <w:t>datos procesados</w:t>
        </w:r>
      </w:hyperlink>
      <w:r>
        <w:t>. Consulta: 28/10/2026.</w:t>
      </w:r>
    </w:p>
    <w:p>
      <w:pPr>
        <w:pStyle w:val="ListBullet"/>
        <w:widowControl/>
      </w:pPr>
      <w:hyperlink r:id="rId11">
        <w:r>
          <w:rPr>
            <w:color w:val="25567A"/>
            <w:u w:val="single"/>
            <w:rFonts w:ascii="Calibri" w:hAnsi="Calibri"/>
          </w:rPr>
          <w:t>INE, Encuestas de estructura salarial</w:t>
        </w:r>
      </w:hyperlink>
      <w:r>
        <w:t>. Revisión de SCRUM-26: 25/10/2026.</w:t>
      </w:r>
    </w:p>
    <w:p>
      <w:pPr>
        <w:pStyle w:val="ListBullet"/>
        <w:widowControl/>
      </w:pPr>
      <w:hyperlink r:id="rId17">
        <w:r>
          <w:rPr>
            <w:color w:val="25567A"/>
            <w:u w:val="single"/>
            <w:rFonts w:ascii="Calibri" w:hAnsi="Calibri"/>
          </w:rPr>
          <w:t>SCRUM-27, revisión de portales de empleo</w:t>
        </w:r>
      </w:hyperlink>
      <w:r>
        <w:t xml:space="preserve"> e </w:t>
      </w:r>
      <w:hyperlink r:id="rId13">
        <w:r>
          <w:rPr>
            <w:color w:val="25567A"/>
            <w:u w:val="single"/>
            <w:rFonts w:ascii="Calibri" w:hAnsi="Calibri"/>
          </w:rPr>
          <w:t>Indeed, comercial junior en Valencia</w:t>
        </w:r>
      </w:hyperlink>
      <w:r>
        <w:t>. Consulta: 25/10/2026.</w:t>
      </w:r>
    </w:p>
    <w:p>
      <w:pPr>
        <w:pStyle w:val="ListBullet"/>
        <w:widowControl/>
      </w:pPr>
      <w:hyperlink r:id="rId14">
        <w:r>
          <w:rPr>
            <w:color w:val="25567A"/>
            <w:u w:val="single"/>
            <w:rFonts w:ascii="Calibri" w:hAnsi="Calibri"/>
          </w:rPr>
          <w:t>SCRUM-28, dossier de informes profesionales</w:t>
        </w:r>
      </w:hyperlink>
      <w:r>
        <w:t>. Consulta: 25/10/2026.</w:t>
      </w:r>
    </w:p>
    <w:p>
      <w:pPr>
        <w:pStyle w:val="ListBullet"/>
        <w:widowControl/>
      </w:pPr>
      <w:hyperlink r:id="rId15">
        <w:r>
          <w:rPr>
            <w:color w:val="25567A"/>
            <w:u w:val="single"/>
            <w:rFonts w:ascii="Calibri" w:hAnsi="Calibri"/>
          </w:rPr>
          <w:t>QEDU</w:t>
        </w:r>
      </w:hyperlink>
      <w:r>
        <w:t xml:space="preserve">, </w:t>
      </w:r>
      <w:hyperlink r:id="rId18">
        <w:r>
          <w:rPr>
            <w:color w:val="25567A"/>
            <w:u w:val="single"/>
            <w:rFonts w:ascii="Calibri" w:hAnsi="Calibri"/>
          </w:rPr>
          <w:t>ayuda de QEDU</w:t>
        </w:r>
      </w:hyperlink>
      <w:r>
        <w:t xml:space="preserve"> y </w:t>
      </w:r>
      <w:hyperlink r:id="rId16">
        <w:r>
          <w:rPr>
            <w:color w:val="25567A"/>
            <w:u w:val="single"/>
            <w:rFonts w:ascii="Calibri" w:hAnsi="Calibri"/>
          </w:rPr>
          <w:t>UNIVbase</w:t>
        </w:r>
      </w:hyperlink>
      <w:r>
        <w:t>. Revisión documental: 28/10/2026.</w:t>
      </w:r>
    </w:p>
    <w:sectPr w:rsidR="00FC693F" w:rsidRPr="0006063C" w:rsidSect="00034616">
      <w:footerReference w:type="default" r:id="rId19"/>
      <w:pgSz w:w="11906" w:h="16838"/>
      <w:pgMar w:top="1219" w:right="1389" w:bottom="1191" w:left="1389" w:header="567"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3777B"/>
        <w:sz w:val="16"/>
      </w:rPr>
      <w:t xml:space="preserve">GPR · SCRUM-29    |    Página </w:t>
    </w:r>
    <w:r>
      <w:rPr>
        <w:color w:val="73777B"/>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2123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69" w:lineRule="auto"/>
      <w:outlineLvl w:val="0"/>
    </w:pPr>
    <w:rPr>
      <w:rFonts w:asciiTheme="majorHAnsi" w:eastAsiaTheme="majorEastAsia" w:hAnsiTheme="majorHAnsi" w:cstheme="majorBidi" w:ascii="Calibri" w:hAnsi="Calibri"/>
      <w:b/>
      <w:bCs/>
      <w:color w:val="191B1D"/>
      <w:sz w:val="25"/>
      <w:szCs w:val="28"/>
    </w:rPr>
  </w:style>
  <w:style w:type="paragraph" w:styleId="Heading2">
    <w:name w:val="heading 2"/>
    <w:basedOn w:val="Normal"/>
    <w:next w:val="Normal"/>
    <w:link w:val="Heading2Char"/>
    <w:uiPriority w:val="9"/>
    <w:unhideWhenUsed/>
    <w:qFormat/>
    <w:rsid w:val="00FC693F"/>
    <w:pPr>
      <w:keepNext/>
      <w:keepLines/>
      <w:spacing w:before="220" w:after="60" w:line="269" w:lineRule="auto"/>
      <w:outlineLvl w:val="1"/>
    </w:pPr>
    <w:rPr>
      <w:rFonts w:asciiTheme="majorHAnsi" w:eastAsiaTheme="majorEastAsia" w:hAnsiTheme="majorHAnsi" w:cstheme="majorBidi" w:ascii="Calibri" w:hAnsi="Calibri"/>
      <w:b/>
      <w:bCs/>
      <w:color w:val="191B1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69" w:lineRule="auto" w:before="0"/>
      <w:contextualSpacing/>
    </w:pPr>
    <w:rPr>
      <w:rFonts w:asciiTheme="majorHAnsi" w:eastAsiaTheme="majorEastAsia" w:hAnsiTheme="majorHAnsi" w:cstheme="majorBidi" w:ascii="Calibri" w:hAnsi="Calibri"/>
      <w:b/>
      <w:color w:val="191B1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ind w:left="357" w:hanging="181"/>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udentTitle">
    <w:name w:val="Student Title"/>
    <w:basedOn w:val="Normal"/>
    <w:pPr>
      <w:keepNext/>
      <w:spacing w:before="0" w:after="140"/>
    </w:pPr>
    <w:rPr>
      <w:rFonts w:ascii="Calibri" w:hAnsi="Calibri"/>
      <w:b/>
      <w:color w:val="191B1D"/>
      <w:sz w:val="32"/>
    </w:rPr>
  </w:style>
  <w:style w:type="paragraph" w:customStyle="1" w:styleId="Info">
    <w:name w:val="Info"/>
    <w:basedOn w:val="Normal"/>
    <w:pPr>
      <w:spacing w:after="60" w:line="240" w:lineRule="auto"/>
    </w:pPr>
    <w:rPr>
      <w:rFonts w:ascii="Calibri" w:hAnsi="Calibri"/>
      <w:color w:val="5F62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ivanloki00/GPR/tree/main/data/raw" TargetMode="External"/><Relationship Id="rId10" Type="http://schemas.openxmlformats.org/officeDocument/2006/relationships/hyperlink" Target="https://github.com/ivanloki00/GPR/tree/main/data/processed" TargetMode="External"/><Relationship Id="rId11" Type="http://schemas.openxmlformats.org/officeDocument/2006/relationships/hyperlink" Target="https://www.ine.es/dyngs/INEbase/operacion.htm?c=Estadistica_C&amp;cid=1254736177025&amp;idp=1254735976596&amp;menu=resultados" TargetMode="External"/><Relationship Id="rId12" Type="http://schemas.openxmlformats.org/officeDocument/2006/relationships/hyperlink" Target="https://www.ine.es/jaxiT3/Tabla.htm?t=28191" TargetMode="External"/><Relationship Id="rId13" Type="http://schemas.openxmlformats.org/officeDocument/2006/relationships/hyperlink" Target="https://es.indeed.com/career/comercial-junior/salaries/Valencia-provincia" TargetMode="External"/><Relationship Id="rId14" Type="http://schemas.openxmlformats.org/officeDocument/2006/relationships/hyperlink" Target="https://4tocddgpr.atlassian.net/browse/SCRUM-28" TargetMode="External"/><Relationship Id="rId15" Type="http://schemas.openxmlformats.org/officeDocument/2006/relationships/hyperlink" Target="https://www.ciencia.gob.es/qedu" TargetMode="External"/><Relationship Id="rId16" Type="http://schemas.openxmlformats.org/officeDocument/2006/relationships/hyperlink" Target="https://estadisticas.ciencia.gob.es/dynPx/inebase/index.htm?L=0&amp;file=pcaxis&amp;path=%2FUniversitaria%2FAFIL%2FGRADO_BCM%2F&amp;type=pcaxis" TargetMode="External"/><Relationship Id="rId17" Type="http://schemas.openxmlformats.org/officeDocument/2006/relationships/hyperlink" Target="https://4tocddgpr.atlassian.net/browse/SCRUM-27" TargetMode="External"/><Relationship Id="rId18" Type="http://schemas.openxmlformats.org/officeDocument/2006/relationships/hyperlink" Target="https://www.ciencia.gob.es/qedu/AyudaQEDU.html"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Fuentes de datos para el proyecto - SCRUM-29</dc:title>
  <dc:subject>Gestión de Proyectos — Notas de corte y salarios Valencia</dc:subject>
  <dc:creator>Jose Miguel Garcia Rios</dc:creator>
  <cp:keywords>GPR, SCRUM-29, fuentes, notas de corte, salarios</cp:keywords>
  <dc:description>generated by python-docx</dc:description>
  <cp:lastModifiedBy/>
  <cp:revision>1</cp:revision>
  <dcterms:created xsi:type="dcterms:W3CDTF">2013-12-23T23:15:00Z</dcterms:created>
  <dcterms:modified xsi:type="dcterms:W3CDTF">2013-12-23T23:15:00Z</dcterms:modified>
  <cp:category/>
</cp:coreProperties>
</file>