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yebrow"/>
      </w:pPr>
      <w:r>
        <w:rPr>
          <w:b/>
          <w:color w:val="007F80"/>
        </w:rPr>
        <w:t>FICHA DE PROCEDENCIA Y EVALUACIÓN  ·  SPRINT 1</w:t>
      </w:r>
    </w:p>
    <w:p>
      <w:pPr>
        <w:spacing w:after="40"/>
      </w:pPr>
      <w:r>
        <w:rPr>
          <w:rFonts w:ascii="Aptos Display" w:hAnsi="Aptos Display"/>
          <w:b/>
          <w:color w:val="18324A"/>
          <w:sz w:val="40"/>
        </w:rPr>
        <w:t>Encuestas de estructura salarial (INE)</w:t>
      </w:r>
    </w:p>
    <w:p>
      <w:pPr>
        <w:spacing w:after="200"/>
      </w:pPr>
      <w:r>
        <w:rPr>
          <w:color w:val="536678"/>
          <w:sz w:val="24"/>
        </w:rPr>
        <w:t>Comunitat Valenciana · Serie 2018–2024</w:t>
      </w:r>
    </w:p>
    <w:p>
      <w:pPr>
        <w:spacing w:after="200"/>
      </w:pPr>
      <w:r>
        <w:rPr>
          <w:b/>
        </w:rPr>
        <w:t xml:space="preserve">Tarea: </w:t>
      </w:r>
      <w:r>
        <w:t xml:space="preserve">SCRUM-26   ·   </w:t>
      </w:r>
      <w:r>
        <w:rPr>
          <w:b/>
        </w:rPr>
        <w:t xml:space="preserve">Responsable: </w:t>
      </w:r>
      <w:r>
        <w:t xml:space="preserve">Jose Miguel García Ríos   ·   </w:t>
      </w:r>
      <w:r>
        <w:rPr>
          <w:b/>
        </w:rPr>
        <w:t xml:space="preserve">Consulta: </w:t>
      </w:r>
      <w:r>
        <w:t>25/10/2026</w:t>
      </w:r>
    </w:p>
    <w:tbl>
      <w:tblPr>
        <w:tblW w:type="auto" w:w="0"/>
        <w:tblLayout w:type="fixed"/>
        <w:tblLook w:firstColumn="1" w:firstRow="1" w:lastColumn="0" w:lastRow="0" w:noHBand="0" w:noVBand="1" w:val="04A0"/>
      </w:tblPr>
      <w:tblGrid>
        <w:gridCol w:w="9694"/>
      </w:tblGrid>
      <w:tr>
        <w:tc>
          <w:tcPr>
            <w:tcW w:type="dxa" w:w="9866"/>
            <w:shd w:fill="ECF5F5"/>
          </w:tcPr>
          <w:p>
            <w:pPr>
              <w:spacing w:after="0"/>
            </w:pPr>
            <w:r>
              <w:rPr>
                <w:b/>
                <w:color w:val="18324A"/>
              </w:rPr>
              <w:t xml:space="preserve">DICTAMEN  </w:t>
            </w:r>
            <w:r>
              <w:rPr>
                <w:color w:val="263645"/>
              </w:rPr>
              <w:t>Fuente fiable y útil para describir salarios medios en la Comunitat Valenciana. No permite, por sí sola, estimar el sueldo futuro de los titulados de cada grado ni contrastar directamente una nota de corte concreta.</w:t>
            </w:r>
          </w:p>
        </w:tc>
      </w:tr>
    </w:tbl>
    <w:p>
      <w:pPr>
        <w:spacing w:after="0"/>
      </w:pPr>
    </w:p>
    <w:p>
      <w:pPr>
        <w:pStyle w:val="Heading2"/>
      </w:pPr>
      <w:r>
        <w:t>1. Cobertura de la fuente</w:t>
      </w:r>
    </w:p>
    <w:tbl>
      <w:tblPr>
        <w:tblW w:type="auto" w:w="0"/>
        <w:tblLayout w:type="fixed"/>
        <w:tblLook w:firstColumn="1" w:firstRow="1" w:lastColumn="0" w:lastRow="0" w:noHBand="0" w:noVBand="1" w:val="04A0"/>
      </w:tblPr>
      <w:tblGrid>
        <w:gridCol w:w="1701"/>
        <w:gridCol w:w="8107"/>
      </w:tblGrid>
      <w:tr>
        <w:tc>
          <w:tcPr>
            <w:tcW w:type="dxa" w:w="1701"/>
            <w:tcBorders>
              <w:bottom w:val="single" w:sz="5" w:color="DCE5EA"/>
            </w:tcBorders>
            <w:vAlign w:val="center"/>
            <w:shd w:fill="F4F7F9"/>
          </w:tcPr>
          <w:p>
            <w:pPr>
              <w:pStyle w:val="TableText"/>
            </w:pPr>
            <w:r>
              <w:rPr>
                <w:b/>
                <w:color w:val="18324A"/>
              </w:rPr>
              <w:t>Organismo / operación</w:t>
            </w:r>
          </w:p>
        </w:tc>
        <w:tc>
          <w:tcPr>
            <w:tcW w:type="dxa" w:w="8107"/>
            <w:tcBorders>
              <w:bottom w:val="single" w:sz="5" w:color="DCE5EA"/>
            </w:tcBorders>
            <w:vAlign w:val="center"/>
          </w:tcPr>
          <w:p>
            <w:pPr>
              <w:pStyle w:val="TableText"/>
            </w:pPr>
            <w:r>
              <w:t>INE · Encuesta Anual de Estructura Salarial (EAES) y Encuesta de Estructura Salarial (EES).</w:t>
            </w:r>
          </w:p>
        </w:tc>
      </w:tr>
      <w:tr>
        <w:tc>
          <w:tcPr>
            <w:tcW w:type="dxa" w:w="1701"/>
            <w:tcBorders>
              <w:bottom w:val="single" w:sz="5" w:color="DCE5EA"/>
            </w:tcBorders>
            <w:vAlign w:val="center"/>
            <w:shd w:fill="F4F7F9"/>
          </w:tcPr>
          <w:p>
            <w:pPr>
              <w:pStyle w:val="TableText"/>
            </w:pPr>
            <w:r>
              <w:rPr>
                <w:b/>
                <w:color w:val="18324A"/>
              </w:rPr>
              <w:t>Años disponibles</w:t>
            </w:r>
          </w:p>
        </w:tc>
        <w:tc>
          <w:tcPr>
            <w:tcW w:type="dxa" w:w="8107"/>
            <w:tcBorders>
              <w:bottom w:val="single" w:sz="5" w:color="DCE5EA"/>
            </w:tcBorders>
            <w:vAlign w:val="center"/>
          </w:tcPr>
          <w:p>
            <w:pPr>
              <w:pStyle w:val="TableText"/>
            </w:pPr>
            <w:r>
              <w:t>Serie anual continua 2018–2024; encuestas cuatrienales detalladas en 2018 y 2022. Último año publicado: 2024 (28/05/2026).</w:t>
            </w:r>
          </w:p>
        </w:tc>
      </w:tr>
      <w:tr>
        <w:tc>
          <w:tcPr>
            <w:tcW w:type="dxa" w:w="1701"/>
            <w:tcBorders>
              <w:bottom w:val="single" w:sz="5" w:color="DCE5EA"/>
            </w:tcBorders>
            <w:vAlign w:val="center"/>
            <w:shd w:fill="F4F7F9"/>
          </w:tcPr>
          <w:p>
            <w:pPr>
              <w:pStyle w:val="TableText"/>
            </w:pPr>
            <w:r>
              <w:rPr>
                <w:b/>
                <w:color w:val="18324A"/>
              </w:rPr>
              <w:t>Territorio</w:t>
            </w:r>
          </w:p>
        </w:tc>
        <w:tc>
          <w:tcPr>
            <w:tcW w:type="dxa" w:w="8107"/>
            <w:tcBorders>
              <w:bottom w:val="single" w:sz="5" w:color="DCE5EA"/>
            </w:tcBorders>
            <w:vAlign w:val="center"/>
          </w:tcPr>
          <w:p>
            <w:pPr>
              <w:pStyle w:val="TableText"/>
            </w:pPr>
            <w:r>
              <w:t>Comunitat Valenciana (comunidad autónoma), no la provincia ni la ciudad de València.</w:t>
            </w:r>
          </w:p>
        </w:tc>
      </w:tr>
      <w:tr>
        <w:tc>
          <w:tcPr>
            <w:tcW w:type="dxa" w:w="1701"/>
            <w:tcBorders>
              <w:bottom w:val="single" w:sz="5" w:color="DCE5EA"/>
            </w:tcBorders>
            <w:vAlign w:val="center"/>
            <w:shd w:fill="F4F7F9"/>
          </w:tcPr>
          <w:p>
            <w:pPr>
              <w:pStyle w:val="TableText"/>
            </w:pPr>
            <w:r>
              <w:rPr>
                <w:b/>
                <w:color w:val="18324A"/>
              </w:rPr>
              <w:t>Población</w:t>
            </w:r>
          </w:p>
        </w:tc>
        <w:tc>
          <w:tcPr>
            <w:tcW w:type="dxa" w:w="8107"/>
            <w:tcBorders>
              <w:bottom w:val="single" w:sz="5" w:color="DCE5EA"/>
            </w:tcBorders>
            <w:vAlign w:val="center"/>
          </w:tcPr>
          <w:p>
            <w:pPr>
              <w:pStyle w:val="TableText"/>
            </w:pPr>
            <w:r>
              <w:t>Personas asalariadas de las cuentas de cotización incluidas en la encuesta; actividades CNAE-09 B–S y transporte marítimo según metodología del INE. No cubre toda la población ocupada.</w:t>
            </w:r>
          </w:p>
        </w:tc>
      </w:tr>
      <w:tr>
        <w:tc>
          <w:tcPr>
            <w:tcW w:type="dxa" w:w="1701"/>
            <w:tcBorders>
              <w:bottom w:val="single" w:sz="5" w:color="DCE5EA"/>
            </w:tcBorders>
            <w:vAlign w:val="center"/>
            <w:shd w:fill="F4F7F9"/>
          </w:tcPr>
          <w:p>
            <w:pPr>
              <w:pStyle w:val="TableText"/>
            </w:pPr>
            <w:r>
              <w:rPr>
                <w:b/>
                <w:color w:val="18324A"/>
              </w:rPr>
              <w:t>Medida / unidad</w:t>
            </w:r>
          </w:p>
        </w:tc>
        <w:tc>
          <w:tcPr>
            <w:tcW w:type="dxa" w:w="8107"/>
            <w:tcBorders>
              <w:bottom w:val="single" w:sz="5" w:color="DCE5EA"/>
            </w:tcBorders>
            <w:vAlign w:val="center"/>
          </w:tcPr>
          <w:p>
            <w:pPr>
              <w:pStyle w:val="TableText"/>
            </w:pPr>
            <w:r>
              <w:t>Ganancia bruta media anual por trabajador, en euros corrientes (€/año). También existen distribuciones/percentiles y otras medidas.</w:t>
            </w:r>
          </w:p>
        </w:tc>
      </w:tr>
      <w:tr>
        <w:tc>
          <w:tcPr>
            <w:tcW w:type="dxa" w:w="1701"/>
            <w:tcBorders>
              <w:bottom w:val="single" w:sz="5" w:color="DCE5EA"/>
            </w:tcBorders>
            <w:vAlign w:val="center"/>
            <w:shd w:fill="F4F7F9"/>
          </w:tcPr>
          <w:p>
            <w:pPr>
              <w:pStyle w:val="TableText"/>
            </w:pPr>
            <w:r>
              <w:rPr>
                <w:b/>
                <w:color w:val="18324A"/>
              </w:rPr>
              <w:t>Desgloses</w:t>
            </w:r>
          </w:p>
        </w:tc>
        <w:tc>
          <w:tcPr>
            <w:tcW w:type="dxa" w:w="8107"/>
            <w:tcBorders>
              <w:bottom w:val="single" w:sz="5" w:color="DCE5EA"/>
            </w:tcBorders>
            <w:vAlign w:val="center"/>
          </w:tcPr>
          <w:p>
            <w:pPr>
              <w:pStyle w:val="TableText"/>
            </w:pPr>
            <w:r>
              <w:t>EAES: sexo, sector, grupos ocupacionales, edad y contrato. EES 2018/2022: además estudios y antigüedad, entre otros cruces.</w:t>
            </w:r>
          </w:p>
        </w:tc>
      </w:tr>
      <w:tr>
        <w:tc>
          <w:tcPr>
            <w:tcW w:type="dxa" w:w="1701"/>
            <w:tcBorders>
              <w:bottom w:val="single" w:sz="5" w:color="DCE5EA"/>
            </w:tcBorders>
            <w:vAlign w:val="center"/>
            <w:shd w:fill="F4F7F9"/>
          </w:tcPr>
          <w:p>
            <w:pPr>
              <w:pStyle w:val="TableText"/>
            </w:pPr>
            <w:r>
              <w:rPr>
                <w:b/>
                <w:color w:val="18324A"/>
              </w:rPr>
              <w:t>Formato</w:t>
            </w:r>
          </w:p>
        </w:tc>
        <w:tc>
          <w:tcPr>
            <w:tcW w:type="dxa" w:w="8107"/>
            <w:tcBorders>
              <w:bottom w:val="single" w:sz="5" w:color="DCE5EA"/>
            </w:tcBorders>
            <w:vAlign w:val="center"/>
          </w:tcPr>
          <w:p>
            <w:pPr>
              <w:pStyle w:val="TableText"/>
            </w:pPr>
            <w:r>
              <w:t>Tablas interactivas INEbase exportables a CSV/Excel; documentación metodológica en la web del INE.</w:t>
            </w:r>
          </w:p>
        </w:tc>
      </w:tr>
    </w:tbl>
    <w:p>
      <w:pPr>
        <w:spacing w:after="0"/>
      </w:pPr>
    </w:p>
    <w:p>
      <w:pPr>
        <w:pStyle w:val="Heading2"/>
      </w:pPr>
      <w:r>
        <w:t>2. Serie de referencia: salario bruto medio anual</w:t>
      </w:r>
    </w:p>
    <w:tbl>
      <w:tblPr>
        <w:tblW w:type="auto" w:w="0"/>
        <w:jc w:val="center"/>
        <w:tblLayout w:type="fixed"/>
        <w:tblLook w:firstColumn="1" w:firstRow="1" w:lastColumn="0" w:lastRow="0" w:noHBand="0" w:noVBand="1" w:val="04A0"/>
      </w:tblPr>
      <w:tblGrid>
        <w:gridCol w:w="1134"/>
        <w:gridCol w:w="2721"/>
        <w:gridCol w:w="2721"/>
        <w:gridCol w:w="3061"/>
      </w:tblGrid>
      <w:tr>
        <w:trPr>
          <w:tblHeader w:val="true"/>
        </w:trPr>
        <w:tc>
          <w:tcPr>
            <w:tcW w:type="dxa" w:w="2466"/>
            <w:shd w:fill="18324A"/>
            <w:vAlign w:val="center"/>
          </w:tcPr>
          <w:p>
            <w:pPr>
              <w:pStyle w:val="TableText"/>
            </w:pPr>
            <w:r>
              <w:rPr>
                <w:b/>
                <w:color w:val="FFFFFF"/>
                <w:sz w:val="18"/>
              </w:rPr>
              <w:t>Año</w:t>
            </w:r>
          </w:p>
        </w:tc>
        <w:tc>
          <w:tcPr>
            <w:tcW w:type="dxa" w:w="2466"/>
            <w:shd w:fill="18324A"/>
            <w:vAlign w:val="center"/>
          </w:tcPr>
          <w:p>
            <w:pPr>
              <w:pStyle w:val="TableText"/>
            </w:pPr>
            <w:r>
              <w:rPr>
                <w:b/>
                <w:color w:val="FFFFFF"/>
                <w:sz w:val="18"/>
              </w:rPr>
              <w:t>Ambos sexos (€)</w:t>
            </w:r>
          </w:p>
        </w:tc>
        <w:tc>
          <w:tcPr>
            <w:tcW w:type="dxa" w:w="2466"/>
            <w:shd w:fill="18324A"/>
            <w:vAlign w:val="center"/>
          </w:tcPr>
          <w:p>
            <w:pPr>
              <w:pStyle w:val="TableText"/>
            </w:pPr>
            <w:r>
              <w:rPr>
                <w:b/>
                <w:color w:val="FFFFFF"/>
                <w:sz w:val="18"/>
              </w:rPr>
              <w:t>Mujeres (€)</w:t>
            </w:r>
          </w:p>
        </w:tc>
        <w:tc>
          <w:tcPr>
            <w:tcW w:type="dxa" w:w="2466"/>
            <w:shd w:fill="18324A"/>
            <w:vAlign w:val="center"/>
          </w:tcPr>
          <w:p>
            <w:pPr>
              <w:pStyle w:val="TableText"/>
            </w:pPr>
            <w:r>
              <w:rPr>
                <w:b/>
                <w:color w:val="FFFFFF"/>
                <w:sz w:val="18"/>
              </w:rPr>
              <w:t>Hombres (€)</w:t>
            </w:r>
          </w:p>
        </w:tc>
      </w:tr>
      <w:tr>
        <w:tc>
          <w:tcPr>
            <w:tcW w:type="dxa" w:w="1134"/>
            <w:vAlign w:val="center"/>
            <w:tcBorders>
              <w:bottom w:val="single" w:sz="5" w:color="DCE5EA"/>
            </w:tcBorders>
          </w:tcPr>
          <w:p>
            <w:pPr>
              <w:pStyle w:val="TableText"/>
            </w:pPr>
            <w:r>
              <w:rPr>
                <w:color w:val="263645"/>
                <w:sz w:val="18"/>
              </w:rPr>
              <w:t>2018</w:t>
            </w:r>
          </w:p>
        </w:tc>
        <w:tc>
          <w:tcPr>
            <w:tcW w:type="dxa" w:w="2721"/>
            <w:vAlign w:val="center"/>
            <w:tcBorders>
              <w:bottom w:val="single" w:sz="5" w:color="DCE5EA"/>
            </w:tcBorders>
          </w:tcPr>
          <w:p>
            <w:pPr>
              <w:pStyle w:val="TableText"/>
              <w:jc w:val="right"/>
            </w:pPr>
            <w:r>
              <w:rPr>
                <w:color w:val="263645"/>
                <w:sz w:val="18"/>
              </w:rPr>
              <w:t>22.121,05</w:t>
            </w:r>
          </w:p>
        </w:tc>
        <w:tc>
          <w:tcPr>
            <w:tcW w:type="dxa" w:w="2721"/>
            <w:vAlign w:val="center"/>
            <w:tcBorders>
              <w:bottom w:val="single" w:sz="5" w:color="DCE5EA"/>
            </w:tcBorders>
          </w:tcPr>
          <w:p>
            <w:pPr>
              <w:pStyle w:val="TableText"/>
              <w:jc w:val="right"/>
            </w:pPr>
            <w:r>
              <w:rPr>
                <w:color w:val="263645"/>
                <w:sz w:val="18"/>
              </w:rPr>
              <w:t>19.235,72</w:t>
            </w:r>
          </w:p>
        </w:tc>
        <w:tc>
          <w:tcPr>
            <w:tcW w:type="dxa" w:w="3061"/>
            <w:vAlign w:val="center"/>
            <w:tcBorders>
              <w:bottom w:val="single" w:sz="5" w:color="DCE5EA"/>
            </w:tcBorders>
          </w:tcPr>
          <w:p>
            <w:pPr>
              <w:pStyle w:val="TableText"/>
              <w:jc w:val="right"/>
            </w:pPr>
            <w:r>
              <w:rPr>
                <w:color w:val="263645"/>
                <w:sz w:val="18"/>
              </w:rPr>
              <w:t>24.537,07</w:t>
            </w:r>
          </w:p>
        </w:tc>
      </w:tr>
      <w:tr>
        <w:tc>
          <w:tcPr>
            <w:tcW w:type="dxa" w:w="1134"/>
            <w:vAlign w:val="center"/>
            <w:shd w:fill="F6F9FB"/>
            <w:tcBorders>
              <w:bottom w:val="single" w:sz="5" w:color="DCE5EA"/>
            </w:tcBorders>
          </w:tcPr>
          <w:p>
            <w:pPr>
              <w:pStyle w:val="TableText"/>
            </w:pPr>
            <w:r>
              <w:rPr>
                <w:color w:val="263645"/>
                <w:sz w:val="18"/>
              </w:rPr>
              <w:t>2019</w:t>
            </w:r>
          </w:p>
        </w:tc>
        <w:tc>
          <w:tcPr>
            <w:tcW w:type="dxa" w:w="2721"/>
            <w:vAlign w:val="center"/>
            <w:shd w:fill="F6F9FB"/>
            <w:tcBorders>
              <w:bottom w:val="single" w:sz="5" w:color="DCE5EA"/>
            </w:tcBorders>
          </w:tcPr>
          <w:p>
            <w:pPr>
              <w:pStyle w:val="TableText"/>
              <w:jc w:val="right"/>
            </w:pPr>
            <w:r>
              <w:rPr>
                <w:color w:val="263645"/>
                <w:sz w:val="18"/>
              </w:rPr>
              <w:t>22.045,66</w:t>
            </w:r>
          </w:p>
        </w:tc>
        <w:tc>
          <w:tcPr>
            <w:tcW w:type="dxa" w:w="2721"/>
            <w:vAlign w:val="center"/>
            <w:shd w:fill="F6F9FB"/>
            <w:tcBorders>
              <w:bottom w:val="single" w:sz="5" w:color="DCE5EA"/>
            </w:tcBorders>
          </w:tcPr>
          <w:p>
            <w:pPr>
              <w:pStyle w:val="TableText"/>
              <w:jc w:val="right"/>
            </w:pPr>
            <w:r>
              <w:rPr>
                <w:color w:val="263645"/>
                <w:sz w:val="18"/>
              </w:rPr>
              <w:t>19.314,58</w:t>
            </w:r>
          </w:p>
        </w:tc>
        <w:tc>
          <w:tcPr>
            <w:tcW w:type="dxa" w:w="3061"/>
            <w:vAlign w:val="center"/>
            <w:shd w:fill="F6F9FB"/>
            <w:tcBorders>
              <w:bottom w:val="single" w:sz="5" w:color="DCE5EA"/>
            </w:tcBorders>
          </w:tcPr>
          <w:p>
            <w:pPr>
              <w:pStyle w:val="TableText"/>
              <w:jc w:val="right"/>
            </w:pPr>
            <w:r>
              <w:rPr>
                <w:color w:val="263645"/>
                <w:sz w:val="18"/>
              </w:rPr>
              <w:t>24.499,53</w:t>
            </w:r>
          </w:p>
        </w:tc>
      </w:tr>
      <w:tr>
        <w:tc>
          <w:tcPr>
            <w:tcW w:type="dxa" w:w="1134"/>
            <w:vAlign w:val="center"/>
            <w:tcBorders>
              <w:bottom w:val="single" w:sz="5" w:color="DCE5EA"/>
            </w:tcBorders>
          </w:tcPr>
          <w:p>
            <w:pPr>
              <w:pStyle w:val="TableText"/>
            </w:pPr>
            <w:r>
              <w:rPr>
                <w:color w:val="263645"/>
                <w:sz w:val="18"/>
              </w:rPr>
              <w:t>2020</w:t>
            </w:r>
          </w:p>
        </w:tc>
        <w:tc>
          <w:tcPr>
            <w:tcW w:type="dxa" w:w="2721"/>
            <w:vAlign w:val="center"/>
            <w:tcBorders>
              <w:bottom w:val="single" w:sz="5" w:color="DCE5EA"/>
            </w:tcBorders>
          </w:tcPr>
          <w:p>
            <w:pPr>
              <w:pStyle w:val="TableText"/>
              <w:jc w:val="right"/>
            </w:pPr>
            <w:r>
              <w:rPr>
                <w:color w:val="263645"/>
                <w:sz w:val="18"/>
              </w:rPr>
              <w:t>22.856,70</w:t>
            </w:r>
          </w:p>
        </w:tc>
        <w:tc>
          <w:tcPr>
            <w:tcW w:type="dxa" w:w="2721"/>
            <w:vAlign w:val="center"/>
            <w:tcBorders>
              <w:bottom w:val="single" w:sz="5" w:color="DCE5EA"/>
            </w:tcBorders>
          </w:tcPr>
          <w:p>
            <w:pPr>
              <w:pStyle w:val="TableText"/>
              <w:jc w:val="right"/>
            </w:pPr>
            <w:r>
              <w:rPr>
                <w:color w:val="263645"/>
                <w:sz w:val="18"/>
              </w:rPr>
              <w:t>20.165,73</w:t>
            </w:r>
          </w:p>
        </w:tc>
        <w:tc>
          <w:tcPr>
            <w:tcW w:type="dxa" w:w="3061"/>
            <w:vAlign w:val="center"/>
            <w:tcBorders>
              <w:bottom w:val="single" w:sz="5" w:color="DCE5EA"/>
            </w:tcBorders>
          </w:tcPr>
          <w:p>
            <w:pPr>
              <w:pStyle w:val="TableText"/>
              <w:jc w:val="right"/>
            </w:pPr>
            <w:r>
              <w:rPr>
                <w:color w:val="263645"/>
                <w:sz w:val="18"/>
              </w:rPr>
              <w:t>25.239,04</w:t>
            </w:r>
          </w:p>
        </w:tc>
      </w:tr>
      <w:tr>
        <w:tc>
          <w:tcPr>
            <w:tcW w:type="dxa" w:w="1134"/>
            <w:vAlign w:val="center"/>
            <w:shd w:fill="F6F9FB"/>
            <w:tcBorders>
              <w:bottom w:val="single" w:sz="5" w:color="DCE5EA"/>
            </w:tcBorders>
          </w:tcPr>
          <w:p>
            <w:pPr>
              <w:pStyle w:val="TableText"/>
            </w:pPr>
            <w:r>
              <w:rPr>
                <w:color w:val="263645"/>
                <w:sz w:val="18"/>
              </w:rPr>
              <w:t>2021</w:t>
            </w:r>
          </w:p>
        </w:tc>
        <w:tc>
          <w:tcPr>
            <w:tcW w:type="dxa" w:w="2721"/>
            <w:vAlign w:val="center"/>
            <w:shd w:fill="F6F9FB"/>
            <w:tcBorders>
              <w:bottom w:val="single" w:sz="5" w:color="DCE5EA"/>
            </w:tcBorders>
          </w:tcPr>
          <w:p>
            <w:pPr>
              <w:pStyle w:val="TableText"/>
              <w:jc w:val="right"/>
            </w:pPr>
            <w:r>
              <w:rPr>
                <w:color w:val="263645"/>
                <w:sz w:val="18"/>
              </w:rPr>
              <w:t>23.448,29</w:t>
            </w:r>
          </w:p>
        </w:tc>
        <w:tc>
          <w:tcPr>
            <w:tcW w:type="dxa" w:w="2721"/>
            <w:vAlign w:val="center"/>
            <w:shd w:fill="F6F9FB"/>
            <w:tcBorders>
              <w:bottom w:val="single" w:sz="5" w:color="DCE5EA"/>
            </w:tcBorders>
          </w:tcPr>
          <w:p>
            <w:pPr>
              <w:pStyle w:val="TableText"/>
              <w:jc w:val="right"/>
            </w:pPr>
            <w:r>
              <w:rPr>
                <w:color w:val="263645"/>
                <w:sz w:val="18"/>
              </w:rPr>
              <w:t>20.670,50</w:t>
            </w:r>
          </w:p>
        </w:tc>
        <w:tc>
          <w:tcPr>
            <w:tcW w:type="dxa" w:w="3061"/>
            <w:vAlign w:val="center"/>
            <w:shd w:fill="F6F9FB"/>
            <w:tcBorders>
              <w:bottom w:val="single" w:sz="5" w:color="DCE5EA"/>
            </w:tcBorders>
          </w:tcPr>
          <w:p>
            <w:pPr>
              <w:pStyle w:val="TableText"/>
              <w:jc w:val="right"/>
            </w:pPr>
            <w:r>
              <w:rPr>
                <w:color w:val="263645"/>
                <w:sz w:val="18"/>
              </w:rPr>
              <w:t>25.914,86</w:t>
            </w:r>
          </w:p>
        </w:tc>
      </w:tr>
      <w:tr>
        <w:tc>
          <w:tcPr>
            <w:tcW w:type="dxa" w:w="1134"/>
            <w:vAlign w:val="center"/>
            <w:tcBorders>
              <w:bottom w:val="single" w:sz="5" w:color="DCE5EA"/>
            </w:tcBorders>
          </w:tcPr>
          <w:p>
            <w:pPr>
              <w:pStyle w:val="TableText"/>
            </w:pPr>
            <w:r>
              <w:rPr>
                <w:color w:val="263645"/>
                <w:sz w:val="18"/>
              </w:rPr>
              <w:t>2022</w:t>
            </w:r>
          </w:p>
        </w:tc>
        <w:tc>
          <w:tcPr>
            <w:tcW w:type="dxa" w:w="2721"/>
            <w:vAlign w:val="center"/>
            <w:tcBorders>
              <w:bottom w:val="single" w:sz="5" w:color="DCE5EA"/>
            </w:tcBorders>
          </w:tcPr>
          <w:p>
            <w:pPr>
              <w:pStyle w:val="TableText"/>
              <w:jc w:val="right"/>
            </w:pPr>
            <w:r>
              <w:rPr>
                <w:color w:val="263645"/>
                <w:sz w:val="18"/>
              </w:rPr>
              <w:t>24.510,34</w:t>
            </w:r>
          </w:p>
        </w:tc>
        <w:tc>
          <w:tcPr>
            <w:tcW w:type="dxa" w:w="2721"/>
            <w:vAlign w:val="center"/>
            <w:tcBorders>
              <w:bottom w:val="single" w:sz="5" w:color="DCE5EA"/>
            </w:tcBorders>
          </w:tcPr>
          <w:p>
            <w:pPr>
              <w:pStyle w:val="TableText"/>
              <w:jc w:val="right"/>
            </w:pPr>
            <w:r>
              <w:rPr>
                <w:color w:val="263645"/>
                <w:sz w:val="18"/>
              </w:rPr>
              <w:t>22.135,35</w:t>
            </w:r>
          </w:p>
        </w:tc>
        <w:tc>
          <w:tcPr>
            <w:tcW w:type="dxa" w:w="3061"/>
            <w:vAlign w:val="center"/>
            <w:tcBorders>
              <w:bottom w:val="single" w:sz="5" w:color="DCE5EA"/>
            </w:tcBorders>
          </w:tcPr>
          <w:p>
            <w:pPr>
              <w:pStyle w:val="TableText"/>
              <w:jc w:val="right"/>
            </w:pPr>
            <w:r>
              <w:rPr>
                <w:color w:val="263645"/>
                <w:sz w:val="18"/>
              </w:rPr>
              <w:t>26.683,85</w:t>
            </w:r>
          </w:p>
        </w:tc>
      </w:tr>
      <w:tr>
        <w:tc>
          <w:tcPr>
            <w:tcW w:type="dxa" w:w="1134"/>
            <w:vAlign w:val="center"/>
            <w:shd w:fill="F6F9FB"/>
            <w:tcBorders>
              <w:bottom w:val="single" w:sz="5" w:color="DCE5EA"/>
            </w:tcBorders>
          </w:tcPr>
          <w:p>
            <w:pPr>
              <w:pStyle w:val="TableText"/>
            </w:pPr>
            <w:r>
              <w:rPr>
                <w:color w:val="263645"/>
                <w:sz w:val="18"/>
              </w:rPr>
              <w:t>2023</w:t>
            </w:r>
          </w:p>
        </w:tc>
        <w:tc>
          <w:tcPr>
            <w:tcW w:type="dxa" w:w="2721"/>
            <w:vAlign w:val="center"/>
            <w:shd w:fill="F6F9FB"/>
            <w:tcBorders>
              <w:bottom w:val="single" w:sz="5" w:color="DCE5EA"/>
            </w:tcBorders>
          </w:tcPr>
          <w:p>
            <w:pPr>
              <w:pStyle w:val="TableText"/>
              <w:jc w:val="right"/>
            </w:pPr>
            <w:r>
              <w:rPr>
                <w:color w:val="263645"/>
                <w:sz w:val="18"/>
              </w:rPr>
              <w:t>25.632,37</w:t>
            </w:r>
          </w:p>
        </w:tc>
        <w:tc>
          <w:tcPr>
            <w:tcW w:type="dxa" w:w="2721"/>
            <w:vAlign w:val="center"/>
            <w:shd w:fill="F6F9FB"/>
            <w:tcBorders>
              <w:bottom w:val="single" w:sz="5" w:color="DCE5EA"/>
            </w:tcBorders>
          </w:tcPr>
          <w:p>
            <w:pPr>
              <w:pStyle w:val="TableText"/>
              <w:jc w:val="right"/>
            </w:pPr>
            <w:r>
              <w:rPr>
                <w:color w:val="263645"/>
                <w:sz w:val="18"/>
              </w:rPr>
              <w:t>23.205,68</w:t>
            </w:r>
          </w:p>
        </w:tc>
        <w:tc>
          <w:tcPr>
            <w:tcW w:type="dxa" w:w="3061"/>
            <w:vAlign w:val="center"/>
            <w:shd w:fill="F6F9FB"/>
            <w:tcBorders>
              <w:bottom w:val="single" w:sz="5" w:color="DCE5EA"/>
            </w:tcBorders>
          </w:tcPr>
          <w:p>
            <w:pPr>
              <w:pStyle w:val="TableText"/>
              <w:jc w:val="right"/>
            </w:pPr>
            <w:r>
              <w:rPr>
                <w:color w:val="263645"/>
                <w:sz w:val="18"/>
              </w:rPr>
              <w:t>27.933,36</w:t>
            </w:r>
          </w:p>
        </w:tc>
      </w:tr>
      <w:tr>
        <w:tc>
          <w:tcPr>
            <w:tcW w:type="dxa" w:w="1134"/>
            <w:vAlign w:val="center"/>
            <w:tcBorders>
              <w:bottom w:val="single" w:sz="5" w:color="DCE5EA"/>
            </w:tcBorders>
          </w:tcPr>
          <w:p>
            <w:pPr>
              <w:pStyle w:val="TableText"/>
            </w:pPr>
            <w:r>
              <w:rPr>
                <w:color w:val="263645"/>
                <w:sz w:val="18"/>
              </w:rPr>
              <w:t>2024</w:t>
            </w:r>
          </w:p>
        </w:tc>
        <w:tc>
          <w:tcPr>
            <w:tcW w:type="dxa" w:w="2721"/>
            <w:vAlign w:val="center"/>
            <w:tcBorders>
              <w:bottom w:val="single" w:sz="5" w:color="DCE5EA"/>
            </w:tcBorders>
          </w:tcPr>
          <w:p>
            <w:pPr>
              <w:pStyle w:val="TableText"/>
              <w:jc w:val="right"/>
            </w:pPr>
            <w:r>
              <w:rPr>
                <w:color w:val="263645"/>
                <w:sz w:val="18"/>
              </w:rPr>
              <w:t>26.816,98</w:t>
            </w:r>
          </w:p>
        </w:tc>
        <w:tc>
          <w:tcPr>
            <w:tcW w:type="dxa" w:w="2721"/>
            <w:vAlign w:val="center"/>
            <w:tcBorders>
              <w:bottom w:val="single" w:sz="5" w:color="DCE5EA"/>
            </w:tcBorders>
          </w:tcPr>
          <w:p>
            <w:pPr>
              <w:pStyle w:val="TableText"/>
              <w:jc w:val="right"/>
            </w:pPr>
            <w:r>
              <w:rPr>
                <w:color w:val="263645"/>
                <w:sz w:val="18"/>
              </w:rPr>
              <w:t>24.208,40</w:t>
            </w:r>
          </w:p>
        </w:tc>
        <w:tc>
          <w:tcPr>
            <w:tcW w:type="dxa" w:w="3061"/>
            <w:vAlign w:val="center"/>
            <w:tcBorders>
              <w:bottom w:val="single" w:sz="5" w:color="DCE5EA"/>
            </w:tcBorders>
          </w:tcPr>
          <w:p>
            <w:pPr>
              <w:pStyle w:val="TableText"/>
              <w:jc w:val="right"/>
            </w:pPr>
            <w:r>
              <w:rPr>
                <w:color w:val="263645"/>
                <w:sz w:val="18"/>
              </w:rPr>
              <w:t>29.356,69</w:t>
            </w:r>
          </w:p>
        </w:tc>
      </w:tr>
    </w:tbl>
    <w:p>
      <w:pPr>
        <w:spacing w:after="0"/>
      </w:pPr>
    </w:p>
    <w:p>
      <w:pPr/>
      <w:r>
        <w:rPr>
          <w:b/>
        </w:rPr>
        <w:t xml:space="preserve">Lectura: </w:t>
      </w:r>
      <w:r>
        <w:t>de 2018 a 2024, la media pasó de 22.121,05 € a 26.816,98 € (+4.695,93 €; +21,2 % nominal). No se ha descontado inflación ni controlado la composición del empleo.</w:t>
      </w:r>
    </w:p>
    <w:p>
      <w:r>
        <w:br w:type="page"/>
      </w:r>
    </w:p>
    <w:p>
      <w:pPr>
        <w:pStyle w:val="Heading1"/>
      </w:pPr>
      <w:r>
        <w:t>3. Tablas oficiales exactas para consultar y descargar</w:t>
      </w:r>
    </w:p>
    <w:p>
      <w:pPr>
        <w:spacing w:after="120"/>
      </w:pPr>
      <w:r>
        <w:t>Los identificadores enlazan a tablas INEbase. En cada tabla debe seleccionarse “Comunitat Valenciana”, el grupo/sexo pertinente y el año; en la interfaz pueden exportarse los datos.</w:t>
      </w:r>
    </w:p>
    <w:tbl>
      <w:tblPr>
        <w:tblW w:type="auto" w:w="0"/>
        <w:tblLayout w:type="fixed"/>
        <w:tblLook w:firstColumn="1" w:firstRow="1" w:lastColumn="0" w:lastRow="0" w:noHBand="0" w:noVBand="1" w:val="04A0"/>
      </w:tblPr>
      <w:tblGrid>
        <w:gridCol w:w="1134"/>
        <w:gridCol w:w="5839"/>
        <w:gridCol w:w="2835"/>
      </w:tblGrid>
      <w:tr>
        <w:trPr>
          <w:tblHeader w:val="true"/>
        </w:trPr>
        <w:tc>
          <w:tcPr>
            <w:tcW w:type="dxa" w:w="3289"/>
            <w:shd w:fill="18324A"/>
          </w:tcPr>
          <w:p>
            <w:pPr>
              <w:pStyle w:val="TableText"/>
            </w:pPr>
            <w:r>
              <w:rPr>
                <w:b/>
                <w:color w:val="FFFFFF"/>
              </w:rPr>
              <w:t>Tabla INE</w:t>
            </w:r>
          </w:p>
        </w:tc>
        <w:tc>
          <w:tcPr>
            <w:tcW w:type="dxa" w:w="3289"/>
            <w:shd w:fill="18324A"/>
          </w:tcPr>
          <w:p>
            <w:pPr>
              <w:pStyle w:val="TableText"/>
            </w:pPr>
            <w:r>
              <w:rPr>
                <w:b/>
                <w:color w:val="FFFFFF"/>
              </w:rPr>
              <w:t>Descripción</w:t>
            </w:r>
          </w:p>
        </w:tc>
        <w:tc>
          <w:tcPr>
            <w:tcW w:type="dxa" w:w="3289"/>
            <w:shd w:fill="18324A"/>
          </w:tcPr>
          <w:p>
            <w:pPr>
              <w:pStyle w:val="TableText"/>
            </w:pPr>
            <w:r>
              <w:rPr>
                <w:b/>
                <w:color w:val="FFFFFF"/>
              </w:rPr>
              <w:t>Cobertura / utilidad</w:t>
            </w:r>
          </w:p>
        </w:tc>
      </w:tr>
      <w:tr>
        <w:tc>
          <w:tcPr>
            <w:tcW w:type="dxa" w:w="1134"/>
            <w:tcBorders>
              <w:bottom w:val="single" w:sz="5" w:color="DCE5EA"/>
            </w:tcBorders>
          </w:tcPr>
          <w:p>
            <w:pPr>
              <w:pStyle w:val="TableText"/>
            </w:pPr>
            <w:hyperlink r:id="rId11">
              <w:r>
                <w:rPr>
                  <w:color w:val="007F80"/>
                  <w:b/>
                  <w:u w:val="single"/>
                </w:rPr>
                <w:t>28191</w:t>
              </w:r>
            </w:hyperlink>
          </w:p>
        </w:tc>
        <w:tc>
          <w:tcPr>
            <w:tcW w:type="dxa" w:w="5839"/>
            <w:tcBorders>
              <w:bottom w:val="single" w:sz="5" w:color="DCE5EA"/>
            </w:tcBorders>
          </w:tcPr>
          <w:p>
            <w:pPr>
              <w:pStyle w:val="TableText"/>
            </w:pPr>
            <w:r>
              <w:t>EAES · media y percentiles por sexo y CCAA</w:t>
            </w:r>
          </w:p>
        </w:tc>
        <w:tc>
          <w:tcPr>
            <w:tcW w:type="dxa" w:w="2835"/>
            <w:tcBorders>
              <w:bottom w:val="single" w:sz="5" w:color="DCE5EA"/>
            </w:tcBorders>
          </w:tcPr>
          <w:p>
            <w:pPr>
              <w:pStyle w:val="TableText"/>
            </w:pPr>
            <w:r>
              <w:t>2018–2024 · salario regional</w:t>
            </w:r>
          </w:p>
        </w:tc>
      </w:tr>
      <w:tr>
        <w:tc>
          <w:tcPr>
            <w:tcW w:type="dxa" w:w="1134"/>
            <w:tcBorders>
              <w:bottom w:val="single" w:sz="5" w:color="DCE5EA"/>
            </w:tcBorders>
            <w:shd w:fill="F6F9FB"/>
          </w:tcPr>
          <w:p>
            <w:pPr>
              <w:pStyle w:val="TableText"/>
            </w:pPr>
            <w:hyperlink r:id="rId12">
              <w:r>
                <w:rPr>
                  <w:color w:val="007F80"/>
                  <w:b/>
                  <w:u w:val="single"/>
                </w:rPr>
                <w:t>28192</w:t>
              </w:r>
            </w:hyperlink>
          </w:p>
        </w:tc>
        <w:tc>
          <w:tcPr>
            <w:tcW w:type="dxa" w:w="5839"/>
            <w:tcBorders>
              <w:bottom w:val="single" w:sz="5" w:color="DCE5EA"/>
            </w:tcBorders>
            <w:shd w:fill="F6F9FB"/>
          </w:tcPr>
          <w:p>
            <w:pPr>
              <w:pStyle w:val="TableText"/>
            </w:pPr>
            <w:r>
              <w:t>EAES · sexo y sectores de actividad</w:t>
            </w:r>
          </w:p>
        </w:tc>
        <w:tc>
          <w:tcPr>
            <w:tcW w:type="dxa" w:w="2835"/>
            <w:tcBorders>
              <w:bottom w:val="single" w:sz="5" w:color="DCE5EA"/>
            </w:tcBorders>
            <w:shd w:fill="F6F9FB"/>
          </w:tcPr>
          <w:p>
            <w:pPr>
              <w:pStyle w:val="TableText"/>
            </w:pPr>
            <w:r>
              <w:t>2018–2024 · sector económico</w:t>
            </w:r>
          </w:p>
        </w:tc>
      </w:tr>
      <w:tr>
        <w:tc>
          <w:tcPr>
            <w:tcW w:type="dxa" w:w="1134"/>
            <w:tcBorders>
              <w:bottom w:val="single" w:sz="5" w:color="DCE5EA"/>
            </w:tcBorders>
          </w:tcPr>
          <w:p>
            <w:pPr>
              <w:pStyle w:val="TableText"/>
            </w:pPr>
            <w:hyperlink r:id="rId13">
              <w:r>
                <w:rPr>
                  <w:color w:val="007F80"/>
                  <w:b/>
                  <w:u w:val="single"/>
                </w:rPr>
                <w:t>28193</w:t>
              </w:r>
            </w:hyperlink>
          </w:p>
        </w:tc>
        <w:tc>
          <w:tcPr>
            <w:tcW w:type="dxa" w:w="5839"/>
            <w:tcBorders>
              <w:bottom w:val="single" w:sz="5" w:color="DCE5EA"/>
            </w:tcBorders>
          </w:tcPr>
          <w:p>
            <w:pPr>
              <w:pStyle w:val="TableText"/>
            </w:pPr>
            <w:r>
              <w:t>EAES · sexo y ocupación</w:t>
            </w:r>
          </w:p>
        </w:tc>
        <w:tc>
          <w:tcPr>
            <w:tcW w:type="dxa" w:w="2835"/>
            <w:tcBorders>
              <w:bottom w:val="single" w:sz="5" w:color="DCE5EA"/>
            </w:tcBorders>
          </w:tcPr>
          <w:p>
            <w:pPr>
              <w:pStyle w:val="TableText"/>
            </w:pPr>
            <w:r>
              <w:t>2018–2024 · grupos CNO-11</w:t>
            </w:r>
          </w:p>
        </w:tc>
      </w:tr>
      <w:tr>
        <w:tc>
          <w:tcPr>
            <w:tcW w:type="dxa" w:w="1134"/>
            <w:tcBorders>
              <w:bottom w:val="single" w:sz="5" w:color="DCE5EA"/>
            </w:tcBorders>
            <w:shd w:fill="F6F9FB"/>
          </w:tcPr>
          <w:p>
            <w:pPr>
              <w:pStyle w:val="TableText"/>
            </w:pPr>
            <w:hyperlink r:id="rId14">
              <w:r>
                <w:rPr>
                  <w:color w:val="007F80"/>
                  <w:b/>
                  <w:u w:val="single"/>
                </w:rPr>
                <w:t>28201</w:t>
              </w:r>
            </w:hyperlink>
          </w:p>
        </w:tc>
        <w:tc>
          <w:tcPr>
            <w:tcW w:type="dxa" w:w="5839"/>
            <w:tcBorders>
              <w:bottom w:val="single" w:sz="5" w:color="DCE5EA"/>
            </w:tcBorders>
            <w:shd w:fill="F6F9FB"/>
          </w:tcPr>
          <w:p>
            <w:pPr>
              <w:pStyle w:val="TableText"/>
            </w:pPr>
            <w:r>
              <w:t>EAES · sexo y edad</w:t>
            </w:r>
          </w:p>
        </w:tc>
        <w:tc>
          <w:tcPr>
            <w:tcW w:type="dxa" w:w="2835"/>
            <w:tcBorders>
              <w:bottom w:val="single" w:sz="5" w:color="DCE5EA"/>
            </w:tcBorders>
            <w:shd w:fill="F6F9FB"/>
          </w:tcPr>
          <w:p>
            <w:pPr>
              <w:pStyle w:val="TableText"/>
            </w:pPr>
            <w:r>
              <w:t>2018–2024 · grupos de edad</w:t>
            </w:r>
          </w:p>
        </w:tc>
      </w:tr>
      <w:tr>
        <w:tc>
          <w:tcPr>
            <w:tcW w:type="dxa" w:w="1134"/>
            <w:tcBorders>
              <w:bottom w:val="single" w:sz="5" w:color="DCE5EA"/>
            </w:tcBorders>
          </w:tcPr>
          <w:p>
            <w:pPr>
              <w:pStyle w:val="TableText"/>
            </w:pPr>
            <w:hyperlink r:id="rId15">
              <w:r>
                <w:rPr>
                  <w:color w:val="007F80"/>
                  <w:b/>
                  <w:u w:val="single"/>
                </w:rPr>
                <w:t>36846</w:t>
              </w:r>
            </w:hyperlink>
          </w:p>
        </w:tc>
        <w:tc>
          <w:tcPr>
            <w:tcW w:type="dxa" w:w="5839"/>
            <w:tcBorders>
              <w:bottom w:val="single" w:sz="5" w:color="DCE5EA"/>
            </w:tcBorders>
          </w:tcPr>
          <w:p>
            <w:pPr>
              <w:pStyle w:val="TableText"/>
            </w:pPr>
            <w:r>
              <w:t>EES 2022 · sexo y gran grupo ocupacional</w:t>
            </w:r>
          </w:p>
        </w:tc>
        <w:tc>
          <w:tcPr>
            <w:tcW w:type="dxa" w:w="2835"/>
            <w:tcBorders>
              <w:bottom w:val="single" w:sz="5" w:color="DCE5EA"/>
            </w:tcBorders>
          </w:tcPr>
          <w:p>
            <w:pPr>
              <w:pStyle w:val="TableText"/>
            </w:pPr>
            <w:r>
              <w:t>2022 · detalle ocupacional</w:t>
            </w:r>
          </w:p>
        </w:tc>
      </w:tr>
      <w:tr>
        <w:tc>
          <w:tcPr>
            <w:tcW w:type="dxa" w:w="1134"/>
            <w:tcBorders>
              <w:bottom w:val="single" w:sz="5" w:color="DCE5EA"/>
            </w:tcBorders>
            <w:shd w:fill="F6F9FB"/>
          </w:tcPr>
          <w:p>
            <w:pPr>
              <w:pStyle w:val="TableText"/>
            </w:pPr>
            <w:hyperlink r:id="rId16">
              <w:r>
                <w:rPr>
                  <w:color w:val="007F80"/>
                  <w:b/>
                  <w:u w:val="single"/>
                </w:rPr>
                <w:t>36847</w:t>
              </w:r>
            </w:hyperlink>
          </w:p>
        </w:tc>
        <w:tc>
          <w:tcPr>
            <w:tcW w:type="dxa" w:w="5839"/>
            <w:tcBorders>
              <w:bottom w:val="single" w:sz="5" w:color="DCE5EA"/>
            </w:tcBorders>
            <w:shd w:fill="F6F9FB"/>
          </w:tcPr>
          <w:p>
            <w:pPr>
              <w:pStyle w:val="TableText"/>
            </w:pPr>
            <w:r>
              <w:t>EES 2022 · sexo y estudios realizados</w:t>
            </w:r>
          </w:p>
        </w:tc>
        <w:tc>
          <w:tcPr>
            <w:tcW w:type="dxa" w:w="2835"/>
            <w:tcBorders>
              <w:bottom w:val="single" w:sz="5" w:color="DCE5EA"/>
            </w:tcBorders>
            <w:shd w:fill="F6F9FB"/>
          </w:tcPr>
          <w:p>
            <w:pPr>
              <w:pStyle w:val="TableText"/>
            </w:pPr>
            <w:r>
              <w:t>2022 · nivel educativo, no grado</w:t>
            </w:r>
          </w:p>
        </w:tc>
      </w:tr>
      <w:tr>
        <w:tc>
          <w:tcPr>
            <w:tcW w:type="dxa" w:w="1134"/>
            <w:tcBorders>
              <w:bottom w:val="single" w:sz="5" w:color="DCE5EA"/>
            </w:tcBorders>
          </w:tcPr>
          <w:p>
            <w:pPr>
              <w:pStyle w:val="TableText"/>
            </w:pPr>
            <w:hyperlink r:id="rId17">
              <w:r>
                <w:rPr>
                  <w:color w:val="007F80"/>
                  <w:b/>
                  <w:u w:val="single"/>
                </w:rPr>
                <w:t>36850</w:t>
              </w:r>
            </w:hyperlink>
          </w:p>
        </w:tc>
        <w:tc>
          <w:tcPr>
            <w:tcW w:type="dxa" w:w="5839"/>
            <w:tcBorders>
              <w:bottom w:val="single" w:sz="5" w:color="DCE5EA"/>
            </w:tcBorders>
          </w:tcPr>
          <w:p>
            <w:pPr>
              <w:pStyle w:val="TableText"/>
            </w:pPr>
            <w:r>
              <w:t>EES 2022 · sexo y edad</w:t>
            </w:r>
          </w:p>
        </w:tc>
        <w:tc>
          <w:tcPr>
            <w:tcW w:type="dxa" w:w="2835"/>
            <w:tcBorders>
              <w:bottom w:val="single" w:sz="5" w:color="DCE5EA"/>
            </w:tcBorders>
          </w:tcPr>
          <w:p>
            <w:pPr>
              <w:pStyle w:val="TableText"/>
            </w:pPr>
            <w:r>
              <w:t>2022 · grupos de edad</w:t>
            </w:r>
          </w:p>
        </w:tc>
      </w:tr>
      <w:tr>
        <w:tc>
          <w:tcPr>
            <w:tcW w:type="dxa" w:w="1134"/>
            <w:tcBorders>
              <w:bottom w:val="single" w:sz="5" w:color="DCE5EA"/>
            </w:tcBorders>
            <w:shd w:fill="F6F9FB"/>
          </w:tcPr>
          <w:p>
            <w:pPr>
              <w:pStyle w:val="TableText"/>
            </w:pPr>
            <w:hyperlink r:id="rId18">
              <w:r>
                <w:rPr>
                  <w:color w:val="007F80"/>
                  <w:b/>
                  <w:u w:val="single"/>
                </w:rPr>
                <w:t>36851</w:t>
              </w:r>
            </w:hyperlink>
          </w:p>
        </w:tc>
        <w:tc>
          <w:tcPr>
            <w:tcW w:type="dxa" w:w="5839"/>
            <w:tcBorders>
              <w:bottom w:val="single" w:sz="5" w:color="DCE5EA"/>
            </w:tcBorders>
            <w:shd w:fill="F6F9FB"/>
          </w:tcPr>
          <w:p>
            <w:pPr>
              <w:pStyle w:val="TableText"/>
            </w:pPr>
            <w:r>
              <w:t>EES 2022 · sexo y antigüedad</w:t>
            </w:r>
          </w:p>
        </w:tc>
        <w:tc>
          <w:tcPr>
            <w:tcW w:type="dxa" w:w="2835"/>
            <w:tcBorders>
              <w:bottom w:val="single" w:sz="5" w:color="DCE5EA"/>
            </w:tcBorders>
            <w:shd w:fill="F6F9FB"/>
          </w:tcPr>
          <w:p>
            <w:pPr>
              <w:pStyle w:val="TableText"/>
            </w:pPr>
            <w:r>
              <w:t>2022 · incluye «menos de 1 año»</w:t>
            </w:r>
          </w:p>
        </w:tc>
      </w:tr>
      <w:tr>
        <w:tc>
          <w:tcPr>
            <w:tcW w:type="dxa" w:w="1134"/>
            <w:tcBorders>
              <w:bottom w:val="single" w:sz="5" w:color="DCE5EA"/>
            </w:tcBorders>
          </w:tcPr>
          <w:p>
            <w:pPr>
              <w:pStyle w:val="TableText"/>
            </w:pPr>
            <w:hyperlink r:id="rId19">
              <w:r>
                <w:rPr>
                  <w:color w:val="007F80"/>
                  <w:b/>
                  <w:u w:val="single"/>
                </w:rPr>
                <w:t>36870</w:t>
              </w:r>
            </w:hyperlink>
          </w:p>
        </w:tc>
        <w:tc>
          <w:tcPr>
            <w:tcW w:type="dxa" w:w="5839"/>
            <w:tcBorders>
              <w:bottom w:val="single" w:sz="5" w:color="DCE5EA"/>
            </w:tcBorders>
          </w:tcPr>
          <w:p>
            <w:pPr>
              <w:pStyle w:val="TableText"/>
            </w:pPr>
            <w:r>
              <w:t>EES 2022 · estudios y edad</w:t>
            </w:r>
          </w:p>
        </w:tc>
        <w:tc>
          <w:tcPr>
            <w:tcW w:type="dxa" w:w="2835"/>
            <w:tcBorders>
              <w:bottom w:val="single" w:sz="5" w:color="DCE5EA"/>
            </w:tcBorders>
          </w:tcPr>
          <w:p>
            <w:pPr>
              <w:pStyle w:val="TableText"/>
            </w:pPr>
            <w:r>
              <w:t>2022 · cruza nivel educativo y edad</w:t>
            </w:r>
          </w:p>
        </w:tc>
      </w:tr>
    </w:tbl>
    <w:p>
      <w:pPr>
        <w:pStyle w:val="Heading2"/>
      </w:pPr>
      <w:r>
        <w:t>4. ¿Pueden identificarse perfiles junior?</w:t>
      </w:r>
    </w:p>
    <w:p>
      <w:pPr>
        <w:pStyle w:val="BulletContent"/>
      </w:pPr>
      <w:r>
        <w:rPr>
          <w:b/>
          <w:color w:val="18324A"/>
        </w:rPr>
        <w:t xml:space="preserve">No directamente.  </w:t>
      </w:r>
      <w:r>
        <w:t>Ninguna de estas tablas contiene una categoría de «recién graduado», el grado cursado, la universidad de origen ni la nota de corte.</w:t>
      </w:r>
    </w:p>
    <w:p>
      <w:pPr>
        <w:pStyle w:val="BulletContent"/>
      </w:pPr>
      <w:r>
        <w:rPr>
          <w:b/>
          <w:color w:val="18324A"/>
        </w:rPr>
        <w:t xml:space="preserve">Aproximación posible.  </w:t>
      </w:r>
      <w:r>
        <w:t>La edad y la antigüedad inferior a un año en la empresa (EES 2022) pueden servir como indicadores parciales, pero no demuestran poca experiencia laboral total ni primera incorporación al empleo.</w:t>
      </w:r>
    </w:p>
    <w:p>
      <w:pPr>
        <w:pStyle w:val="BulletContent"/>
      </w:pPr>
      <w:r>
        <w:rPr>
          <w:b/>
          <w:color w:val="18324A"/>
        </w:rPr>
        <w:t xml:space="preserve">Conclusión.  </w:t>
      </w:r>
      <w:r>
        <w:t>No presentar salarios por edad, ocupación o estudios como salarios iniciales por titulación. Los microdatos EES 2018/2022 permitirían análisis adicionales, sujetos a cobertura, anonimización y tamaño muestral.</w:t>
      </w:r>
    </w:p>
    <w:p>
      <w:pPr>
        <w:pStyle w:val="Heading2"/>
      </w:pPr>
      <w:r>
        <w:t>5. Limitaciones de comparabilidad</w:t>
      </w:r>
    </w:p>
    <w:p>
      <w:pPr>
        <w:pStyle w:val="BulletContent"/>
      </w:pPr>
      <w:r>
        <w:rPr>
          <w:b/>
          <w:color w:val="18324A"/>
        </w:rPr>
        <w:t xml:space="preserve">Territorio:  </w:t>
      </w:r>
      <w:r>
        <w:t>los datos de la Comunitat Valenciana incluyen Alicante, Castellón y Valencia; no equivalen a salarios de València ciudad.</w:t>
      </w:r>
    </w:p>
    <w:p>
      <w:pPr>
        <w:pStyle w:val="BulletContent"/>
      </w:pPr>
      <w:r>
        <w:rPr>
          <w:b/>
          <w:color w:val="18324A"/>
        </w:rPr>
        <w:t xml:space="preserve">Unidad de análisis:  </w:t>
      </w:r>
      <w:r>
        <w:t>el INE mide asalariados en múltiples carreras y trayectorias; la nota de corte corresponde a acceso a estudios, no a una ocupación concreta.</w:t>
      </w:r>
    </w:p>
    <w:p>
      <w:pPr>
        <w:pStyle w:val="BulletContent"/>
      </w:pPr>
      <w:r>
        <w:rPr>
          <w:b/>
          <w:color w:val="18324A"/>
        </w:rPr>
        <w:t xml:space="preserve">Tiempo:  </w:t>
      </w:r>
      <w:r>
        <w:t>los salarios 2018–2024 no son resultados posteriores de los alumnos admitidos en 2022–2026. Compararlos como cohortes implicaría un desfase temporal no válido.</w:t>
      </w:r>
    </w:p>
    <w:p>
      <w:pPr>
        <w:pStyle w:val="BulletContent"/>
      </w:pPr>
      <w:r>
        <w:rPr>
          <w:b/>
          <w:color w:val="18324A"/>
        </w:rPr>
        <w:t xml:space="preserve">Heterogeneidad:  </w:t>
      </w:r>
      <w:r>
        <w:t>influyen jornada, edad, antigüedad, sector, ocupación, sexo y distribución de salarios; los promedios no aíslan el efecto del título.</w:t>
      </w:r>
    </w:p>
    <w:p>
      <w:pPr>
        <w:pStyle w:val="BulletContent"/>
      </w:pPr>
      <w:r>
        <w:rPr>
          <w:b/>
          <w:color w:val="18324A"/>
        </w:rPr>
        <w:t xml:space="preserve">Cobertura / fiabilidad:  </w:t>
      </w:r>
      <w:r>
        <w:t>la encuesta no cubre autónomos ni todas las actividades; algunos cruces se suprimen (&lt;100 observaciones) o se marcan con alta variabilidad (100–500).</w:t>
      </w:r>
    </w:p>
    <w:p>
      <w:r>
        <w:br w:type="page"/>
      </w:r>
    </w:p>
    <w:p>
      <w:pPr>
        <w:pStyle w:val="Heading1"/>
      </w:pPr>
      <w:r>
        <w:t>6. Recomendación para el análisis del Sprint 1</w:t>
      </w:r>
    </w:p>
    <w:tbl>
      <w:tblPr>
        <w:tblW w:type="auto" w:w="0"/>
        <w:tblLayout w:type="fixed"/>
        <w:tblLook w:firstColumn="1" w:firstRow="1" w:lastColumn="0" w:lastRow="0" w:noHBand="0" w:noVBand="1" w:val="04A0"/>
      </w:tblPr>
      <w:tblGrid>
        <w:gridCol w:w="9694"/>
      </w:tblGrid>
      <w:tr>
        <w:tc>
          <w:tcPr>
            <w:tcW w:type="dxa" w:w="9866"/>
            <w:shd w:fill="ECF5F5"/>
          </w:tcPr>
          <w:p>
            <w:pPr>
              <w:spacing w:after="0"/>
            </w:pPr>
            <w:r>
              <w:rPr>
                <w:b/>
                <w:color w:val="18324A"/>
              </w:rPr>
              <w:t xml:space="preserve">DECISIÓN  </w:t>
            </w:r>
            <w:r>
              <w:rPr>
                <w:color w:val="263645"/>
              </w:rPr>
              <w:t>Conservar INE/EAES como fuente oficial de contexto y referencia salarial por CCAA, sector u ocupación. Buscar otra fuente que publique remuneración o inserción laboral por titulación, para el contraste principal nota de corte–salario.</w:t>
            </w:r>
          </w:p>
        </w:tc>
      </w:tr>
    </w:tbl>
    <w:p>
      <w:pPr>
        <w:spacing w:after="0"/>
      </w:pPr>
    </w:p>
    <w:p>
      <w:pPr>
        <w:pStyle w:val="BulletContent"/>
      </w:pPr>
      <w:r>
        <w:rPr>
          <w:b/>
          <w:color w:val="18324A"/>
        </w:rPr>
        <w:t xml:space="preserve">Uso correcto:  </w:t>
      </w:r>
      <w:r>
        <w:t>mostrar el nivel y la evolución de salarios regionales; apoyar comparaciones sectoriales con cautelas.</w:t>
      </w:r>
    </w:p>
    <w:p>
      <w:pPr>
        <w:pStyle w:val="BulletContent"/>
      </w:pPr>
      <w:r>
        <w:rPr>
          <w:b/>
          <w:color w:val="18324A"/>
        </w:rPr>
        <w:t xml:space="preserve">Uso incorrecto:  </w:t>
      </w:r>
      <w:r>
        <w:t>atribuir 26.816,98 € (media CV de 2024) a un recién graduado o a una carrera específica.</w:t>
      </w:r>
    </w:p>
    <w:p>
      <w:pPr>
        <w:pStyle w:val="BulletContent"/>
      </w:pPr>
      <w:r>
        <w:rPr>
          <w:b/>
          <w:color w:val="18324A"/>
        </w:rPr>
        <w:t xml:space="preserve">Cruce con notas de corte:  </w:t>
      </w:r>
      <w:r>
        <w:t>los CSV del proyecto cubren 2022–2026 y la serie salarial termina en 2024; no hay alineación temporal de cohortes. Si se hace un análisis exploratorio, debe presentarse como aproximación ecológica, no como impacto causal.</w:t>
      </w:r>
    </w:p>
    <w:p>
      <w:pPr>
        <w:pStyle w:val="Heading2"/>
      </w:pPr>
      <w:r>
        <w:t>7. Información lista para trasladar a SCRUM-29</w:t>
      </w:r>
    </w:p>
    <w:p>
      <w:pPr>
        <w:spacing w:after="160"/>
        <w:ind w:left="198" w:right="142"/>
      </w:pPr>
      <w:r>
        <w:rPr>
          <w:sz w:val="18"/>
        </w:rPr>
        <w:t>Fuente: INE, Encuestas de estructura salarial (EAES y EES). URL base: https://www.ine.es/dyngs/INEbase/operacion.htm?c=Estadistica_C&amp;cid=1254736177025&amp;idp=1254735976596&amp;menu=resultados. Fecha de consulta: 25/10/2026. Años de análisis: 2018–2024 (2024 publicado el 28/05/2026). Territorio: Comunitat Valenciana, CCAA. Población: trabajadores asalariados cubiertos por la encuesta. Unidad: ganancia bruta anual por trabajador, euros corrientes; series por sexo y diversos desgloses sectoriales, ocupacionales y de edad. Formatos: consulta y exportación CSV/Excel en INEbase. Limitaciones: no provincia/ciudad, no nota de corte ni titulación universitaria concreta, no sueldo inicial identificable, heterogeneidad de jornada/experiencia; diferencias temporales con notas de corte 2022–2026. Recomendación: incorporar INE como contexto, no como fuente única del test de hipótesis por grado.</w:t>
      </w:r>
    </w:p>
    <w:p>
      <w:pPr>
        <w:pStyle w:val="Heading2"/>
      </w:pPr>
      <w:r>
        <w:t>8. Fuentes oficiales y trazabilidad</w:t>
      </w:r>
    </w:p>
    <w:p>
      <w:pPr>
        <w:pStyle w:val="Source"/>
      </w:pPr>
      <w:r>
        <w:rPr>
          <w:b/>
          <w:color w:val="536678"/>
        </w:rPr>
        <w:t xml:space="preserve">1. </w:t>
      </w:r>
      <w:hyperlink r:id="rId20">
        <w:r>
          <w:rPr>
            <w:color w:val="007F80"/>
            <w:b/>
            <w:u w:val="single"/>
          </w:rPr>
          <w:t>INEbase · Resultados EAES/EES</w:t>
        </w:r>
      </w:hyperlink>
      <w:r>
        <w:rPr>
          <w:color w:val="536678"/>
        </w:rPr>
        <w:t xml:space="preserve">  Tablas y microdatos 2018/2022.</w:t>
      </w:r>
    </w:p>
    <w:p>
      <w:pPr>
        <w:pStyle w:val="Source"/>
      </w:pPr>
      <w:r>
        <w:rPr>
          <w:b/>
          <w:color w:val="536678"/>
        </w:rPr>
        <w:t xml:space="preserve">2. </w:t>
      </w:r>
      <w:hyperlink r:id="rId21">
        <w:r>
          <w:rPr>
            <w:color w:val="007F80"/>
            <w:b/>
            <w:u w:val="single"/>
          </w:rPr>
          <w:t>INEbase · Metodología</w:t>
        </w:r>
      </w:hyperlink>
      <w:r>
        <w:rPr>
          <w:color w:val="536678"/>
        </w:rPr>
        <w:t xml:space="preserve">  Población, diseño y alcance.</w:t>
      </w:r>
    </w:p>
    <w:p>
      <w:pPr>
        <w:pStyle w:val="Source"/>
      </w:pPr>
      <w:r>
        <w:rPr>
          <w:b/>
          <w:color w:val="536678"/>
        </w:rPr>
        <w:t xml:space="preserve">3. </w:t>
      </w:r>
      <w:hyperlink r:id="rId22">
        <w:r>
          <w:rPr>
            <w:color w:val="007F80"/>
            <w:b/>
            <w:u w:val="single"/>
          </w:rPr>
          <w:t>INE · EES 2018 definitivos</w:t>
        </w:r>
      </w:hyperlink>
      <w:r>
        <w:rPr>
          <w:color w:val="536678"/>
        </w:rPr>
        <w:t xml:space="preserve">  Tabla territorial 2018, pág. 6.</w:t>
      </w:r>
    </w:p>
    <w:p>
      <w:pPr>
        <w:pStyle w:val="Source"/>
      </w:pPr>
      <w:r>
        <w:rPr>
          <w:b/>
          <w:color w:val="536678"/>
        </w:rPr>
        <w:t xml:space="preserve">4. </w:t>
      </w:r>
      <w:hyperlink r:id="rId23">
        <w:r>
          <w:rPr>
            <w:color w:val="007F80"/>
            <w:b/>
            <w:u w:val="single"/>
          </w:rPr>
          <w:t>INE · EAES 2019 definitivos</w:t>
        </w:r>
      </w:hyperlink>
      <w:r>
        <w:rPr>
          <w:color w:val="536678"/>
        </w:rPr>
        <w:t xml:space="preserve">  Tabla territorial 2019, pág. 11.</w:t>
      </w:r>
    </w:p>
    <w:p>
      <w:pPr>
        <w:pStyle w:val="Source"/>
      </w:pPr>
      <w:r>
        <w:rPr>
          <w:b/>
          <w:color w:val="536678"/>
        </w:rPr>
        <w:t xml:space="preserve">5. </w:t>
      </w:r>
      <w:hyperlink r:id="rId24">
        <w:r>
          <w:rPr>
            <w:color w:val="007F80"/>
            <w:b/>
            <w:u w:val="single"/>
          </w:rPr>
          <w:t>INE · EAES 2020 definitivos</w:t>
        </w:r>
      </w:hyperlink>
      <w:r>
        <w:rPr>
          <w:color w:val="536678"/>
        </w:rPr>
        <w:t xml:space="preserve">  Tabla territorial 2020, pág. 12.</w:t>
      </w:r>
    </w:p>
    <w:p>
      <w:pPr>
        <w:pStyle w:val="Source"/>
      </w:pPr>
      <w:r>
        <w:rPr>
          <w:b/>
          <w:color w:val="536678"/>
        </w:rPr>
        <w:t xml:space="preserve">6. </w:t>
      </w:r>
      <w:hyperlink r:id="rId25">
        <w:r>
          <w:rPr>
            <w:color w:val="007F80"/>
            <w:b/>
            <w:u w:val="single"/>
          </w:rPr>
          <w:t>INE · EAES 2021 definitivos</w:t>
        </w:r>
      </w:hyperlink>
      <w:r>
        <w:rPr>
          <w:color w:val="536678"/>
        </w:rPr>
        <w:t xml:space="preserve">  Tabla territorial 2021, pág. 11.</w:t>
      </w:r>
    </w:p>
    <w:p>
      <w:pPr>
        <w:pStyle w:val="Source"/>
      </w:pPr>
      <w:r>
        <w:rPr>
          <w:b/>
          <w:color w:val="536678"/>
        </w:rPr>
        <w:t xml:space="preserve">7. </w:t>
      </w:r>
      <w:hyperlink r:id="rId26">
        <w:r>
          <w:rPr>
            <w:color w:val="007F80"/>
            <w:b/>
            <w:u w:val="single"/>
          </w:rPr>
          <w:t>INE · EES 2022 definitivos</w:t>
        </w:r>
      </w:hyperlink>
      <w:r>
        <w:rPr>
          <w:color w:val="536678"/>
        </w:rPr>
        <w:t xml:space="preserve">  Tabla territorial 2022, 23/09/2024.</w:t>
      </w:r>
    </w:p>
    <w:p>
      <w:pPr>
        <w:pStyle w:val="Source"/>
      </w:pPr>
      <w:r>
        <w:rPr>
          <w:b/>
          <w:color w:val="536678"/>
        </w:rPr>
        <w:t xml:space="preserve">8. </w:t>
      </w:r>
      <w:hyperlink r:id="rId27">
        <w:r>
          <w:rPr>
            <w:color w:val="007F80"/>
            <w:b/>
            <w:u w:val="single"/>
          </w:rPr>
          <w:t>INE · EAES 2023 definitivos</w:t>
        </w:r>
      </w:hyperlink>
      <w:r>
        <w:rPr>
          <w:color w:val="536678"/>
        </w:rPr>
        <w:t xml:space="preserve">  Tabla territorial 2023, 28/05/2025.</w:t>
      </w:r>
    </w:p>
    <w:p>
      <w:pPr>
        <w:pStyle w:val="Source"/>
      </w:pPr>
      <w:r>
        <w:rPr>
          <w:b/>
          <w:color w:val="536678"/>
        </w:rPr>
        <w:t xml:space="preserve">9. </w:t>
      </w:r>
      <w:hyperlink r:id="rId28">
        <w:r>
          <w:rPr>
            <w:color w:val="007F80"/>
            <w:b/>
            <w:u w:val="single"/>
          </w:rPr>
          <w:t>INE · EAES 2024 definitivos</w:t>
        </w:r>
      </w:hyperlink>
      <w:r>
        <w:rPr>
          <w:color w:val="536678"/>
        </w:rPr>
        <w:t xml:space="preserve">  Tabla territorial 2024, 28/05/2026.</w:t>
      </w:r>
    </w:p>
    <w:p>
      <w:pPr>
        <w:spacing w:before="220"/>
        <w:jc w:val="center"/>
      </w:pPr>
      <w:r>
        <w:rPr>
          <w:i/>
          <w:color w:val="536678"/>
          <w:sz w:val="16"/>
        </w:rPr>
        <w:t>Estado del documento: ficha preparada para revisión · No se han modificado SCRUM-26 ni SCRUM-29.</w:t>
      </w:r>
    </w:p>
    <w:sectPr w:rsidR="00FC693F" w:rsidRPr="0006063C" w:rsidSect="00034616">
      <w:headerReference w:type="default" r:id="rId9"/>
      <w:footerReference w:type="default" r:id="rId10"/>
      <w:pgSz w:w="11906" w:h="16838"/>
      <w:pgMar w:top="964" w:right="1020" w:bottom="879" w:left="1020" w:header="454"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36678"/>
        <w:sz w:val="16"/>
      </w:rPr>
      <w:t xml:space="preserve">SCRUM-26  ·  25/10/2026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007F80"/>
        <w:sz w:val="15"/>
      </w:rPr>
      <w:t>GPR  /  NOTAS DE CORTE Y SALARIOS VALENCIA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Aptos" w:hAnsi="Aptos"/>
      <w:color w:val="263645"/>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8324A"/>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8324A"/>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basedOn w:val="Normal"/>
    <w:pPr>
      <w:spacing w:after="60"/>
    </w:pPr>
    <w:rPr>
      <w:sz w:val="16"/>
    </w:rPr>
  </w:style>
  <w:style w:type="paragraph" w:customStyle="1" w:styleId="TableText">
    <w:name w:val="Table Text"/>
    <w:basedOn w:val="Normal"/>
    <w:pPr>
      <w:spacing w:after="0" w:before="0"/>
    </w:pPr>
    <w:rPr>
      <w:sz w:val="17"/>
    </w:rPr>
  </w:style>
  <w:style w:type="paragraph" w:customStyle="1" w:styleId="BulletContent">
    <w:name w:val="Bullet Content"/>
    <w:basedOn w:val="Normal"/>
    <w:pPr>
      <w:spacing w:after="60"/>
      <w:ind w:left="198" w:hanging="142"/>
    </w:pPr>
    <w:rPr>
      <w:sz w:val="18"/>
    </w:rPr>
  </w:style>
  <w:style w:type="paragraph" w:customStyle="1" w:styleId="Source">
    <w:name w:val="Source"/>
    <w:basedOn w:val="Normal"/>
    <w:pPr>
      <w:spacing w:after="80"/>
    </w:pPr>
    <w:rPr>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ine.es/jaxiT3/Tabla.htm?t=28191" TargetMode="External"/><Relationship Id="rId12" Type="http://schemas.openxmlformats.org/officeDocument/2006/relationships/hyperlink" Target="https://www.ine.es/jaxiT3/Tabla.htm?t=28192" TargetMode="External"/><Relationship Id="rId13" Type="http://schemas.openxmlformats.org/officeDocument/2006/relationships/hyperlink" Target="https://www.ine.es/jaxiT3/Tabla.htm?t=28193" TargetMode="External"/><Relationship Id="rId14" Type="http://schemas.openxmlformats.org/officeDocument/2006/relationships/hyperlink" Target="https://www.ine.es/jaxiT3/Tabla.htm?t=28201" TargetMode="External"/><Relationship Id="rId15" Type="http://schemas.openxmlformats.org/officeDocument/2006/relationships/hyperlink" Target="https://www.ine.es/jaxiT3/Tabla.htm?t=36846" TargetMode="External"/><Relationship Id="rId16" Type="http://schemas.openxmlformats.org/officeDocument/2006/relationships/hyperlink" Target="https://www.ine.es/jaxiT3/Tabla.htm?t=36847" TargetMode="External"/><Relationship Id="rId17" Type="http://schemas.openxmlformats.org/officeDocument/2006/relationships/hyperlink" Target="https://www.ine.es/jaxiT3/Tabla.htm?t=36850" TargetMode="External"/><Relationship Id="rId18" Type="http://schemas.openxmlformats.org/officeDocument/2006/relationships/hyperlink" Target="https://www.ine.es/jaxiT3/Tabla.htm?t=36851" TargetMode="External"/><Relationship Id="rId19" Type="http://schemas.openxmlformats.org/officeDocument/2006/relationships/hyperlink" Target="https://www.ine.es/jaxiT3/Tabla.htm?t=36870" TargetMode="External"/><Relationship Id="rId20" Type="http://schemas.openxmlformats.org/officeDocument/2006/relationships/hyperlink" Target="https://www.ine.es/dyngs/INEbase/operacion.htm?c=Estadistica_C&amp;cid=1254736177025&amp;idp=1254735976596&amp;menu=resultados" TargetMode="External"/><Relationship Id="rId21" Type="http://schemas.openxmlformats.org/officeDocument/2006/relationships/hyperlink" Target="https://www.ine.es/dyngs/INEbase/operacion.htm?c=Estadistica_C&amp;cid=1254736177025&amp;idp=1254735976596&amp;menu=metodologia" TargetMode="External"/><Relationship Id="rId22" Type="http://schemas.openxmlformats.org/officeDocument/2006/relationships/hyperlink" Target="https://ine.es/prensa/eces_2018_d.pdf" TargetMode="External"/><Relationship Id="rId23" Type="http://schemas.openxmlformats.org/officeDocument/2006/relationships/hyperlink" Target="https://www.ine.es/prensa/ees_2019.pdf" TargetMode="External"/><Relationship Id="rId24" Type="http://schemas.openxmlformats.org/officeDocument/2006/relationships/hyperlink" Target="https://www.ine.es/prensa/ees_2020.pdf" TargetMode="External"/><Relationship Id="rId25" Type="http://schemas.openxmlformats.org/officeDocument/2006/relationships/hyperlink" Target="https://www.ine.es/prensa/ees_2021.pdf" TargetMode="External"/><Relationship Id="rId26" Type="http://schemas.openxmlformats.org/officeDocument/2006/relationships/hyperlink" Target="https://www.ine.es/dyngs/Prensa/EES2022.htm" TargetMode="External"/><Relationship Id="rId27" Type="http://schemas.openxmlformats.org/officeDocument/2006/relationships/hyperlink" Target="https://www.ine.es/dyngs/Prensa/EAES2023.htm" TargetMode="External"/><Relationship Id="rId28" Type="http://schemas.openxmlformats.org/officeDocument/2006/relationships/hyperlink" Target="https://www.ine.es/dyngs/Prensa/EAES2024.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Ficha de revisión INE — SCRUM-26</dc:title>
  <dc:subject>GPR: notas de corte y salarios Comunitat Valenciana 2018–2024</dc:subject>
  <dc:creator>Jose Miguel García Ríos</dc:creator>
  <cp:keywords/>
  <dc:description>generated by python-docx</dc:description>
  <cp:lastModifiedBy/>
  <cp:revision>1</cp:revision>
  <dcterms:created xsi:type="dcterms:W3CDTF">2013-12-23T23:15:00Z</dcterms:created>
  <dcterms:modified xsi:type="dcterms:W3CDTF">2013-12-23T23:15:00Z</dcterms:modified>
  <cp:category/>
</cp:coreProperties>
</file>