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240"/>
        <w:jc w:val="center"/>
      </w:pPr>
      <w:r>
        <w:rPr>
          <w:rFonts w:ascii="Aptos" w:hAnsi="Aptos"/>
          <w:b/>
          <w:i w:val="0"/>
          <w:color w:val="0F766E"/>
          <w:sz w:val="22"/>
        </w:rPr>
        <w:t>DIGITAL PUBLIC SAFETY</w:t>
      </w:r>
    </w:p>
    <w:p>
      <w:pPr>
        <w:spacing w:after="120"/>
        <w:jc w:val="center"/>
      </w:pPr>
      <w:r>
        <w:rPr>
          <w:rFonts w:ascii="Aptos Display" w:hAnsi="Aptos Display"/>
          <w:b/>
          <w:i w:val="0"/>
          <w:color w:val="13213C"/>
          <w:sz w:val="68"/>
        </w:rPr>
        <w:t>PRAHARI</w:t>
      </w:r>
    </w:p>
    <w:p>
      <w:pPr>
        <w:spacing w:after="400"/>
        <w:jc w:val="center"/>
      </w:pPr>
      <w:r>
        <w:rPr>
          <w:rFonts w:ascii="Aptos Display" w:hAnsi="Aptos Display"/>
          <w:b w:val="0"/>
          <w:i w:val="0"/>
          <w:color w:val="1D4ED8"/>
          <w:sz w:val="32"/>
        </w:rPr>
        <w:t>Stop the scam before the money moves.</w:t>
      </w:r>
    </w:p>
    <w:p>
      <w:pPr>
        <w:spacing w:after="840"/>
        <w:jc w:val="center"/>
      </w:pPr>
      <w:r>
        <w:rPr>
          <w:rFonts w:ascii="Aptos" w:hAnsi="Aptos"/>
          <w:b w:val="0"/>
          <w:i w:val="0"/>
          <w:color w:val="5D6678"/>
          <w:sz w:val="24"/>
        </w:rPr>
        <w:t>Privacy-first live scam intervention and fraud-ring intelligence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CFDF5"/>
          </w:tcPr>
          <w:p>
            <w:pPr>
              <w:spacing w:after="40"/>
            </w:pPr>
            <w:r>
              <w:rPr>
                <w:rFonts w:ascii="Aptos" w:hAnsi="Aptos"/>
                <w:b/>
                <w:i w:val="0"/>
                <w:color w:val="0F766E"/>
                <w:sz w:val="21"/>
              </w:rPr>
              <w:t xml:space="preserve">PROJECT OUTCOME  </w:t>
            </w:r>
            <w:r>
              <w:rPr>
                <w:rFonts w:ascii="Aptos" w:hAnsi="Aptos"/>
                <w:b w:val="0"/>
                <w:i w:val="0"/>
                <w:color w:val="172033"/>
                <w:sz w:val="21"/>
              </w:rPr>
              <w:t>A working web prototype that detects digital-arrest coercion while a call unfolds, interrupts before payment, and converts only citizen-approved evidence into ranked fraud-ring intelligence.</w:t>
            </w:r>
          </w:p>
        </w:tc>
      </w:tr>
    </w:tbl>
    <w:p>
      <w:pPr>
        <w:spacing w:after="20"/>
      </w:pPr>
    </w:p>
    <w:p>
      <w:pPr>
        <w:spacing w:before="1000"/>
        <w:jc w:val="center"/>
      </w:pPr>
      <w:r>
        <w:rPr>
          <w:rFonts w:ascii="Aptos" w:hAnsi="Aptos"/>
          <w:b/>
          <w:i w:val="0"/>
          <w:color w:val="5D6678"/>
          <w:sz w:val="20"/>
        </w:rPr>
        <w:t>Hackathon Project Report  |  22 July 2026</w:t>
      </w:r>
    </w:p>
    <w:p>
      <w:pPr>
        <w:jc w:val="center"/>
      </w:pPr>
      <w:r>
        <w:rPr>
          <w:rFonts w:ascii="Aptos" w:hAnsi="Aptos"/>
          <w:b w:val="0"/>
          <w:i w:val="0"/>
          <w:color w:val="5D6678"/>
          <w:sz w:val="18"/>
        </w:rPr>
        <w:t>Web prototype: localhost:3000/check  |  Officer command: localhost:3000/command</w:t>
      </w:r>
    </w:p>
    <w:p>
      <w:r>
        <w:br w:type="page"/>
      </w:r>
    </w:p>
    <w:p>
      <w:pPr>
        <w:pStyle w:val="Heading1"/>
        <w:keepNext/>
      </w:pPr>
      <w:r>
        <w:t>Executive Summary</w:t>
      </w:r>
    </w:p>
    <w:p>
      <w:pPr>
        <w:spacing w:after="120" w:line="264" w:lineRule="auto"/>
      </w:pPr>
      <w:r>
        <w:rPr>
          <w:rFonts w:ascii="Aptos" w:hAnsi="Aptos"/>
          <w:b w:val="0"/>
          <w:i w:val="0"/>
          <w:color w:val="172033"/>
          <w:sz w:val="21"/>
        </w:rPr>
        <w:t>PRAHARI is a privacy-first digital public-safety prototype designed for the decisive moment in a digital-arrest scam: before the victim transfers money. It combines live transcript capture, on-device deterministic risk detection, optional structured AI classification, consent-controlled evidence sharing, and graph-based fraud-ring discovery in one working web system.</w:t>
      </w:r>
    </w:p>
    <w:p>
      <w:pPr>
        <w:spacing w:after="120" w:line="264" w:lineRule="auto"/>
      </w:pPr>
      <w:r>
        <w:rPr>
          <w:rFonts w:ascii="Aptos" w:hAnsi="Aptos"/>
          <w:b w:val="0"/>
          <w:i w:val="0"/>
          <w:color w:val="172033"/>
          <w:sz w:val="21"/>
        </w:rPr>
        <w:t>The citizen experience issues an immediate, plain-language intervention when scam pressure becomes critical. SAFE content stays on the device. For risky content, the user chooses whether to keep the result private or share selected evidence, a redacted transcript, or the full transcript. Approved identifiers are persisted with an audit trail, ingested into Neo4j, and surfaced to officers as ranked rings and hub infrastructure.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D"/>
          </w:tcPr>
          <w:p>
            <w:pPr>
              <w:spacing w:after="40"/>
            </w:pPr>
            <w:r>
              <w:rPr>
                <w:rFonts w:ascii="Aptos" w:hAnsi="Aptos"/>
                <w:b/>
                <w:i w:val="0"/>
                <w:color w:val="A16207"/>
                <w:sz w:val="21"/>
              </w:rPr>
              <w:t xml:space="preserve">WHY IT MATTERS  </w:t>
            </w:r>
            <w:r>
              <w:rPr>
                <w:rFonts w:ascii="Aptos" w:hAnsi="Aptos"/>
                <w:b w:val="0"/>
                <w:i w:val="0"/>
                <w:color w:val="172033"/>
                <w:sz w:val="21"/>
              </w:rPr>
              <w:t>PRAHARI does not wait for a completed fraud report. It identifies the coercion pattern as it develops and links consented evidence across reports so both citizens and officers can act earlier.</w:t>
            </w:r>
          </w:p>
        </w:tc>
      </w:tr>
    </w:tbl>
    <w:p>
      <w:pPr>
        <w:spacing w:after="20"/>
      </w:pPr>
    </w:p>
    <w:p>
      <w:pPr>
        <w:pStyle w:val="Heading1"/>
        <w:keepNext/>
      </w:pPr>
      <w:r>
        <w:t>1. Problem Statement</w:t>
      </w:r>
    </w:p>
    <w:p>
      <w:pPr>
        <w:spacing w:after="120" w:line="264" w:lineRule="auto"/>
      </w:pPr>
      <w:r>
        <w:rPr>
          <w:rFonts w:ascii="Aptos" w:hAnsi="Aptos"/>
          <w:b w:val="0"/>
          <w:i w:val="0"/>
          <w:color w:val="172033"/>
          <w:sz w:val="21"/>
        </w:rPr>
        <w:t>Digital-arrest scams combine authority impersonation, fabricated legal evidence, isolation, urgency, and a final payment demand. Victims are pressured to remain on a call, avoid family members, and transfer funds to a so-called safe account. Conventional reporting is often retrospective, after the transfer has occurred, while individual reports remain disconnected from the shared phone numbers, UPI IDs, and bank accounts used across a campaign.</w:t>
      </w:r>
    </w:p>
    <w:p>
      <w:pPr>
        <w:pStyle w:val="Heading2"/>
        <w:keepNext/>
      </w:pPr>
      <w:r>
        <w:t>Design Challenge</w:t>
      </w:r>
    </w:p>
    <w:p>
      <w:pPr>
        <w:pStyle w:val="ListBullet"/>
        <w:spacing w:after="100" w:line="264" w:lineRule="auto"/>
        <w:ind w:left="720" w:hanging="360"/>
      </w:pPr>
      <w:r>
        <w:rPr>
          <w:rFonts w:ascii="Aptos" w:hAnsi="Aptos"/>
          <w:b w:val="0"/>
          <w:i w:val="0"/>
          <w:color w:val="172033"/>
          <w:sz w:val="21"/>
        </w:rPr>
        <w:t>Warn a citizen during the scam without requiring technical knowledge.</w:t>
      </w:r>
    </w:p>
    <w:p>
      <w:pPr>
        <w:pStyle w:val="ListBullet"/>
        <w:spacing w:after="100" w:line="264" w:lineRule="auto"/>
        <w:ind w:left="720" w:hanging="360"/>
      </w:pPr>
      <w:r>
        <w:rPr>
          <w:rFonts w:ascii="Aptos" w:hAnsi="Aptos"/>
          <w:b w:val="0"/>
          <w:i w:val="0"/>
          <w:color w:val="172033"/>
          <w:sz w:val="21"/>
        </w:rPr>
        <w:t>Preserve privacy by keeping content local unless risk is found and the citizen explicitly consents.</w:t>
      </w:r>
    </w:p>
    <w:p>
      <w:pPr>
        <w:pStyle w:val="ListBullet"/>
        <w:spacing w:after="100" w:line="264" w:lineRule="auto"/>
        <w:ind w:left="720" w:hanging="360"/>
      </w:pPr>
      <w:r>
        <w:rPr>
          <w:rFonts w:ascii="Aptos" w:hAnsi="Aptos"/>
          <w:b w:val="0"/>
          <w:i w:val="0"/>
          <w:color w:val="172033"/>
          <w:sz w:val="21"/>
        </w:rPr>
        <w:t>Remain useful when the optional LLM or network is unavailable.</w:t>
      </w:r>
    </w:p>
    <w:p>
      <w:pPr>
        <w:pStyle w:val="ListBullet"/>
        <w:spacing w:after="100" w:line="264" w:lineRule="auto"/>
        <w:ind w:left="720" w:hanging="360"/>
      </w:pPr>
      <w:r>
        <w:rPr>
          <w:rFonts w:ascii="Aptos" w:hAnsi="Aptos"/>
          <w:b w:val="0"/>
          <w:i w:val="0"/>
          <w:color w:val="172033"/>
          <w:sz w:val="21"/>
        </w:rPr>
        <w:t>Turn minimal approved evidence into operational intelligence without claiming a legal determination.</w:t>
      </w:r>
    </w:p>
    <w:p>
      <w:pPr>
        <w:pStyle w:val="Heading1"/>
        <w:keepNext/>
      </w:pPr>
      <w:r>
        <w:t>2. Proposed Solution</w:t>
      </w:r>
    </w:p>
    <w:p>
      <w:pPr>
        <w:spacing w:after="120" w:line="264" w:lineRule="auto"/>
      </w:pPr>
      <w:r>
        <w:rPr>
          <w:rFonts w:ascii="Aptos" w:hAnsi="Aptos"/>
          <w:b w:val="0"/>
          <w:i w:val="0"/>
          <w:color w:val="172033"/>
          <w:sz w:val="21"/>
        </w:rPr>
        <w:t>PRAHARI closes the loop from citizen protection to officer prioritization. The web interface accepts live speech, pasted messages, or text files. A local deterministic pass detects scam phases and fuses their signals into SAFE, SUSPICIOUS, or CRITICAL. Critical results trigger a full-screen intervention with a direct 1930 action and a trusted-contact path. Only after consent does the backend persist evidence, create an audit record, and search for shared infrastructure in the graph.</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13213C"/>
            <w:tcMar>
              <w:top w:w="80" w:type="dxa"/>
              <w:start w:w="120" w:type="dxa"/>
              <w:bottom w:w="80" w:type="dxa"/>
              <w:end w:w="120" w:type="dxa"/>
            </w:tcMar>
            <w:vAlign w:val="center"/>
          </w:tcPr>
          <w:p>
            <w:pPr>
              <w:spacing w:after="0"/>
            </w:pPr>
            <w:r>
              <w:rPr>
                <w:rFonts w:ascii="Aptos" w:hAnsi="Aptos"/>
                <w:b/>
                <w:i w:val="0"/>
                <w:color w:val="FFFFFF"/>
                <w:sz w:val="19"/>
              </w:rPr>
              <w:t>Capability</w:t>
            </w:r>
          </w:p>
        </w:tc>
        <w:tc>
          <w:tcPr>
            <w:tcW w:type="dxa" w:w="7010"/>
            <w:shd w:fill="13213C"/>
            <w:tcMar>
              <w:top w:w="80" w:type="dxa"/>
              <w:start w:w="120" w:type="dxa"/>
              <w:bottom w:w="80" w:type="dxa"/>
              <w:end w:w="120" w:type="dxa"/>
            </w:tcMar>
            <w:vAlign w:val="center"/>
          </w:tcPr>
          <w:p>
            <w:pPr>
              <w:spacing w:after="0"/>
            </w:pPr>
            <w:r>
              <w:rPr>
                <w:rFonts w:ascii="Aptos" w:hAnsi="Aptos"/>
                <w:b/>
                <w:i w:val="0"/>
                <w:color w:val="FFFFFF"/>
                <w:sz w:val="19"/>
              </w:rPr>
              <w:t>Implemented behavior</w:t>
            </w:r>
          </w:p>
        </w:tc>
      </w:tr>
      <w:tr>
        <w:tc>
          <w:tcPr>
            <w:tcW w:type="dxa" w:w="2350"/>
            <w:tcMar>
              <w:top w:w="80" w:type="dxa"/>
              <w:start w:w="120" w:type="dxa"/>
              <w:bottom w:w="80" w:type="dxa"/>
              <w:end w:w="120" w:type="dxa"/>
            </w:tcMar>
            <w:vAlign w:val="center"/>
          </w:tcPr>
          <w:p>
            <w:pPr>
              <w:spacing w:after="0" w:line="240" w:lineRule="auto"/>
            </w:pPr>
            <w:r>
              <w:rPr>
                <w:rFonts w:ascii="Aptos" w:hAnsi="Aptos"/>
                <w:b w:val="0"/>
                <w:i w:val="0"/>
                <w:color w:val="172033"/>
                <w:sz w:val="18"/>
              </w:rPr>
              <w:t>Live protection</w:t>
            </w:r>
          </w:p>
        </w:tc>
        <w:tc>
          <w:tcPr>
            <w:tcW w:type="dxa" w:w="7010"/>
            <w:tcMar>
              <w:top w:w="80" w:type="dxa"/>
              <w:start w:w="120" w:type="dxa"/>
              <w:bottom w:w="80" w:type="dxa"/>
              <w:end w:w="120" w:type="dxa"/>
            </w:tcMar>
            <w:vAlign w:val="center"/>
          </w:tcPr>
          <w:p>
            <w:pPr>
              <w:spacing w:after="0" w:line="240" w:lineRule="auto"/>
            </w:pPr>
            <w:r>
              <w:rPr>
                <w:rFonts w:ascii="Aptos" w:hAnsi="Aptos"/>
                <w:b w:val="0"/>
                <w:i w:val="0"/>
                <w:color w:val="172033"/>
                <w:sz w:val="18"/>
              </w:rPr>
              <w:t>Interim browser speech and segmented local Whisper feed continuous on-device checks.</w:t>
            </w:r>
          </w:p>
        </w:tc>
      </w:tr>
      <w:tr>
        <w:tc>
          <w:tcPr>
            <w:tcW w:type="dxa" w:w="23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Five-phase detection</w:t>
            </w:r>
          </w:p>
        </w:tc>
        <w:tc>
          <w:tcPr>
            <w:tcW w:type="dxa" w:w="70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Hook, Authority, Fabricated Evidence, Isolation, and Drain update as the transcript grows.</w:t>
            </w:r>
          </w:p>
        </w:tc>
      </w:tr>
      <w:tr>
        <w:tc>
          <w:tcPr>
            <w:tcW w:type="dxa" w:w="2350"/>
            <w:tcMar>
              <w:top w:w="80" w:type="dxa"/>
              <w:start w:w="120" w:type="dxa"/>
              <w:bottom w:w="80" w:type="dxa"/>
              <w:end w:w="120" w:type="dxa"/>
            </w:tcMar>
            <w:vAlign w:val="center"/>
          </w:tcPr>
          <w:p>
            <w:pPr>
              <w:spacing w:after="0" w:line="240" w:lineRule="auto"/>
            </w:pPr>
            <w:r>
              <w:rPr>
                <w:rFonts w:ascii="Aptos" w:hAnsi="Aptos"/>
                <w:b w:val="0"/>
                <w:i w:val="0"/>
                <w:color w:val="172033"/>
                <w:sz w:val="18"/>
              </w:rPr>
              <w:t>Privacy gate</w:t>
            </w:r>
          </w:p>
        </w:tc>
        <w:tc>
          <w:tcPr>
            <w:tcW w:type="dxa" w:w="7010"/>
            <w:tcMar>
              <w:top w:w="80" w:type="dxa"/>
              <w:start w:w="120" w:type="dxa"/>
              <w:bottom w:w="80" w:type="dxa"/>
              <w:end w:w="120" w:type="dxa"/>
            </w:tcMar>
            <w:vAlign w:val="center"/>
          </w:tcPr>
          <w:p>
            <w:pPr>
              <w:spacing w:after="0" w:line="240" w:lineRule="auto"/>
            </w:pPr>
            <w:r>
              <w:rPr>
                <w:rFonts w:ascii="Aptos" w:hAnsi="Aptos"/>
                <w:b w:val="0"/>
                <w:i w:val="0"/>
                <w:color w:val="172033"/>
                <w:sz w:val="18"/>
              </w:rPr>
              <w:t>SAFE content is never sent; risky content exposes explicit evidence-scope choices.</w:t>
            </w:r>
          </w:p>
        </w:tc>
      </w:tr>
      <w:tr>
        <w:tc>
          <w:tcPr>
            <w:tcW w:type="dxa" w:w="23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Fraud intelligence</w:t>
            </w:r>
          </w:p>
        </w:tc>
        <w:tc>
          <w:tcPr>
            <w:tcW w:type="dxa" w:w="70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Phone numbers, UPI IDs, bank accounts, and claimed agencies collapse into shared graph nodes.</w:t>
            </w:r>
          </w:p>
        </w:tc>
      </w:tr>
      <w:tr>
        <w:tc>
          <w:tcPr>
            <w:tcW w:type="dxa" w:w="2350"/>
            <w:tcMar>
              <w:top w:w="80" w:type="dxa"/>
              <w:start w:w="120" w:type="dxa"/>
              <w:bottom w:w="80" w:type="dxa"/>
              <w:end w:w="120" w:type="dxa"/>
            </w:tcMar>
            <w:vAlign w:val="center"/>
          </w:tcPr>
          <w:p>
            <w:pPr>
              <w:spacing w:after="0" w:line="240" w:lineRule="auto"/>
            </w:pPr>
            <w:r>
              <w:rPr>
                <w:rFonts w:ascii="Aptos" w:hAnsi="Aptos"/>
                <w:b w:val="0"/>
                <w:i w:val="0"/>
                <w:color w:val="172033"/>
                <w:sz w:val="18"/>
              </w:rPr>
              <w:t>Officer command</w:t>
            </w:r>
          </w:p>
        </w:tc>
        <w:tc>
          <w:tcPr>
            <w:tcW w:type="dxa" w:w="7010"/>
            <w:tcMar>
              <w:top w:w="80" w:type="dxa"/>
              <w:start w:w="120" w:type="dxa"/>
              <w:bottom w:w="80" w:type="dxa"/>
              <w:end w:w="120" w:type="dxa"/>
            </w:tcMar>
            <w:vAlign w:val="center"/>
          </w:tcPr>
          <w:p>
            <w:pPr>
              <w:spacing w:after="0" w:line="240" w:lineRule="auto"/>
            </w:pPr>
            <w:r>
              <w:rPr>
                <w:rFonts w:ascii="Aptos" w:hAnsi="Aptos"/>
                <w:b w:val="0"/>
                <w:i w:val="0"/>
                <w:color w:val="172033"/>
                <w:sz w:val="18"/>
              </w:rPr>
              <w:t>Incident queue, KPIs, ranked rings, hubs, graph exploration, and evidence packages.</w:t>
            </w:r>
          </w:p>
        </w:tc>
      </w:tr>
    </w:tbl>
    <w:p>
      <w:pPr>
        <w:spacing w:after="20"/>
      </w:pPr>
    </w:p>
    <w:p>
      <w:pPr>
        <w:pStyle w:val="Heading1"/>
        <w:keepNext/>
      </w:pPr>
      <w:r>
        <w:t>3. System Architecture</w:t>
      </w:r>
    </w:p>
    <w:p>
      <w:pPr>
        <w:spacing w:after="80"/>
        <w:jc w:val="center"/>
      </w:pPr>
      <w:r>
        <w:drawing>
          <wp:inline xmlns:a="http://schemas.openxmlformats.org/drawingml/2006/main" xmlns:pic="http://schemas.openxmlformats.org/drawingml/2006/picture">
            <wp:extent cx="5897880" cy="317830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178302"/>
                    </a:xfrm>
                    <a:prstGeom prst="rect"/>
                  </pic:spPr>
                </pic:pic>
              </a:graphicData>
            </a:graphic>
          </wp:inline>
        </w:drawing>
      </w:r>
    </w:p>
    <w:p>
      <w:pPr>
        <w:jc w:val="center"/>
      </w:pPr>
      <w:r>
        <w:rPr>
          <w:rFonts w:ascii="Aptos" w:hAnsi="Aptos"/>
          <w:b w:val="0"/>
          <w:i/>
          <w:color w:val="5D6678"/>
          <w:sz w:val="17"/>
        </w:rPr>
        <w:t>Figure 1. Device-first analysis, consent boundary, persistence, graph intelligence, and officer workflow.</w:t>
      </w:r>
    </w:p>
    <w:p>
      <w:pPr>
        <w:pStyle w:val="Heading2"/>
        <w:keepNext/>
      </w:pPr>
      <w:r>
        <w:t>Technology Stack</w:t>
      </w:r>
    </w:p>
    <w:tbl>
      <w:tblPr>
        <w:tblStyle w:val="TableGrid"/>
        <w:tblW w:type="dxa" w:w="9360"/>
        <w:jc w:val="left"/>
        <w:tblLayout w:type="fixed"/>
        <w:tblLook w:firstColumn="1" w:firstRow="1" w:lastColumn="0" w:lastRow="0" w:noHBand="0" w:noVBand="1" w:val="04A0"/>
        <w:tblInd w:w="120" w:type="dxa"/>
      </w:tblPr>
      <w:tblGrid>
        <w:gridCol w:w="1650"/>
        <w:gridCol w:w="2760"/>
        <w:gridCol w:w="4950"/>
      </w:tblGrid>
      <w:tr>
        <w:trPr>
          <w:tblHeader w:val="true"/>
        </w:trPr>
        <w:tc>
          <w:tcPr>
            <w:tcW w:type="dxa" w:w="1650"/>
            <w:shd w:fill="13213C"/>
            <w:tcMar>
              <w:top w:w="80" w:type="dxa"/>
              <w:start w:w="120" w:type="dxa"/>
              <w:bottom w:w="80" w:type="dxa"/>
              <w:end w:w="120" w:type="dxa"/>
            </w:tcMar>
            <w:vAlign w:val="center"/>
          </w:tcPr>
          <w:p>
            <w:pPr>
              <w:spacing w:after="0"/>
            </w:pPr>
            <w:r>
              <w:rPr>
                <w:rFonts w:ascii="Aptos" w:hAnsi="Aptos"/>
                <w:b/>
                <w:i w:val="0"/>
                <w:color w:val="FFFFFF"/>
                <w:sz w:val="19"/>
              </w:rPr>
              <w:t>Layer</w:t>
            </w:r>
          </w:p>
        </w:tc>
        <w:tc>
          <w:tcPr>
            <w:tcW w:type="dxa" w:w="2760"/>
            <w:shd w:fill="13213C"/>
            <w:tcMar>
              <w:top w:w="80" w:type="dxa"/>
              <w:start w:w="120" w:type="dxa"/>
              <w:bottom w:w="80" w:type="dxa"/>
              <w:end w:w="120" w:type="dxa"/>
            </w:tcMar>
            <w:vAlign w:val="center"/>
          </w:tcPr>
          <w:p>
            <w:pPr>
              <w:spacing w:after="0"/>
            </w:pPr>
            <w:r>
              <w:rPr>
                <w:rFonts w:ascii="Aptos" w:hAnsi="Aptos"/>
                <w:b/>
                <w:i w:val="0"/>
                <w:color w:val="FFFFFF"/>
                <w:sz w:val="19"/>
              </w:rPr>
              <w:t>Technology</w:t>
            </w:r>
          </w:p>
        </w:tc>
        <w:tc>
          <w:tcPr>
            <w:tcW w:type="dxa" w:w="4950"/>
            <w:shd w:fill="13213C"/>
            <w:tcMar>
              <w:top w:w="80" w:type="dxa"/>
              <w:start w:w="120" w:type="dxa"/>
              <w:bottom w:w="80" w:type="dxa"/>
              <w:end w:w="120" w:type="dxa"/>
            </w:tcMar>
            <w:vAlign w:val="center"/>
          </w:tcPr>
          <w:p>
            <w:pPr>
              <w:spacing w:after="0"/>
            </w:pPr>
            <w:r>
              <w:rPr>
                <w:rFonts w:ascii="Aptos" w:hAnsi="Aptos"/>
                <w:b/>
                <w:i w:val="0"/>
                <w:color w:val="FFFFFF"/>
                <w:sz w:val="19"/>
              </w:rPr>
              <w:t>Role</w:t>
            </w:r>
          </w:p>
        </w:tc>
      </w:tr>
      <w:tr>
        <w:tc>
          <w:tcPr>
            <w:tcW w:type="dxa" w:w="1650"/>
            <w:tcMar>
              <w:top w:w="80" w:type="dxa"/>
              <w:start w:w="120" w:type="dxa"/>
              <w:bottom w:w="80" w:type="dxa"/>
              <w:end w:w="120" w:type="dxa"/>
            </w:tcMar>
            <w:vAlign w:val="center"/>
          </w:tcPr>
          <w:p>
            <w:pPr>
              <w:spacing w:after="0" w:line="240" w:lineRule="auto"/>
            </w:pPr>
            <w:r>
              <w:rPr>
                <w:rFonts w:ascii="Aptos" w:hAnsi="Aptos"/>
                <w:b w:val="0"/>
                <w:i w:val="0"/>
                <w:color w:val="172033"/>
                <w:sz w:val="18"/>
              </w:rPr>
              <w:t>Citizen web</w:t>
            </w:r>
          </w:p>
        </w:tc>
        <w:tc>
          <w:tcPr>
            <w:tcW w:type="dxa" w:w="2760"/>
            <w:tcMar>
              <w:top w:w="80" w:type="dxa"/>
              <w:start w:w="120" w:type="dxa"/>
              <w:bottom w:w="80" w:type="dxa"/>
              <w:end w:w="120" w:type="dxa"/>
            </w:tcMar>
            <w:vAlign w:val="center"/>
          </w:tcPr>
          <w:p>
            <w:pPr>
              <w:spacing w:after="0" w:line="240" w:lineRule="auto"/>
            </w:pPr>
            <w:r>
              <w:rPr>
                <w:rFonts w:ascii="Aptos" w:hAnsi="Aptos"/>
                <w:b w:val="0"/>
                <w:i w:val="0"/>
                <w:color w:val="172033"/>
                <w:sz w:val="18"/>
              </w:rPr>
              <w:t>Next.js 16, React 19, Tailwind CSS</w:t>
            </w:r>
          </w:p>
        </w:tc>
        <w:tc>
          <w:tcPr>
            <w:tcW w:type="dxa" w:w="4950"/>
            <w:tcMar>
              <w:top w:w="80" w:type="dxa"/>
              <w:start w:w="120" w:type="dxa"/>
              <w:bottom w:w="80" w:type="dxa"/>
              <w:end w:w="120" w:type="dxa"/>
            </w:tcMar>
            <w:vAlign w:val="center"/>
          </w:tcPr>
          <w:p>
            <w:pPr>
              <w:spacing w:after="0" w:line="240" w:lineRule="auto"/>
            </w:pPr>
            <w:r>
              <w:rPr>
                <w:rFonts w:ascii="Aptos" w:hAnsi="Aptos"/>
                <w:b w:val="0"/>
                <w:i w:val="0"/>
                <w:color w:val="172033"/>
                <w:sz w:val="18"/>
              </w:rPr>
              <w:t>Accessible live check, evidence review, intervention, and complaint drafting</w:t>
            </w:r>
          </w:p>
        </w:tc>
      </w:tr>
      <w:tr>
        <w:tc>
          <w:tcPr>
            <w:tcW w:type="dxa" w:w="16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Local speech</w:t>
            </w:r>
          </w:p>
        </w:tc>
        <w:tc>
          <w:tcPr>
            <w:tcW w:type="dxa" w:w="27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SpeechRecognition + Transformers.js Whisper</w:t>
            </w:r>
          </w:p>
        </w:tc>
        <w:tc>
          <w:tcPr>
            <w:tcW w:type="dxa" w:w="49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Instant browser capture and private Web Worker transcription</w:t>
            </w:r>
          </w:p>
        </w:tc>
      </w:tr>
      <w:tr>
        <w:tc>
          <w:tcPr>
            <w:tcW w:type="dxa" w:w="1650"/>
            <w:tcMar>
              <w:top w:w="80" w:type="dxa"/>
              <w:start w:w="120" w:type="dxa"/>
              <w:bottom w:w="80" w:type="dxa"/>
              <w:end w:w="120" w:type="dxa"/>
            </w:tcMar>
            <w:vAlign w:val="center"/>
          </w:tcPr>
          <w:p>
            <w:pPr>
              <w:spacing w:after="0" w:line="240" w:lineRule="auto"/>
            </w:pPr>
            <w:r>
              <w:rPr>
                <w:rFonts w:ascii="Aptos" w:hAnsi="Aptos"/>
                <w:b w:val="0"/>
                <w:i w:val="0"/>
                <w:color w:val="172033"/>
                <w:sz w:val="18"/>
              </w:rPr>
              <w:t>Detection</w:t>
            </w:r>
          </w:p>
        </w:tc>
        <w:tc>
          <w:tcPr>
            <w:tcW w:type="dxa" w:w="2760"/>
            <w:tcMar>
              <w:top w:w="80" w:type="dxa"/>
              <w:start w:w="120" w:type="dxa"/>
              <w:bottom w:w="80" w:type="dxa"/>
              <w:end w:w="120" w:type="dxa"/>
            </w:tcMar>
            <w:vAlign w:val="center"/>
          </w:tcPr>
          <w:p>
            <w:pPr>
              <w:spacing w:after="0" w:line="240" w:lineRule="auto"/>
            </w:pPr>
            <w:r>
              <w:rPr>
                <w:rFonts w:ascii="Aptos" w:hAnsi="Aptos"/>
                <w:b w:val="0"/>
                <w:i w:val="0"/>
                <w:color w:val="172033"/>
                <w:sz w:val="18"/>
              </w:rPr>
              <w:t>Mit deterministic rules + optional structured LLM</w:t>
            </w:r>
          </w:p>
        </w:tc>
        <w:tc>
          <w:tcPr>
            <w:tcW w:type="dxa" w:w="4950"/>
            <w:tcMar>
              <w:top w:w="80" w:type="dxa"/>
              <w:start w:w="120" w:type="dxa"/>
              <w:bottom w:w="80" w:type="dxa"/>
              <w:end w:w="120" w:type="dxa"/>
            </w:tcMar>
            <w:vAlign w:val="center"/>
          </w:tcPr>
          <w:p>
            <w:pPr>
              <w:spacing w:after="0" w:line="240" w:lineRule="auto"/>
            </w:pPr>
            <w:r>
              <w:rPr>
                <w:rFonts w:ascii="Aptos" w:hAnsi="Aptos"/>
                <w:b w:val="0"/>
                <w:i w:val="0"/>
                <w:color w:val="172033"/>
                <w:sz w:val="18"/>
              </w:rPr>
              <w:t>Phase detection, entities, evidence spans, fusion, and fallback</w:t>
            </w:r>
          </w:p>
        </w:tc>
      </w:tr>
      <w:tr>
        <w:tc>
          <w:tcPr>
            <w:tcW w:type="dxa" w:w="16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Application API</w:t>
            </w:r>
          </w:p>
        </w:tc>
        <w:tc>
          <w:tcPr>
            <w:tcW w:type="dxa" w:w="27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FastAPI, Pydantic, SQLAlchemy, Alembic</w:t>
            </w:r>
          </w:p>
        </w:tc>
        <w:tc>
          <w:tcPr>
            <w:tcW w:type="dxa" w:w="49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Consent validation, persistence, audit, lifecycle, and dashboard APIs</w:t>
            </w:r>
          </w:p>
        </w:tc>
      </w:tr>
      <w:tr>
        <w:tc>
          <w:tcPr>
            <w:tcW w:type="dxa" w:w="1650"/>
            <w:tcMar>
              <w:top w:w="80" w:type="dxa"/>
              <w:start w:w="120" w:type="dxa"/>
              <w:bottom w:w="80" w:type="dxa"/>
              <w:end w:w="120" w:type="dxa"/>
            </w:tcMar>
            <w:vAlign w:val="center"/>
          </w:tcPr>
          <w:p>
            <w:pPr>
              <w:spacing w:after="0" w:line="240" w:lineRule="auto"/>
            </w:pPr>
            <w:r>
              <w:rPr>
                <w:rFonts w:ascii="Aptos" w:hAnsi="Aptos"/>
                <w:b w:val="0"/>
                <w:i w:val="0"/>
                <w:color w:val="172033"/>
                <w:sz w:val="18"/>
              </w:rPr>
              <w:t>Data</w:t>
            </w:r>
          </w:p>
        </w:tc>
        <w:tc>
          <w:tcPr>
            <w:tcW w:type="dxa" w:w="2760"/>
            <w:tcMar>
              <w:top w:w="80" w:type="dxa"/>
              <w:start w:w="120" w:type="dxa"/>
              <w:bottom w:w="80" w:type="dxa"/>
              <w:end w:w="120" w:type="dxa"/>
            </w:tcMar>
            <w:vAlign w:val="center"/>
          </w:tcPr>
          <w:p>
            <w:pPr>
              <w:spacing w:after="0" w:line="240" w:lineRule="auto"/>
            </w:pPr>
            <w:r>
              <w:rPr>
                <w:rFonts w:ascii="Aptos" w:hAnsi="Aptos"/>
                <w:b w:val="0"/>
                <w:i w:val="0"/>
                <w:color w:val="172033"/>
                <w:sz w:val="18"/>
              </w:rPr>
              <w:t>PostgreSQL + Neo4j GDS</w:t>
            </w:r>
          </w:p>
        </w:tc>
        <w:tc>
          <w:tcPr>
            <w:tcW w:type="dxa" w:w="4950"/>
            <w:tcMar>
              <w:top w:w="80" w:type="dxa"/>
              <w:start w:w="120" w:type="dxa"/>
              <w:bottom w:w="80" w:type="dxa"/>
              <w:end w:w="120" w:type="dxa"/>
            </w:tcMar>
            <w:vAlign w:val="center"/>
          </w:tcPr>
          <w:p>
            <w:pPr>
              <w:spacing w:after="0" w:line="240" w:lineRule="auto"/>
            </w:pPr>
            <w:r>
              <w:rPr>
                <w:rFonts w:ascii="Aptos" w:hAnsi="Aptos"/>
                <w:b w:val="0"/>
                <w:i w:val="0"/>
                <w:color w:val="172033"/>
                <w:sz w:val="18"/>
              </w:rPr>
              <w:t>Incident/audit records and connected fraud infrastructure</w:t>
            </w:r>
          </w:p>
        </w:tc>
      </w:tr>
      <w:tr>
        <w:tc>
          <w:tcPr>
            <w:tcW w:type="dxa" w:w="16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Deployment</w:t>
            </w:r>
          </w:p>
        </w:tc>
        <w:tc>
          <w:tcPr>
            <w:tcW w:type="dxa" w:w="27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Docker Compose</w:t>
            </w:r>
          </w:p>
        </w:tc>
        <w:tc>
          <w:tcPr>
            <w:tcW w:type="dxa" w:w="49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Repeatable frontend, backend, database, and graph services</w:t>
            </w:r>
          </w:p>
        </w:tc>
      </w:tr>
    </w:tbl>
    <w:p>
      <w:pPr>
        <w:spacing w:after="20"/>
      </w:pPr>
    </w:p>
    <w:p>
      <w:pPr>
        <w:pStyle w:val="Heading1"/>
        <w:keepNext/>
      </w:pPr>
      <w:r>
        <w:t>4. Citizen Experience</w:t>
      </w:r>
    </w:p>
    <w:p>
      <w:pPr>
        <w:pStyle w:val="Heading2"/>
        <w:keepNext/>
      </w:pPr>
      <w:r>
        <w:t>Common-man-first interaction</w:t>
      </w:r>
    </w:p>
    <w:p>
      <w:pPr>
        <w:spacing w:after="120" w:line="264" w:lineRule="auto"/>
      </w:pPr>
      <w:r>
        <w:rPr>
          <w:rFonts w:ascii="Aptos" w:hAnsi="Aptos"/>
          <w:b w:val="0"/>
          <w:i w:val="0"/>
          <w:color w:val="172033"/>
          <w:sz w:val="21"/>
        </w:rPr>
        <w:t>The default route asks one direct question: Is this call or message a scam? The primary option is Protect me during a call. Controls use plain language, large actions, visible privacy status, and a single critical instruction: Stop. Do not send money. The design avoids requiring an account and keeps optional reporting controls collapsed until needed.</w:t>
      </w:r>
    </w:p>
    <w:p>
      <w:pPr>
        <w:pStyle w:val="Heading2"/>
        <w:keepNext/>
      </w:pPr>
      <w:r>
        <w:t>Hybrid speech capture</w:t>
      </w:r>
    </w:p>
    <w:p>
      <w:pPr>
        <w:pStyle w:val="ListBullet"/>
        <w:spacing w:after="100" w:line="264" w:lineRule="auto"/>
        <w:ind w:left="720" w:hanging="360"/>
      </w:pPr>
      <w:r>
        <w:rPr>
          <w:rFonts w:ascii="Aptos" w:hAnsi="Aptos"/>
          <w:b w:val="0"/>
          <w:i w:val="0"/>
          <w:color w:val="172033"/>
          <w:sz w:val="21"/>
        </w:rPr>
        <w:t>Fast mode uses browser SpeechRecognition for immediate transcription and clearly warns that the browser vendor may process audio online.</w:t>
      </w:r>
    </w:p>
    <w:p>
      <w:pPr>
        <w:pStyle w:val="ListBullet"/>
        <w:spacing w:after="100" w:line="264" w:lineRule="auto"/>
        <w:ind w:left="720" w:hanging="360"/>
      </w:pPr>
      <w:r>
        <w:rPr>
          <w:rFonts w:ascii="Aptos" w:hAnsi="Aptos"/>
          <w:b w:val="0"/>
          <w:i w:val="0"/>
          <w:color w:val="172033"/>
          <w:sz w:val="21"/>
        </w:rPr>
        <w:t>Private mode downloads Whisper once, then transcribes short microphone segments in a Web Worker using WebGPU or WebAssembly.</w:t>
      </w:r>
    </w:p>
    <w:p>
      <w:pPr>
        <w:pStyle w:val="ListBullet"/>
        <w:spacing w:after="100" w:line="264" w:lineRule="auto"/>
        <w:ind w:left="720" w:hanging="360"/>
      </w:pPr>
      <w:r>
        <w:rPr>
          <w:rFonts w:ascii="Aptos" w:hAnsi="Aptos"/>
          <w:b w:val="0"/>
          <w:i w:val="0"/>
          <w:color w:val="172033"/>
          <w:sz w:val="21"/>
        </w:rPr>
        <w:t>The language selector includes English and all 22 scheduled Indian languages; low-resource offline cases are labeled best-effort.</w:t>
      </w:r>
    </w:p>
    <w:p>
      <w:pPr>
        <w:pStyle w:val="ListBullet"/>
        <w:spacing w:after="100" w:line="264" w:lineRule="auto"/>
        <w:ind w:left="720" w:hanging="360"/>
      </w:pPr>
      <w:r>
        <w:rPr>
          <w:rFonts w:ascii="Aptos" w:hAnsi="Aptos"/>
          <w:b w:val="0"/>
          <w:i w:val="0"/>
          <w:color w:val="172033"/>
          <w:sz w:val="21"/>
        </w:rPr>
        <w:t>The live demo feeds the same local analysis path and demonstrates intervention before the synthetic payment request.</w:t>
      </w:r>
    </w:p>
    <w:p>
      <w:pPr>
        <w:jc w:val="center"/>
      </w:pPr>
      <w:r>
        <w:drawing>
          <wp:inline xmlns:a="http://schemas.openxmlformats.org/drawingml/2006/main" xmlns:pic="http://schemas.openxmlformats.org/drawingml/2006/picture">
            <wp:extent cx="5897880" cy="2686812"/>
            <wp:docPr id="2" name="Picture 2"/>
            <wp:cNvGraphicFramePr>
              <a:graphicFrameLocks noChangeAspect="1"/>
            </wp:cNvGraphicFramePr>
            <a:graphic>
              <a:graphicData uri="http://schemas.openxmlformats.org/drawingml/2006/picture">
                <pic:pic>
                  <pic:nvPicPr>
                    <pic:cNvPr id="0" name="live_flow.png"/>
                    <pic:cNvPicPr/>
                  </pic:nvPicPr>
                  <pic:blipFill>
                    <a:blip r:embed="rId12"/>
                    <a:stretch>
                      <a:fillRect/>
                    </a:stretch>
                  </pic:blipFill>
                  <pic:spPr>
                    <a:xfrm>
                      <a:off x="0" y="0"/>
                      <a:ext cx="5897880" cy="2686812"/>
                    </a:xfrm>
                    <a:prstGeom prst="rect"/>
                  </pic:spPr>
                </pic:pic>
              </a:graphicData>
            </a:graphic>
          </wp:inline>
        </w:drawing>
      </w:r>
    </w:p>
    <w:p>
      <w:pPr>
        <w:jc w:val="center"/>
      </w:pPr>
      <w:r>
        <w:rPr>
          <w:rFonts w:ascii="Aptos" w:hAnsi="Aptos"/>
          <w:b w:val="0"/>
          <w:i/>
          <w:color w:val="5D6678"/>
          <w:sz w:val="17"/>
        </w:rPr>
        <w:t>Figure 2. Progressive phase detection and citizen intervention.</w:t>
      </w:r>
    </w:p>
    <w:p>
      <w:pPr>
        <w:pStyle w:val="Heading1"/>
        <w:keepNext/>
      </w:pPr>
      <w:r>
        <w:t>5. AI/ML Detection Pipeline</w:t>
      </w:r>
    </w:p>
    <w:p>
      <w:pPr>
        <w:spacing w:after="120" w:line="264" w:lineRule="auto"/>
      </w:pPr>
      <w:r>
        <w:rPr>
          <w:rFonts w:ascii="Aptos" w:hAnsi="Aptos"/>
          <w:b w:val="0"/>
          <w:i w:val="0"/>
          <w:color w:val="172033"/>
          <w:sz w:val="21"/>
        </w:rPr>
        <w:t>Mit's module provides the detection core. A deterministic rule engine identifies authority, isolation, payment, fabricated legal evidence, urgency, and scam-hook patterns. The optional structured classifier adds phase detection, entity extraction, evidence spans, confidence, and plain-language reasoning. Calibrated fusion produces the final risk label. When the classifier is unavailable, the same API returns an offline safety verdict instead of failing.</w:t>
      </w:r>
    </w:p>
    <w:tbl>
      <w:tblPr>
        <w:tblStyle w:val="TableGrid"/>
        <w:tblW w:type="dxa" w:w="9360"/>
        <w:jc w:val="left"/>
        <w:tblLayout w:type="fixed"/>
        <w:tblLook w:firstColumn="1" w:firstRow="1" w:lastColumn="0" w:lastRow="0" w:noHBand="0" w:noVBand="1" w:val="04A0"/>
        <w:tblInd w:w="120" w:type="dxa"/>
      </w:tblPr>
      <w:tblGrid>
        <w:gridCol w:w="1900"/>
        <w:gridCol w:w="2770"/>
        <w:gridCol w:w="4690"/>
      </w:tblGrid>
      <w:tr>
        <w:trPr>
          <w:tblHeader w:val="true"/>
        </w:trPr>
        <w:tc>
          <w:tcPr>
            <w:tcW w:type="dxa" w:w="1900"/>
            <w:shd w:fill="13213C"/>
            <w:tcMar>
              <w:top w:w="80" w:type="dxa"/>
              <w:start w:w="120" w:type="dxa"/>
              <w:bottom w:w="80" w:type="dxa"/>
              <w:end w:w="120" w:type="dxa"/>
            </w:tcMar>
            <w:vAlign w:val="center"/>
          </w:tcPr>
          <w:p>
            <w:pPr>
              <w:spacing w:after="0"/>
            </w:pPr>
            <w:r>
              <w:rPr>
                <w:rFonts w:ascii="Aptos" w:hAnsi="Aptos"/>
                <w:b/>
                <w:i w:val="0"/>
                <w:color w:val="FFFFFF"/>
                <w:sz w:val="19"/>
              </w:rPr>
              <w:t>Stage</w:t>
            </w:r>
          </w:p>
        </w:tc>
        <w:tc>
          <w:tcPr>
            <w:tcW w:type="dxa" w:w="2770"/>
            <w:shd w:fill="13213C"/>
            <w:tcMar>
              <w:top w:w="80" w:type="dxa"/>
              <w:start w:w="120" w:type="dxa"/>
              <w:bottom w:w="80" w:type="dxa"/>
              <w:end w:w="120" w:type="dxa"/>
            </w:tcMar>
            <w:vAlign w:val="center"/>
          </w:tcPr>
          <w:p>
            <w:pPr>
              <w:spacing w:after="0"/>
            </w:pPr>
            <w:r>
              <w:rPr>
                <w:rFonts w:ascii="Aptos" w:hAnsi="Aptos"/>
                <w:b/>
                <w:i w:val="0"/>
                <w:color w:val="FFFFFF"/>
                <w:sz w:val="19"/>
              </w:rPr>
              <w:t>Output</w:t>
            </w:r>
          </w:p>
        </w:tc>
        <w:tc>
          <w:tcPr>
            <w:tcW w:type="dxa" w:w="4690"/>
            <w:shd w:fill="13213C"/>
            <w:tcMar>
              <w:top w:w="80" w:type="dxa"/>
              <w:start w:w="120" w:type="dxa"/>
              <w:bottom w:w="80" w:type="dxa"/>
              <w:end w:w="120" w:type="dxa"/>
            </w:tcMar>
            <w:vAlign w:val="center"/>
          </w:tcPr>
          <w:p>
            <w:pPr>
              <w:spacing w:after="0"/>
            </w:pPr>
            <w:r>
              <w:rPr>
                <w:rFonts w:ascii="Aptos" w:hAnsi="Aptos"/>
                <w:b/>
                <w:i w:val="0"/>
                <w:color w:val="FFFFFF"/>
                <w:sz w:val="19"/>
              </w:rPr>
              <w:t>Operational value</w:t>
            </w:r>
          </w:p>
        </w:tc>
      </w:tr>
      <w:tr>
        <w:tc>
          <w:tcPr>
            <w:tcW w:type="dxa" w:w="1900"/>
            <w:tcMar>
              <w:top w:w="80" w:type="dxa"/>
              <w:start w:w="120" w:type="dxa"/>
              <w:bottom w:w="80" w:type="dxa"/>
              <w:end w:w="120" w:type="dxa"/>
            </w:tcMar>
            <w:vAlign w:val="center"/>
          </w:tcPr>
          <w:p>
            <w:pPr>
              <w:spacing w:after="0" w:line="240" w:lineRule="auto"/>
            </w:pPr>
            <w:r>
              <w:rPr>
                <w:rFonts w:ascii="Aptos" w:hAnsi="Aptos"/>
                <w:b w:val="0"/>
                <w:i w:val="0"/>
                <w:color w:val="172033"/>
                <w:sz w:val="18"/>
              </w:rPr>
              <w:t>Rules</w:t>
            </w:r>
          </w:p>
        </w:tc>
        <w:tc>
          <w:tcPr>
            <w:tcW w:type="dxa" w:w="2770"/>
            <w:tcMar>
              <w:top w:w="80" w:type="dxa"/>
              <w:start w:w="120" w:type="dxa"/>
              <w:bottom w:w="80" w:type="dxa"/>
              <w:end w:w="120" w:type="dxa"/>
            </w:tcMar>
            <w:vAlign w:val="center"/>
          </w:tcPr>
          <w:p>
            <w:pPr>
              <w:spacing w:after="0" w:line="240" w:lineRule="auto"/>
            </w:pPr>
            <w:r>
              <w:rPr>
                <w:rFonts w:ascii="Aptos" w:hAnsi="Aptos"/>
                <w:b w:val="0"/>
                <w:i w:val="0"/>
                <w:color w:val="172033"/>
                <w:sz w:val="18"/>
              </w:rPr>
              <w:t>Matched categories, evidence, score</w:t>
            </w:r>
          </w:p>
        </w:tc>
        <w:tc>
          <w:tcPr>
            <w:tcW w:type="dxa" w:w="4690"/>
            <w:tcMar>
              <w:top w:w="80" w:type="dxa"/>
              <w:start w:w="120" w:type="dxa"/>
              <w:bottom w:w="80" w:type="dxa"/>
              <w:end w:w="120" w:type="dxa"/>
            </w:tcMar>
            <w:vAlign w:val="center"/>
          </w:tcPr>
          <w:p>
            <w:pPr>
              <w:spacing w:after="0" w:line="240" w:lineRule="auto"/>
            </w:pPr>
            <w:r>
              <w:rPr>
                <w:rFonts w:ascii="Aptos" w:hAnsi="Aptos"/>
                <w:b w:val="0"/>
                <w:i w:val="0"/>
                <w:color w:val="172033"/>
                <w:sz w:val="18"/>
              </w:rPr>
              <w:t>Deterministic, fast, explainable, and offline</w:t>
            </w:r>
          </w:p>
        </w:tc>
      </w:tr>
      <w:tr>
        <w:tc>
          <w:tcPr>
            <w:tcW w:type="dxa" w:w="19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Structured classifier</w:t>
            </w:r>
          </w:p>
        </w:tc>
        <w:tc>
          <w:tcPr>
            <w:tcW w:type="dxa" w:w="277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Phases, entities, spans, confidence</w:t>
            </w:r>
          </w:p>
        </w:tc>
        <w:tc>
          <w:tcPr>
            <w:tcW w:type="dxa" w:w="469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Richer reasoning when a model is available</w:t>
            </w:r>
          </w:p>
        </w:tc>
      </w:tr>
      <w:tr>
        <w:tc>
          <w:tcPr>
            <w:tcW w:type="dxa" w:w="1900"/>
            <w:tcMar>
              <w:top w:w="80" w:type="dxa"/>
              <w:start w:w="120" w:type="dxa"/>
              <w:bottom w:w="80" w:type="dxa"/>
              <w:end w:w="120" w:type="dxa"/>
            </w:tcMar>
            <w:vAlign w:val="center"/>
          </w:tcPr>
          <w:p>
            <w:pPr>
              <w:spacing w:after="0" w:line="240" w:lineRule="auto"/>
            </w:pPr>
            <w:r>
              <w:rPr>
                <w:rFonts w:ascii="Aptos" w:hAnsi="Aptos"/>
                <w:b w:val="0"/>
                <w:i w:val="0"/>
                <w:color w:val="172033"/>
                <w:sz w:val="18"/>
              </w:rPr>
              <w:t>Fusion</w:t>
            </w:r>
          </w:p>
        </w:tc>
        <w:tc>
          <w:tcPr>
            <w:tcW w:type="dxa" w:w="2770"/>
            <w:tcMar>
              <w:top w:w="80" w:type="dxa"/>
              <w:start w:w="120" w:type="dxa"/>
              <w:bottom w:w="80" w:type="dxa"/>
              <w:end w:w="120" w:type="dxa"/>
            </w:tcMar>
            <w:vAlign w:val="center"/>
          </w:tcPr>
          <w:p>
            <w:pPr>
              <w:spacing w:after="0" w:line="240" w:lineRule="auto"/>
            </w:pPr>
            <w:r>
              <w:rPr>
                <w:rFonts w:ascii="Aptos" w:hAnsi="Aptos"/>
                <w:b w:val="0"/>
                <w:i w:val="0"/>
                <w:color w:val="172033"/>
                <w:sz w:val="18"/>
              </w:rPr>
              <w:t>SAFE / SUSPICIOUS / CRITICAL</w:t>
            </w:r>
          </w:p>
        </w:tc>
        <w:tc>
          <w:tcPr>
            <w:tcW w:type="dxa" w:w="4690"/>
            <w:tcMar>
              <w:top w:w="80" w:type="dxa"/>
              <w:start w:w="120" w:type="dxa"/>
              <w:bottom w:w="80" w:type="dxa"/>
              <w:end w:w="120" w:type="dxa"/>
            </w:tcMar>
            <w:vAlign w:val="center"/>
          </w:tcPr>
          <w:p>
            <w:pPr>
              <w:spacing w:after="0" w:line="240" w:lineRule="auto"/>
            </w:pPr>
            <w:r>
              <w:rPr>
                <w:rFonts w:ascii="Aptos" w:hAnsi="Aptos"/>
                <w:b w:val="0"/>
                <w:i w:val="0"/>
                <w:color w:val="172033"/>
                <w:sz w:val="18"/>
              </w:rPr>
              <w:t>Consistent intervention and persistence thresholds</w:t>
            </w:r>
          </w:p>
        </w:tc>
      </w:tr>
      <w:tr>
        <w:tc>
          <w:tcPr>
            <w:tcW w:type="dxa" w:w="19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Incremental analysis</w:t>
            </w:r>
          </w:p>
        </w:tc>
        <w:tc>
          <w:tcPr>
            <w:tcW w:type="dxa" w:w="277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Delta signals per transcript chunk</w:t>
            </w:r>
          </w:p>
        </w:tc>
        <w:tc>
          <w:tcPr>
            <w:tcW w:type="dxa" w:w="469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Escalates while the conversation develops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CFDF5"/>
          </w:tcPr>
          <w:p>
            <w:pPr>
              <w:spacing w:after="40"/>
            </w:pPr>
            <w:r>
              <w:rPr>
                <w:rFonts w:ascii="Aptos" w:hAnsi="Aptos"/>
                <w:b/>
                <w:i w:val="0"/>
                <w:color w:val="0F766E"/>
                <w:sz w:val="21"/>
              </w:rPr>
              <w:t xml:space="preserve">OFFLINE GUARANTEE  </w:t>
            </w:r>
            <w:r>
              <w:rPr>
                <w:rFonts w:ascii="Aptos" w:hAnsi="Aptos"/>
                <w:b w:val="0"/>
                <w:i w:val="0"/>
                <w:color w:val="172033"/>
                <w:sz w:val="21"/>
              </w:rPr>
              <w:t>Intermediate live chunks never require the LLM. The final path also falls back to rules-only analysis when the model is disabled, unavailable, or missing a key.</w:t>
            </w:r>
          </w:p>
        </w:tc>
      </w:tr>
    </w:tbl>
    <w:p>
      <w:pPr>
        <w:spacing w:after="20"/>
      </w:pPr>
    </w:p>
    <w:p>
      <w:pPr>
        <w:pStyle w:val="Heading1"/>
        <w:keepNext/>
      </w:pPr>
      <w:r>
        <w:t>6. Privacy, Consent, and Safety</w:t>
      </w:r>
    </w:p>
    <w:p>
      <w:pPr>
        <w:spacing w:after="120" w:line="264" w:lineRule="auto"/>
      </w:pPr>
      <w:r>
        <w:rPr>
          <w:rFonts w:ascii="Aptos" w:hAnsi="Aptos"/>
          <w:b w:val="0"/>
          <w:i w:val="0"/>
          <w:color w:val="172033"/>
          <w:sz w:val="21"/>
        </w:rPr>
        <w:t>Privacy is an enforced data-flow rule rather than a claim. Text and supported speech modes are first analyzed locally. SAFE content creates no backend request. For SUSPICIOUS or CRITICAL results, the citizen reviews evidence and selects a scope before any network transmission.</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13213C"/>
            <w:tcMar>
              <w:top w:w="80" w:type="dxa"/>
              <w:start w:w="120" w:type="dxa"/>
              <w:bottom w:w="80" w:type="dxa"/>
              <w:end w:w="120" w:type="dxa"/>
            </w:tcMar>
            <w:vAlign w:val="center"/>
          </w:tcPr>
          <w:p>
            <w:pPr>
              <w:spacing w:after="0"/>
            </w:pPr>
            <w:r>
              <w:rPr>
                <w:rFonts w:ascii="Aptos" w:hAnsi="Aptos"/>
                <w:b/>
                <w:i w:val="0"/>
                <w:color w:val="FFFFFF"/>
                <w:sz w:val="19"/>
              </w:rPr>
              <w:t>Control</w:t>
            </w:r>
          </w:p>
        </w:tc>
        <w:tc>
          <w:tcPr>
            <w:tcW w:type="dxa" w:w="6910"/>
            <w:shd w:fill="13213C"/>
            <w:tcMar>
              <w:top w:w="80" w:type="dxa"/>
              <w:start w:w="120" w:type="dxa"/>
              <w:bottom w:w="80" w:type="dxa"/>
              <w:end w:w="120" w:type="dxa"/>
            </w:tcMar>
            <w:vAlign w:val="center"/>
          </w:tcPr>
          <w:p>
            <w:pPr>
              <w:spacing w:after="0"/>
            </w:pPr>
            <w:r>
              <w:rPr>
                <w:rFonts w:ascii="Aptos" w:hAnsi="Aptos"/>
                <w:b/>
                <w:i w:val="0"/>
                <w:color w:val="FFFFFF"/>
                <w:sz w:val="19"/>
              </w:rPr>
              <w:t>Implementation</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Consent scopes</w:t>
            </w:r>
          </w:p>
        </w:tc>
        <w:tc>
          <w:tcPr>
            <w:tcW w:type="dxa" w:w="6910"/>
            <w:tcMar>
              <w:top w:w="80" w:type="dxa"/>
              <w:start w:w="120" w:type="dxa"/>
              <w:bottom w:w="80" w:type="dxa"/>
              <w:end w:w="120" w:type="dxa"/>
            </w:tcMar>
            <w:vAlign w:val="center"/>
          </w:tcPr>
          <w:p>
            <w:pPr>
              <w:spacing w:after="0" w:line="240" w:lineRule="auto"/>
            </w:pPr>
            <w:r>
              <w:rPr>
                <w:rFonts w:ascii="Aptos" w:hAnsi="Aptos"/>
                <w:b w:val="0"/>
                <w:i w:val="0"/>
                <w:color w:val="172033"/>
                <w:sz w:val="18"/>
              </w:rPr>
              <w:t>Selected evidence, redacted transcript, or full transcript</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Local redaction</w:t>
            </w:r>
          </w:p>
        </w:tc>
        <w:tc>
          <w:tcPr>
            <w:tcW w:type="dxa" w:w="69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Masks Aadhaar-like, PAN-like, OTP/PIN, and long account-like values</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Retention</w:t>
            </w:r>
          </w:p>
        </w:tc>
        <w:tc>
          <w:tcPr>
            <w:tcW w:type="dxa" w:w="6910"/>
            <w:tcMar>
              <w:top w:w="80" w:type="dxa"/>
              <w:start w:w="120" w:type="dxa"/>
              <w:bottom w:w="80" w:type="dxa"/>
              <w:end w:w="120" w:type="dxa"/>
            </w:tcMar>
            <w:vAlign w:val="center"/>
          </w:tcPr>
          <w:p>
            <w:pPr>
              <w:spacing w:after="0" w:line="240" w:lineRule="auto"/>
            </w:pPr>
            <w:r>
              <w:rPr>
                <w:rFonts w:ascii="Aptos" w:hAnsi="Aptos"/>
                <w:b w:val="0"/>
                <w:i w:val="0"/>
                <w:color w:val="172033"/>
                <w:sz w:val="18"/>
              </w:rPr>
              <w:t>Citizen chooses 1, 7, or 30 days; expiry is persisted and displayed</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Withdrawal</w:t>
            </w:r>
          </w:p>
        </w:tc>
        <w:tc>
          <w:tcPr>
            <w:tcW w:type="dxa" w:w="69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Deletes the SQL incident, audit payload, and Neo4j report</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Transparency</w:t>
            </w:r>
          </w:p>
        </w:tc>
        <w:tc>
          <w:tcPr>
            <w:tcW w:type="dxa" w:w="6910"/>
            <w:tcMar>
              <w:top w:w="80" w:type="dxa"/>
              <w:start w:w="120" w:type="dxa"/>
              <w:bottom w:w="80" w:type="dxa"/>
              <w:end w:w="120" w:type="dxa"/>
            </w:tcMar>
            <w:vAlign w:val="center"/>
          </w:tcPr>
          <w:p>
            <w:pPr>
              <w:spacing w:after="0" w:line="240" w:lineRule="auto"/>
            </w:pPr>
            <w:r>
              <w:rPr>
                <w:rFonts w:ascii="Aptos" w:hAnsi="Aptos"/>
                <w:b w:val="0"/>
                <w:i w:val="0"/>
                <w:color w:val="172033"/>
                <w:sz w:val="18"/>
              </w:rPr>
              <w:t>Privacy bar shows model state, analysis location, audio memory, and bytes shared</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NCRP handoff</w:t>
            </w:r>
          </w:p>
        </w:tc>
        <w:tc>
          <w:tcPr>
            <w:tcW w:type="dxa" w:w="69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Opens the official suspect-search page and copies an identifier locally without placing it in the URL</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2F2"/>
          </w:tcPr>
          <w:p>
            <w:pPr>
              <w:spacing w:after="40"/>
            </w:pPr>
            <w:r>
              <w:rPr>
                <w:rFonts w:ascii="Aptos" w:hAnsi="Aptos"/>
                <w:b/>
                <w:i w:val="0"/>
                <w:color w:val="B42318"/>
                <w:sz w:val="21"/>
              </w:rPr>
              <w:t xml:space="preserve">SAFETY BOUNDARY  </w:t>
            </w:r>
            <w:r>
              <w:rPr>
                <w:rFonts w:ascii="Aptos" w:hAnsi="Aptos"/>
                <w:b w:val="0"/>
                <w:i w:val="0"/>
                <w:color w:val="172033"/>
                <w:sz w:val="21"/>
              </w:rPr>
              <w:t>PRAHARI is decision support. Ring evidence packages state that findings require authorized human verification and are not legal determinations.</w:t>
            </w:r>
          </w:p>
        </w:tc>
      </w:tr>
    </w:tbl>
    <w:p>
      <w:pPr>
        <w:spacing w:after="20"/>
      </w:pPr>
    </w:p>
    <w:p>
      <w:pPr>
        <w:pStyle w:val="Heading1"/>
        <w:keepNext/>
      </w:pPr>
      <w:r>
        <w:t>7. Graph Intelligence</w:t>
      </w:r>
    </w:p>
    <w:p>
      <w:pPr>
        <w:spacing w:after="120" w:line="264" w:lineRule="auto"/>
      </w:pPr>
      <w:r>
        <w:rPr>
          <w:rFonts w:ascii="Aptos" w:hAnsi="Aptos"/>
          <w:b w:val="0"/>
          <w:i w:val="0"/>
          <w:color w:val="172033"/>
          <w:sz w:val="21"/>
        </w:rPr>
        <w:t>Each consented risky report is modeled as a Report node. MERGE operations collapse repeated PhoneNumber, UPI_ID, BankAccount, and ClaimedAgency identifiers, allowing independently submitted incidents to reveal shared infrastructure. Weakly Connected Components recover planted rings, while degree centrality ranks hub identifiers. New reports can join an existing ring immediately through a reused discriminative identifier.</w:t>
      </w:r>
    </w:p>
    <w:p>
      <w:pPr>
        <w:pStyle w:val="Heading2"/>
        <w:keepNext/>
      </w:pPr>
      <w:r>
        <w:t>Officer command workflow</w:t>
      </w:r>
    </w:p>
    <w:p>
      <w:pPr>
        <w:pStyle w:val="ListNumber"/>
        <w:spacing w:after="120" w:line="264" w:lineRule="auto"/>
        <w:ind w:left="720" w:hanging="360"/>
      </w:pPr>
      <w:r>
        <w:rPr>
          <w:rFonts w:ascii="Aptos" w:hAnsi="Aptos"/>
          <w:b w:val="0"/>
          <w:i w:val="0"/>
          <w:color w:val="172033"/>
          <w:sz w:val="21"/>
        </w:rPr>
        <w:t>Review incident KPIs and the risk-ranked queue.</w:t>
      </w:r>
    </w:p>
    <w:p>
      <w:pPr>
        <w:pStyle w:val="ListNumber"/>
        <w:spacing w:after="120" w:line="264" w:lineRule="auto"/>
        <w:ind w:left="720" w:hanging="360"/>
      </w:pPr>
      <w:r>
        <w:rPr>
          <w:rFonts w:ascii="Aptos" w:hAnsi="Aptos"/>
          <w:b w:val="0"/>
          <w:i w:val="0"/>
          <w:color w:val="172033"/>
          <w:sz w:val="21"/>
        </w:rPr>
        <w:t>Select a ring and inspect its reports, cities, agencies, and campaign early-warning index.</w:t>
      </w:r>
    </w:p>
    <w:p>
      <w:pPr>
        <w:pStyle w:val="ListNumber"/>
        <w:spacing w:after="120" w:line="264" w:lineRule="auto"/>
        <w:ind w:left="720" w:hanging="360"/>
      </w:pPr>
      <w:r>
        <w:rPr>
          <w:rFonts w:ascii="Aptos" w:hAnsi="Aptos"/>
          <w:b w:val="0"/>
          <w:i w:val="0"/>
          <w:color w:val="172033"/>
          <w:sz w:val="21"/>
        </w:rPr>
        <w:t>Explore the graph to identify shared payment destinations and caller infrastructure.</w:t>
      </w:r>
    </w:p>
    <w:p>
      <w:pPr>
        <w:pStyle w:val="ListNumber"/>
        <w:spacing w:after="120" w:line="264" w:lineRule="auto"/>
        <w:ind w:left="720" w:hanging="360"/>
      </w:pPr>
      <w:r>
        <w:rPr>
          <w:rFonts w:ascii="Aptos" w:hAnsi="Aptos"/>
          <w:b w:val="0"/>
          <w:i w:val="0"/>
          <w:color w:val="172033"/>
          <w:sz w:val="21"/>
        </w:rPr>
        <w:t>Download the evidence package for human review and follow-up.</w:t>
      </w:r>
    </w:p>
    <w:p>
      <w:pPr>
        <w:pStyle w:val="Heading1"/>
        <w:keepNext/>
      </w:pPr>
      <w:r>
        <w:t>8. End-to-End Workflow</w:t>
      </w:r>
    </w:p>
    <w:tbl>
      <w:tblPr>
        <w:tblStyle w:val="TableGrid"/>
        <w:tblW w:type="dxa" w:w="9360"/>
        <w:jc w:val="left"/>
        <w:tblLayout w:type="fixed"/>
        <w:tblLook w:firstColumn="1" w:firstRow="1" w:lastColumn="0" w:lastRow="0" w:noHBand="0" w:noVBand="1" w:val="04A0"/>
        <w:tblInd w:w="120" w:type="dxa"/>
      </w:tblPr>
      <w:tblGrid>
        <w:gridCol w:w="700"/>
        <w:gridCol w:w="4300"/>
        <w:gridCol w:w="4360"/>
      </w:tblGrid>
      <w:tr>
        <w:trPr>
          <w:tblHeader w:val="true"/>
        </w:trPr>
        <w:tc>
          <w:tcPr>
            <w:tcW w:type="dxa" w:w="700"/>
            <w:shd w:fill="13213C"/>
            <w:tcMar>
              <w:top w:w="80" w:type="dxa"/>
              <w:start w:w="120" w:type="dxa"/>
              <w:bottom w:w="80" w:type="dxa"/>
              <w:end w:w="120" w:type="dxa"/>
            </w:tcMar>
            <w:vAlign w:val="center"/>
          </w:tcPr>
          <w:p>
            <w:pPr>
              <w:spacing w:after="0"/>
            </w:pPr>
            <w:r>
              <w:rPr>
                <w:rFonts w:ascii="Aptos" w:hAnsi="Aptos"/>
                <w:b/>
                <w:i w:val="0"/>
                <w:color w:val="FFFFFF"/>
                <w:sz w:val="19"/>
              </w:rPr>
              <w:t>Step</w:t>
            </w:r>
          </w:p>
        </w:tc>
        <w:tc>
          <w:tcPr>
            <w:tcW w:type="dxa" w:w="4300"/>
            <w:shd w:fill="13213C"/>
            <w:tcMar>
              <w:top w:w="80" w:type="dxa"/>
              <w:start w:w="120" w:type="dxa"/>
              <w:bottom w:w="80" w:type="dxa"/>
              <w:end w:w="120" w:type="dxa"/>
            </w:tcMar>
            <w:vAlign w:val="center"/>
          </w:tcPr>
          <w:p>
            <w:pPr>
              <w:spacing w:after="0"/>
            </w:pPr>
            <w:r>
              <w:rPr>
                <w:rFonts w:ascii="Aptos" w:hAnsi="Aptos"/>
                <w:b/>
                <w:i w:val="0"/>
                <w:color w:val="FFFFFF"/>
                <w:sz w:val="19"/>
              </w:rPr>
              <w:t>Citizen/system action</w:t>
            </w:r>
          </w:p>
        </w:tc>
        <w:tc>
          <w:tcPr>
            <w:tcW w:type="dxa" w:w="4360"/>
            <w:shd w:fill="13213C"/>
            <w:tcMar>
              <w:top w:w="80" w:type="dxa"/>
              <w:start w:w="120" w:type="dxa"/>
              <w:bottom w:w="80" w:type="dxa"/>
              <w:end w:w="120" w:type="dxa"/>
            </w:tcMar>
            <w:vAlign w:val="center"/>
          </w:tcPr>
          <w:p>
            <w:pPr>
              <w:spacing w:after="0"/>
            </w:pPr>
            <w:r>
              <w:rPr>
                <w:rFonts w:ascii="Aptos" w:hAnsi="Aptos"/>
                <w:b/>
                <w:i w:val="0"/>
                <w:color w:val="FFFFFF"/>
                <w:sz w:val="19"/>
              </w:rPr>
              <w:t>Data movement</w:t>
            </w:r>
          </w:p>
        </w:tc>
      </w:tr>
      <w:tr>
        <w:tc>
          <w:tcPr>
            <w:tcW w:type="dxa" w:w="700"/>
            <w:tcMar>
              <w:top w:w="80" w:type="dxa"/>
              <w:start w:w="120" w:type="dxa"/>
              <w:bottom w:w="80" w:type="dxa"/>
              <w:end w:w="120" w:type="dxa"/>
            </w:tcMar>
            <w:vAlign w:val="center"/>
          </w:tcPr>
          <w:p>
            <w:pPr>
              <w:spacing w:after="0" w:line="240" w:lineRule="auto"/>
            </w:pPr>
            <w:r>
              <w:rPr>
                <w:rFonts w:ascii="Aptos" w:hAnsi="Aptos"/>
                <w:b w:val="0"/>
                <w:i w:val="0"/>
                <w:color w:val="172033"/>
                <w:sz w:val="18"/>
              </w:rPr>
              <w:t>1</w:t>
            </w:r>
          </w:p>
        </w:tc>
        <w:tc>
          <w:tcPr>
            <w:tcW w:type="dxa" w:w="4300"/>
            <w:tcMar>
              <w:top w:w="80" w:type="dxa"/>
              <w:start w:w="120" w:type="dxa"/>
              <w:bottom w:w="80" w:type="dxa"/>
              <w:end w:w="120" w:type="dxa"/>
            </w:tcMar>
            <w:vAlign w:val="center"/>
          </w:tcPr>
          <w:p>
            <w:pPr>
              <w:spacing w:after="0" w:line="240" w:lineRule="auto"/>
            </w:pPr>
            <w:r>
              <w:rPr>
                <w:rFonts w:ascii="Aptos" w:hAnsi="Aptos"/>
                <w:b w:val="0"/>
                <w:i w:val="0"/>
                <w:color w:val="172033"/>
                <w:sz w:val="18"/>
              </w:rPr>
              <w:t>Capture live speech or paste suspicious text</w:t>
            </w:r>
          </w:p>
        </w:tc>
        <w:tc>
          <w:tcPr>
            <w:tcW w:type="dxa" w:w="4360"/>
            <w:tcMar>
              <w:top w:w="80" w:type="dxa"/>
              <w:start w:w="120" w:type="dxa"/>
              <w:bottom w:w="80" w:type="dxa"/>
              <w:end w:w="120" w:type="dxa"/>
            </w:tcMar>
            <w:vAlign w:val="center"/>
          </w:tcPr>
          <w:p>
            <w:pPr>
              <w:spacing w:after="0" w:line="240" w:lineRule="auto"/>
            </w:pPr>
            <w:r>
              <w:rPr>
                <w:rFonts w:ascii="Aptos" w:hAnsi="Aptos"/>
                <w:b w:val="0"/>
                <w:i w:val="0"/>
                <w:color w:val="172033"/>
                <w:sz w:val="18"/>
              </w:rPr>
              <w:t>Remains in browser memory</w:t>
            </w:r>
          </w:p>
        </w:tc>
      </w:tr>
      <w:tr>
        <w:tc>
          <w:tcPr>
            <w:tcW w:type="dxa" w:w="7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2</w:t>
            </w:r>
          </w:p>
        </w:tc>
        <w:tc>
          <w:tcPr>
            <w:tcW w:type="dxa" w:w="43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Run local phase and risk analysis</w:t>
            </w:r>
          </w:p>
        </w:tc>
        <w:tc>
          <w:tcPr>
            <w:tcW w:type="dxa" w:w="43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No evidence uploaded</w:t>
            </w:r>
          </w:p>
        </w:tc>
      </w:tr>
      <w:tr>
        <w:tc>
          <w:tcPr>
            <w:tcW w:type="dxa" w:w="700"/>
            <w:tcMar>
              <w:top w:w="80" w:type="dxa"/>
              <w:start w:w="120" w:type="dxa"/>
              <w:bottom w:w="80" w:type="dxa"/>
              <w:end w:w="120" w:type="dxa"/>
            </w:tcMar>
            <w:vAlign w:val="center"/>
          </w:tcPr>
          <w:p>
            <w:pPr>
              <w:spacing w:after="0" w:line="240" w:lineRule="auto"/>
            </w:pPr>
            <w:r>
              <w:rPr>
                <w:rFonts w:ascii="Aptos" w:hAnsi="Aptos"/>
                <w:b w:val="0"/>
                <w:i w:val="0"/>
                <w:color w:val="172033"/>
                <w:sz w:val="18"/>
              </w:rPr>
              <w:t>3</w:t>
            </w:r>
          </w:p>
        </w:tc>
        <w:tc>
          <w:tcPr>
            <w:tcW w:type="dxa" w:w="4300"/>
            <w:tcMar>
              <w:top w:w="80" w:type="dxa"/>
              <w:start w:w="120" w:type="dxa"/>
              <w:bottom w:w="80" w:type="dxa"/>
              <w:end w:w="120" w:type="dxa"/>
            </w:tcMar>
            <w:vAlign w:val="center"/>
          </w:tcPr>
          <w:p>
            <w:pPr>
              <w:spacing w:after="0" w:line="240" w:lineRule="auto"/>
            </w:pPr>
            <w:r>
              <w:rPr>
                <w:rFonts w:ascii="Aptos" w:hAnsi="Aptos"/>
                <w:b w:val="0"/>
                <w:i w:val="0"/>
                <w:color w:val="172033"/>
                <w:sz w:val="18"/>
              </w:rPr>
              <w:t>Show critical intervention when threshold is crossed</w:t>
            </w:r>
          </w:p>
        </w:tc>
        <w:tc>
          <w:tcPr>
            <w:tcW w:type="dxa" w:w="4360"/>
            <w:tcMar>
              <w:top w:w="80" w:type="dxa"/>
              <w:start w:w="120" w:type="dxa"/>
              <w:bottom w:w="80" w:type="dxa"/>
              <w:end w:w="120" w:type="dxa"/>
            </w:tcMar>
            <w:vAlign w:val="center"/>
          </w:tcPr>
          <w:p>
            <w:pPr>
              <w:spacing w:after="0" w:line="240" w:lineRule="auto"/>
            </w:pPr>
            <w:r>
              <w:rPr>
                <w:rFonts w:ascii="Aptos" w:hAnsi="Aptos"/>
                <w:b w:val="0"/>
                <w:i w:val="0"/>
                <w:color w:val="172033"/>
                <w:sz w:val="18"/>
              </w:rPr>
              <w:t>No evidence uploaded</w:t>
            </w:r>
          </w:p>
        </w:tc>
      </w:tr>
      <w:tr>
        <w:tc>
          <w:tcPr>
            <w:tcW w:type="dxa" w:w="7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4</w:t>
            </w:r>
          </w:p>
        </w:tc>
        <w:tc>
          <w:tcPr>
            <w:tcW w:type="dxa" w:w="43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Citizen reviews and approves an evidence scope</w:t>
            </w:r>
          </w:p>
        </w:tc>
        <w:tc>
          <w:tcPr>
            <w:tcW w:type="dxa" w:w="43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Only approved package is transmitted</w:t>
            </w:r>
          </w:p>
        </w:tc>
      </w:tr>
      <w:tr>
        <w:tc>
          <w:tcPr>
            <w:tcW w:type="dxa" w:w="700"/>
            <w:tcMar>
              <w:top w:w="80" w:type="dxa"/>
              <w:start w:w="120" w:type="dxa"/>
              <w:bottom w:w="80" w:type="dxa"/>
              <w:end w:w="120" w:type="dxa"/>
            </w:tcMar>
            <w:vAlign w:val="center"/>
          </w:tcPr>
          <w:p>
            <w:pPr>
              <w:spacing w:after="0" w:line="240" w:lineRule="auto"/>
            </w:pPr>
            <w:r>
              <w:rPr>
                <w:rFonts w:ascii="Aptos" w:hAnsi="Aptos"/>
                <w:b w:val="0"/>
                <w:i w:val="0"/>
                <w:color w:val="172033"/>
                <w:sz w:val="18"/>
              </w:rPr>
              <w:t>5</w:t>
            </w:r>
          </w:p>
        </w:tc>
        <w:tc>
          <w:tcPr>
            <w:tcW w:type="dxa" w:w="4300"/>
            <w:tcMar>
              <w:top w:w="80" w:type="dxa"/>
              <w:start w:w="120" w:type="dxa"/>
              <w:bottom w:w="80" w:type="dxa"/>
              <w:end w:w="120" w:type="dxa"/>
            </w:tcMar>
            <w:vAlign w:val="center"/>
          </w:tcPr>
          <w:p>
            <w:pPr>
              <w:spacing w:after="0" w:line="240" w:lineRule="auto"/>
            </w:pPr>
            <w:r>
              <w:rPr>
                <w:rFonts w:ascii="Aptos" w:hAnsi="Aptos"/>
                <w:b w:val="0"/>
                <w:i w:val="0"/>
                <w:color w:val="172033"/>
                <w:sz w:val="18"/>
              </w:rPr>
              <w:t>Backend analyzes, audits, and persists risky evidence</w:t>
            </w:r>
          </w:p>
        </w:tc>
        <w:tc>
          <w:tcPr>
            <w:tcW w:type="dxa" w:w="4360"/>
            <w:tcMar>
              <w:top w:w="80" w:type="dxa"/>
              <w:start w:w="120" w:type="dxa"/>
              <w:bottom w:w="80" w:type="dxa"/>
              <w:end w:w="120" w:type="dxa"/>
            </w:tcMar>
            <w:vAlign w:val="center"/>
          </w:tcPr>
          <w:p>
            <w:pPr>
              <w:spacing w:after="0" w:line="240" w:lineRule="auto"/>
            </w:pPr>
            <w:r>
              <w:rPr>
                <w:rFonts w:ascii="Aptos" w:hAnsi="Aptos"/>
                <w:b w:val="0"/>
                <w:i w:val="0"/>
                <w:color w:val="172033"/>
                <w:sz w:val="18"/>
              </w:rPr>
              <w:t>PostgreSQL incident and audit</w:t>
            </w:r>
          </w:p>
        </w:tc>
      </w:tr>
      <w:tr>
        <w:tc>
          <w:tcPr>
            <w:tcW w:type="dxa" w:w="7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6</w:t>
            </w:r>
          </w:p>
        </w:tc>
        <w:tc>
          <w:tcPr>
            <w:tcW w:type="dxa" w:w="43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Graph ingestion links shared identifiers</w:t>
            </w:r>
          </w:p>
        </w:tc>
        <w:tc>
          <w:tcPr>
            <w:tcW w:type="dxa" w:w="43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Neo4j report and identifier nodes</w:t>
            </w:r>
          </w:p>
        </w:tc>
      </w:tr>
      <w:tr>
        <w:tc>
          <w:tcPr>
            <w:tcW w:type="dxa" w:w="700"/>
            <w:tcMar>
              <w:top w:w="80" w:type="dxa"/>
              <w:start w:w="120" w:type="dxa"/>
              <w:bottom w:w="80" w:type="dxa"/>
              <w:end w:w="120" w:type="dxa"/>
            </w:tcMar>
            <w:vAlign w:val="center"/>
          </w:tcPr>
          <w:p>
            <w:pPr>
              <w:spacing w:after="0" w:line="240" w:lineRule="auto"/>
            </w:pPr>
            <w:r>
              <w:rPr>
                <w:rFonts w:ascii="Aptos" w:hAnsi="Aptos"/>
                <w:b w:val="0"/>
                <w:i w:val="0"/>
                <w:color w:val="172033"/>
                <w:sz w:val="18"/>
              </w:rPr>
              <w:t>7</w:t>
            </w:r>
          </w:p>
        </w:tc>
        <w:tc>
          <w:tcPr>
            <w:tcW w:type="dxa" w:w="4300"/>
            <w:tcMar>
              <w:top w:w="80" w:type="dxa"/>
              <w:start w:w="120" w:type="dxa"/>
              <w:bottom w:w="80" w:type="dxa"/>
              <w:end w:w="120" w:type="dxa"/>
            </w:tcMar>
            <w:vAlign w:val="center"/>
          </w:tcPr>
          <w:p>
            <w:pPr>
              <w:spacing w:after="0" w:line="240" w:lineRule="auto"/>
            </w:pPr>
            <w:r>
              <w:rPr>
                <w:rFonts w:ascii="Aptos" w:hAnsi="Aptos"/>
                <w:b w:val="0"/>
                <w:i w:val="0"/>
                <w:color w:val="172033"/>
                <w:sz w:val="18"/>
              </w:rPr>
              <w:t>Officer dashboard highlights the joined ring</w:t>
            </w:r>
          </w:p>
        </w:tc>
        <w:tc>
          <w:tcPr>
            <w:tcW w:type="dxa" w:w="4360"/>
            <w:tcMar>
              <w:top w:w="80" w:type="dxa"/>
              <w:start w:w="120" w:type="dxa"/>
              <w:bottom w:w="80" w:type="dxa"/>
              <w:end w:w="120" w:type="dxa"/>
            </w:tcMar>
            <w:vAlign w:val="center"/>
          </w:tcPr>
          <w:p>
            <w:pPr>
              <w:spacing w:after="0" w:line="240" w:lineRule="auto"/>
            </w:pPr>
            <w:r>
              <w:rPr>
                <w:rFonts w:ascii="Aptos" w:hAnsi="Aptos"/>
                <w:b w:val="0"/>
                <w:i w:val="0"/>
                <w:color w:val="172033"/>
                <w:sz w:val="18"/>
              </w:rPr>
              <w:t>Ranked operational intelligence</w:t>
            </w:r>
          </w:p>
        </w:tc>
      </w:tr>
    </w:tbl>
    <w:p>
      <w:pPr>
        <w:spacing w:after="20"/>
      </w:pPr>
    </w:p>
    <w:p>
      <w:pPr>
        <w:pStyle w:val="Heading1"/>
        <w:keepNext/>
      </w:pPr>
      <w:r>
        <w:t>9. Validation and Results</w:t>
      </w:r>
    </w:p>
    <w:p>
      <w:pPr>
        <w:spacing w:after="120" w:line="264" w:lineRule="auto"/>
      </w:pPr>
      <w:r>
        <w:rPr>
          <w:rFonts w:ascii="Aptos" w:hAnsi="Aptos"/>
          <w:b w:val="0"/>
          <w:i w:val="0"/>
          <w:color w:val="172033"/>
          <w:sz w:val="21"/>
        </w:rPr>
        <w:t>The prototype includes a reproducible 120-case synthetic English, Hindi, and Hinglish benchmark. It contains 60 scams, 30 benign examples, and 30 hard negatives. These results demonstrate prototype behavior and are not field validation.</w:t>
      </w:r>
    </w:p>
    <w:tbl>
      <w:tblPr>
        <w:tblStyle w:val="TableGrid"/>
        <w:tblW w:type="dxa" w:w="9360"/>
        <w:jc w:val="left"/>
        <w:tblLayout w:type="fixed"/>
        <w:tblLook w:firstColumn="1" w:firstRow="1" w:lastColumn="0" w:lastRow="0" w:noHBand="0" w:noVBand="1" w:val="04A0"/>
        <w:tblInd w:w="120" w:type="dxa"/>
      </w:tblPr>
      <w:tblGrid>
        <w:gridCol w:w="2450"/>
        <w:gridCol w:w="1400"/>
        <w:gridCol w:w="5510"/>
      </w:tblGrid>
      <w:tr>
        <w:trPr>
          <w:tblHeader w:val="true"/>
        </w:trPr>
        <w:tc>
          <w:tcPr>
            <w:tcW w:type="dxa" w:w="2450"/>
            <w:shd w:fill="13213C"/>
            <w:tcMar>
              <w:top w:w="80" w:type="dxa"/>
              <w:start w:w="120" w:type="dxa"/>
              <w:bottom w:w="80" w:type="dxa"/>
              <w:end w:w="120" w:type="dxa"/>
            </w:tcMar>
            <w:vAlign w:val="center"/>
          </w:tcPr>
          <w:p>
            <w:pPr>
              <w:spacing w:after="0"/>
            </w:pPr>
            <w:r>
              <w:rPr>
                <w:rFonts w:ascii="Aptos" w:hAnsi="Aptos"/>
                <w:b/>
                <w:i w:val="0"/>
                <w:color w:val="FFFFFF"/>
                <w:sz w:val="19"/>
              </w:rPr>
              <w:t>Metric</w:t>
            </w:r>
          </w:p>
        </w:tc>
        <w:tc>
          <w:tcPr>
            <w:tcW w:type="dxa" w:w="1400"/>
            <w:shd w:fill="13213C"/>
            <w:tcMar>
              <w:top w:w="80" w:type="dxa"/>
              <w:start w:w="120" w:type="dxa"/>
              <w:bottom w:w="80" w:type="dxa"/>
              <w:end w:w="120" w:type="dxa"/>
            </w:tcMar>
            <w:vAlign w:val="center"/>
          </w:tcPr>
          <w:p>
            <w:pPr>
              <w:spacing w:after="0"/>
            </w:pPr>
            <w:r>
              <w:rPr>
                <w:rFonts w:ascii="Aptos" w:hAnsi="Aptos"/>
                <w:b/>
                <w:i w:val="0"/>
                <w:color w:val="FFFFFF"/>
                <w:sz w:val="19"/>
              </w:rPr>
              <w:t>Result</w:t>
            </w:r>
          </w:p>
        </w:tc>
        <w:tc>
          <w:tcPr>
            <w:tcW w:type="dxa" w:w="5510"/>
            <w:shd w:fill="13213C"/>
            <w:tcMar>
              <w:top w:w="80" w:type="dxa"/>
              <w:start w:w="120" w:type="dxa"/>
              <w:bottom w:w="80" w:type="dxa"/>
              <w:end w:w="120" w:type="dxa"/>
            </w:tcMar>
            <w:vAlign w:val="center"/>
          </w:tcPr>
          <w:p>
            <w:pPr>
              <w:spacing w:after="0"/>
            </w:pPr>
            <w:r>
              <w:rPr>
                <w:rFonts w:ascii="Aptos" w:hAnsi="Aptos"/>
                <w:b/>
                <w:i w:val="0"/>
                <w:color w:val="FFFFFF"/>
                <w:sz w:val="19"/>
              </w:rPr>
              <w:t>Interpretation</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Scam recall</w:t>
            </w:r>
          </w:p>
        </w:tc>
        <w:tc>
          <w:tcPr>
            <w:tcW w:type="dxa" w:w="1400"/>
            <w:tcMar>
              <w:top w:w="80" w:type="dxa"/>
              <w:start w:w="120" w:type="dxa"/>
              <w:bottom w:w="80" w:type="dxa"/>
              <w:end w:w="120" w:type="dxa"/>
            </w:tcMar>
            <w:vAlign w:val="center"/>
          </w:tcPr>
          <w:p>
            <w:pPr>
              <w:spacing w:after="0" w:line="240" w:lineRule="auto"/>
            </w:pPr>
            <w:r>
              <w:rPr>
                <w:rFonts w:ascii="Aptos" w:hAnsi="Aptos"/>
                <w:b w:val="0"/>
                <w:i w:val="0"/>
                <w:color w:val="172033"/>
                <w:sz w:val="18"/>
              </w:rPr>
              <w:t>90.0%</w:t>
            </w:r>
          </w:p>
        </w:tc>
        <w:tc>
          <w:tcPr>
            <w:tcW w:type="dxa" w:w="5510"/>
            <w:tcMar>
              <w:top w:w="80" w:type="dxa"/>
              <w:start w:w="120" w:type="dxa"/>
              <w:bottom w:w="80" w:type="dxa"/>
              <w:end w:w="120" w:type="dxa"/>
            </w:tcMar>
            <w:vAlign w:val="center"/>
          </w:tcPr>
          <w:p>
            <w:pPr>
              <w:spacing w:after="0" w:line="240" w:lineRule="auto"/>
            </w:pPr>
            <w:r>
              <w:rPr>
                <w:rFonts w:ascii="Aptos" w:hAnsi="Aptos"/>
                <w:b w:val="0"/>
                <w:i w:val="0"/>
                <w:color w:val="172033"/>
                <w:sz w:val="18"/>
              </w:rPr>
              <w:t>Detected nine in ten synthetic scams</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Precision</w:t>
            </w:r>
          </w:p>
        </w:tc>
        <w:tc>
          <w:tcPr>
            <w:tcW w:type="dxa" w:w="14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100.0%</w:t>
            </w:r>
          </w:p>
        </w:tc>
        <w:tc>
          <w:tcPr>
            <w:tcW w:type="dxa" w:w="55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No false scam labels in the benchmark</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F1 score</w:t>
            </w:r>
          </w:p>
        </w:tc>
        <w:tc>
          <w:tcPr>
            <w:tcW w:type="dxa" w:w="1400"/>
            <w:tcMar>
              <w:top w:w="80" w:type="dxa"/>
              <w:start w:w="120" w:type="dxa"/>
              <w:bottom w:w="80" w:type="dxa"/>
              <w:end w:w="120" w:type="dxa"/>
            </w:tcMar>
            <w:vAlign w:val="center"/>
          </w:tcPr>
          <w:p>
            <w:pPr>
              <w:spacing w:after="0" w:line="240" w:lineRule="auto"/>
            </w:pPr>
            <w:r>
              <w:rPr>
                <w:rFonts w:ascii="Aptos" w:hAnsi="Aptos"/>
                <w:b w:val="0"/>
                <w:i w:val="0"/>
                <w:color w:val="172033"/>
                <w:sz w:val="18"/>
              </w:rPr>
              <w:t>94.7</w:t>
            </w:r>
          </w:p>
        </w:tc>
        <w:tc>
          <w:tcPr>
            <w:tcW w:type="dxa" w:w="5510"/>
            <w:tcMar>
              <w:top w:w="80" w:type="dxa"/>
              <w:start w:w="120" w:type="dxa"/>
              <w:bottom w:w="80" w:type="dxa"/>
              <w:end w:w="120" w:type="dxa"/>
            </w:tcMar>
            <w:vAlign w:val="center"/>
          </w:tcPr>
          <w:p>
            <w:pPr>
              <w:spacing w:after="0" w:line="240" w:lineRule="auto"/>
            </w:pPr>
            <w:r>
              <w:rPr>
                <w:rFonts w:ascii="Aptos" w:hAnsi="Aptos"/>
                <w:b w:val="0"/>
                <w:i w:val="0"/>
                <w:color w:val="172033"/>
                <w:sz w:val="18"/>
              </w:rPr>
              <w:t>Strong precision/recall balance</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Benign false-positive rate</w:t>
            </w:r>
          </w:p>
        </w:tc>
        <w:tc>
          <w:tcPr>
            <w:tcW w:type="dxa" w:w="14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0.0%</w:t>
            </w:r>
          </w:p>
        </w:tc>
        <w:tc>
          <w:tcPr>
            <w:tcW w:type="dxa" w:w="55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Benign examples stayed safe</w:t>
            </w:r>
          </w:p>
        </w:tc>
      </w:tr>
      <w:tr>
        <w:tc>
          <w:tcPr>
            <w:tcW w:type="dxa" w:w="2450"/>
            <w:tcMar>
              <w:top w:w="80" w:type="dxa"/>
              <w:start w:w="120" w:type="dxa"/>
              <w:bottom w:w="80" w:type="dxa"/>
              <w:end w:w="120" w:type="dxa"/>
            </w:tcMar>
            <w:vAlign w:val="center"/>
          </w:tcPr>
          <w:p>
            <w:pPr>
              <w:spacing w:after="0" w:line="240" w:lineRule="auto"/>
            </w:pPr>
            <w:r>
              <w:rPr>
                <w:rFonts w:ascii="Aptos" w:hAnsi="Aptos"/>
                <w:b w:val="0"/>
                <w:i w:val="0"/>
                <w:color w:val="172033"/>
                <w:sz w:val="18"/>
              </w:rPr>
              <w:t>Hard-negative critical rate</w:t>
            </w:r>
          </w:p>
        </w:tc>
        <w:tc>
          <w:tcPr>
            <w:tcW w:type="dxa" w:w="1400"/>
            <w:tcMar>
              <w:top w:w="80" w:type="dxa"/>
              <w:start w:w="120" w:type="dxa"/>
              <w:bottom w:w="80" w:type="dxa"/>
              <w:end w:w="120" w:type="dxa"/>
            </w:tcMar>
            <w:vAlign w:val="center"/>
          </w:tcPr>
          <w:p>
            <w:pPr>
              <w:spacing w:after="0" w:line="240" w:lineRule="auto"/>
            </w:pPr>
            <w:r>
              <w:rPr>
                <w:rFonts w:ascii="Aptos" w:hAnsi="Aptos"/>
                <w:b w:val="0"/>
                <w:i w:val="0"/>
                <w:color w:val="172033"/>
                <w:sz w:val="18"/>
              </w:rPr>
              <w:t>0.0%</w:t>
            </w:r>
          </w:p>
        </w:tc>
        <w:tc>
          <w:tcPr>
            <w:tcW w:type="dxa" w:w="5510"/>
            <w:tcMar>
              <w:top w:w="80" w:type="dxa"/>
              <w:start w:w="120" w:type="dxa"/>
              <w:bottom w:w="80" w:type="dxa"/>
              <w:end w:w="120" w:type="dxa"/>
            </w:tcMar>
            <w:vAlign w:val="center"/>
          </w:tcPr>
          <w:p>
            <w:pPr>
              <w:spacing w:after="0" w:line="240" w:lineRule="auto"/>
            </w:pPr>
            <w:r>
              <w:rPr>
                <w:rFonts w:ascii="Aptos" w:hAnsi="Aptos"/>
                <w:b w:val="0"/>
                <w:i w:val="0"/>
                <w:color w:val="172033"/>
                <w:sz w:val="18"/>
              </w:rPr>
              <w:t>RBI/UPI informational content did not become critical</w:t>
            </w:r>
          </w:p>
        </w:tc>
      </w:tr>
      <w:tr>
        <w:tc>
          <w:tcPr>
            <w:tcW w:type="dxa" w:w="24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Detected before payment language</w:t>
            </w:r>
          </w:p>
        </w:tc>
        <w:tc>
          <w:tcPr>
            <w:tcW w:type="dxa" w:w="14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90.0%</w:t>
            </w:r>
          </w:p>
        </w:tc>
        <w:tc>
          <w:tcPr>
            <w:tcW w:type="dxa" w:w="55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Most synthetic scams were recognized before the explicit drain phrase</w:t>
            </w:r>
          </w:p>
        </w:tc>
      </w:tr>
    </w:tbl>
    <w:p>
      <w:pPr>
        <w:spacing w:after="20"/>
      </w:pPr>
    </w:p>
    <w:p>
      <w:pPr>
        <w:pStyle w:val="Heading2"/>
        <w:keepNext/>
      </w:pPr>
      <w:r>
        <w:t>Integration evidence</w:t>
      </w:r>
    </w:p>
    <w:p>
      <w:pPr>
        <w:pStyle w:val="ListBullet"/>
        <w:spacing w:after="100" w:line="264" w:lineRule="auto"/>
        <w:ind w:left="720" w:hanging="360"/>
      </w:pPr>
      <w:r>
        <w:rPr>
          <w:rFonts w:ascii="Aptos" w:hAnsi="Aptos"/>
          <w:b w:val="0"/>
          <w:i w:val="0"/>
          <w:color w:val="172033"/>
          <w:sz w:val="21"/>
        </w:rPr>
        <w:t>Live session progression verified from SAFE to SUSPICIOUS to CRITICAL.</w:t>
      </w:r>
    </w:p>
    <w:p>
      <w:pPr>
        <w:pStyle w:val="ListBullet"/>
        <w:spacing w:after="100" w:line="264" w:lineRule="auto"/>
        <w:ind w:left="720" w:hanging="360"/>
      </w:pPr>
      <w:r>
        <w:rPr>
          <w:rFonts w:ascii="Aptos" w:hAnsi="Aptos"/>
          <w:b w:val="0"/>
          <w:i w:val="0"/>
          <w:color w:val="172033"/>
          <w:sz w:val="21"/>
        </w:rPr>
        <w:t>All five canonical phases and highest phase 5 verified through the HTTP API.</w:t>
      </w:r>
    </w:p>
    <w:p>
      <w:pPr>
        <w:pStyle w:val="ListBullet"/>
        <w:spacing w:after="100" w:line="264" w:lineRule="auto"/>
        <w:ind w:left="720" w:hanging="360"/>
      </w:pPr>
      <w:r>
        <w:rPr>
          <w:rFonts w:ascii="Aptos" w:hAnsi="Aptos"/>
          <w:b w:val="0"/>
          <w:i w:val="0"/>
          <w:color w:val="172033"/>
          <w:sz w:val="21"/>
        </w:rPr>
        <w:t>Consented final report verified with graph_synced=true and recovery of seeded RING-0.</w:t>
      </w:r>
    </w:p>
    <w:p>
      <w:pPr>
        <w:pStyle w:val="ListBullet"/>
        <w:spacing w:after="100" w:line="264" w:lineRule="auto"/>
        <w:ind w:left="720" w:hanging="360"/>
      </w:pPr>
      <w:r>
        <w:rPr>
          <w:rFonts w:ascii="Aptos" w:hAnsi="Aptos"/>
          <w:b w:val="0"/>
          <w:i w:val="0"/>
          <w:color w:val="172033"/>
          <w:sz w:val="21"/>
        </w:rPr>
        <w:t>Caller number verified in the graph while the citizen number remained excluded.</w:t>
      </w:r>
    </w:p>
    <w:p>
      <w:pPr>
        <w:pStyle w:val="ListBullet"/>
        <w:spacing w:after="100" w:line="264" w:lineRule="auto"/>
        <w:ind w:left="720" w:hanging="360"/>
      </w:pPr>
      <w:r>
        <w:rPr>
          <w:rFonts w:ascii="Aptos" w:hAnsi="Aptos"/>
          <w:b w:val="0"/>
          <w:i w:val="0"/>
          <w:color w:val="172033"/>
          <w:sz w:val="21"/>
        </w:rPr>
        <w:t>Consent withdrawal verified to remove the temporary incident and graph report.</w:t>
      </w:r>
    </w:p>
    <w:p>
      <w:pPr>
        <w:pStyle w:val="ListBullet"/>
        <w:spacing w:after="100" w:line="264" w:lineRule="auto"/>
        <w:ind w:left="720" w:hanging="360"/>
      </w:pPr>
      <w:r>
        <w:rPr>
          <w:rFonts w:ascii="Aptos" w:hAnsi="Aptos"/>
          <w:b w:val="0"/>
          <w:i w:val="0"/>
          <w:color w:val="172033"/>
          <w:sz w:val="21"/>
        </w:rPr>
        <w:t>Frontend production build, TypeScript, focused lint, and Python compilation passed.</w:t>
      </w:r>
    </w:p>
    <w:p>
      <w:pPr>
        <w:pStyle w:val="Heading1"/>
        <w:keepNext/>
      </w:pPr>
      <w:r>
        <w:t>10. Deployment and Demonstration</w:t>
      </w:r>
    </w:p>
    <w:p>
      <w:pPr>
        <w:spacing w:after="120" w:line="264" w:lineRule="auto"/>
      </w:pPr>
      <w:r>
        <w:rPr>
          <w:rFonts w:ascii="Aptos" w:hAnsi="Aptos"/>
          <w:b w:val="0"/>
          <w:i w:val="0"/>
          <w:color w:val="172033"/>
          <w:sz w:val="21"/>
        </w:rPr>
        <w:t>Docker Compose defines PostgreSQL, Neo4j with Graph Data Science, FastAPI, and Next.js. The seeded demo script applies migrations, inserts synthetic incidents, initializes the graph schema, ingests reports, detects three planted rings, and prints the judge URLs.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13213C"/>
            <w:tcMar>
              <w:top w:w="80" w:type="dxa"/>
              <w:start w:w="120" w:type="dxa"/>
              <w:bottom w:w="80" w:type="dxa"/>
              <w:end w:w="120" w:type="dxa"/>
            </w:tcMar>
            <w:vAlign w:val="center"/>
          </w:tcPr>
          <w:p>
            <w:pPr>
              <w:spacing w:after="0"/>
            </w:pPr>
            <w:r>
              <w:rPr>
                <w:rFonts w:ascii="Aptos" w:hAnsi="Aptos"/>
                <w:b/>
                <w:i w:val="0"/>
                <w:color w:val="FFFFFF"/>
                <w:sz w:val="19"/>
              </w:rPr>
              <w:t>Surface</w:t>
            </w:r>
          </w:p>
        </w:tc>
        <w:tc>
          <w:tcPr>
            <w:tcW w:type="dxa" w:w="3000"/>
            <w:shd w:fill="13213C"/>
            <w:tcMar>
              <w:top w:w="80" w:type="dxa"/>
              <w:start w:w="120" w:type="dxa"/>
              <w:bottom w:w="80" w:type="dxa"/>
              <w:end w:w="120" w:type="dxa"/>
            </w:tcMar>
            <w:vAlign w:val="center"/>
          </w:tcPr>
          <w:p>
            <w:pPr>
              <w:spacing w:after="0"/>
            </w:pPr>
            <w:r>
              <w:rPr>
                <w:rFonts w:ascii="Aptos" w:hAnsi="Aptos"/>
                <w:b/>
                <w:i w:val="0"/>
                <w:color w:val="FFFFFF"/>
                <w:sz w:val="19"/>
              </w:rPr>
              <w:t>URL</w:t>
            </w:r>
          </w:p>
        </w:tc>
        <w:tc>
          <w:tcPr>
            <w:tcW w:type="dxa" w:w="4460"/>
            <w:shd w:fill="13213C"/>
            <w:tcMar>
              <w:top w:w="80" w:type="dxa"/>
              <w:start w:w="120" w:type="dxa"/>
              <w:bottom w:w="80" w:type="dxa"/>
              <w:end w:w="120" w:type="dxa"/>
            </w:tcMar>
            <w:vAlign w:val="center"/>
          </w:tcPr>
          <w:p>
            <w:pPr>
              <w:spacing w:after="0"/>
            </w:pPr>
            <w:r>
              <w:rPr>
                <w:rFonts w:ascii="Aptos" w:hAnsi="Aptos"/>
                <w:b/>
                <w:i w:val="0"/>
                <w:color w:val="FFFFFF"/>
                <w:sz w:val="19"/>
              </w:rPr>
              <w:t>Purpose</w:t>
            </w:r>
          </w:p>
        </w:tc>
      </w:tr>
      <w:tr>
        <w:tc>
          <w:tcPr>
            <w:tcW w:type="dxa" w:w="1900"/>
            <w:tcMar>
              <w:top w:w="80" w:type="dxa"/>
              <w:start w:w="120" w:type="dxa"/>
              <w:bottom w:w="80" w:type="dxa"/>
              <w:end w:w="120" w:type="dxa"/>
            </w:tcMar>
            <w:vAlign w:val="center"/>
          </w:tcPr>
          <w:p>
            <w:pPr>
              <w:spacing w:after="0" w:line="240" w:lineRule="auto"/>
            </w:pPr>
            <w:r>
              <w:rPr>
                <w:rFonts w:ascii="Aptos" w:hAnsi="Aptos"/>
                <w:b w:val="0"/>
                <w:i w:val="0"/>
                <w:color w:val="172033"/>
                <w:sz w:val="18"/>
              </w:rPr>
              <w:t>Citizen check</w:t>
            </w:r>
          </w:p>
        </w:tc>
        <w:tc>
          <w:tcPr>
            <w:tcW w:type="dxa" w:w="3000"/>
            <w:tcMar>
              <w:top w:w="80" w:type="dxa"/>
              <w:start w:w="120" w:type="dxa"/>
              <w:bottom w:w="80" w:type="dxa"/>
              <w:end w:w="120" w:type="dxa"/>
            </w:tcMar>
            <w:vAlign w:val="center"/>
          </w:tcPr>
          <w:p>
            <w:pPr>
              <w:spacing w:after="0" w:line="240" w:lineRule="auto"/>
            </w:pPr>
            <w:r>
              <w:rPr>
                <w:rFonts w:ascii="Aptos" w:hAnsi="Aptos"/>
                <w:b w:val="0"/>
                <w:i w:val="0"/>
                <w:color w:val="172033"/>
                <w:sz w:val="18"/>
              </w:rPr>
              <w:t>http://localhost:3000/check</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Live protection, privacy review, consent, and complaint draft</w:t>
            </w:r>
          </w:p>
        </w:tc>
      </w:tr>
      <w:tr>
        <w:tc>
          <w:tcPr>
            <w:tcW w:type="dxa" w:w="19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Officer command</w:t>
            </w:r>
          </w:p>
        </w:tc>
        <w:tc>
          <w:tcPr>
            <w:tcW w:type="dxa" w:w="30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http://localhost:3000/command</w:t>
            </w:r>
          </w:p>
        </w:tc>
        <w:tc>
          <w:tcPr>
            <w:tcW w:type="dxa" w:w="44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Queue, KPIs, graph, hubs, and ring intelligence</w:t>
            </w:r>
          </w:p>
        </w:tc>
      </w:tr>
      <w:tr>
        <w:tc>
          <w:tcPr>
            <w:tcW w:type="dxa" w:w="1900"/>
            <w:tcMar>
              <w:top w:w="80" w:type="dxa"/>
              <w:start w:w="120" w:type="dxa"/>
              <w:bottom w:w="80" w:type="dxa"/>
              <w:end w:w="120" w:type="dxa"/>
            </w:tcMar>
            <w:vAlign w:val="center"/>
          </w:tcPr>
          <w:p>
            <w:pPr>
              <w:spacing w:after="0" w:line="240" w:lineRule="auto"/>
            </w:pPr>
            <w:r>
              <w:rPr>
                <w:rFonts w:ascii="Aptos" w:hAnsi="Aptos"/>
                <w:b w:val="0"/>
                <w:i w:val="0"/>
                <w:color w:val="172033"/>
                <w:sz w:val="18"/>
              </w:rPr>
              <w:t>Backend API</w:t>
            </w:r>
          </w:p>
        </w:tc>
        <w:tc>
          <w:tcPr>
            <w:tcW w:type="dxa" w:w="3000"/>
            <w:tcMar>
              <w:top w:w="80" w:type="dxa"/>
              <w:start w:w="120" w:type="dxa"/>
              <w:bottom w:w="80" w:type="dxa"/>
              <w:end w:w="120" w:type="dxa"/>
            </w:tcMar>
            <w:vAlign w:val="center"/>
          </w:tcPr>
          <w:p>
            <w:pPr>
              <w:spacing w:after="0" w:line="240" w:lineRule="auto"/>
            </w:pPr>
            <w:r>
              <w:rPr>
                <w:rFonts w:ascii="Aptos" w:hAnsi="Aptos"/>
                <w:b w:val="0"/>
                <w:i w:val="0"/>
                <w:color w:val="172033"/>
                <w:sz w:val="18"/>
              </w:rPr>
              <w:t>http://localhost:8000/docs</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Interactive API contract</w:t>
            </w:r>
          </w:p>
        </w:tc>
      </w:tr>
      <w:tr>
        <w:tc>
          <w:tcPr>
            <w:tcW w:type="dxa" w:w="19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Neo4j Browser</w:t>
            </w:r>
          </w:p>
        </w:tc>
        <w:tc>
          <w:tcPr>
            <w:tcW w:type="dxa" w:w="30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http://localhost:7474</w:t>
            </w:r>
          </w:p>
        </w:tc>
        <w:tc>
          <w:tcPr>
            <w:tcW w:type="dxa" w:w="44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Graph inspection for technical demonstration</w:t>
            </w:r>
          </w:p>
        </w:tc>
      </w:tr>
    </w:tbl>
    <w:p>
      <w:pPr>
        <w:spacing w:after="20"/>
      </w:pPr>
    </w:p>
    <w:p>
      <w:pPr>
        <w:pStyle w:val="Heading2"/>
        <w:keepNext/>
      </w:pPr>
      <w:r>
        <w:t>Three-minute judge narrative</w:t>
      </w:r>
    </w:p>
    <w:p>
      <w:pPr>
        <w:pStyle w:val="ListNumber"/>
        <w:spacing w:after="120" w:line="264" w:lineRule="auto"/>
        <w:ind w:left="720" w:hanging="360"/>
      </w:pPr>
      <w:r>
        <w:rPr>
          <w:rFonts w:ascii="Aptos" w:hAnsi="Aptos"/>
          <w:b w:val="0"/>
          <w:i w:val="0"/>
          <w:color w:val="172033"/>
          <w:sz w:val="21"/>
        </w:rPr>
        <w:t>Run the live call demo and show the phase indicators update before the automatic stop screen.</w:t>
      </w:r>
    </w:p>
    <w:p>
      <w:pPr>
        <w:pStyle w:val="ListNumber"/>
        <w:spacing w:after="120" w:line="264" w:lineRule="auto"/>
        <w:ind w:left="720" w:hanging="360"/>
      </w:pPr>
      <w:r>
        <w:rPr>
          <w:rFonts w:ascii="Aptos" w:hAnsi="Aptos"/>
          <w:b w:val="0"/>
          <w:i w:val="0"/>
          <w:color w:val="172033"/>
          <w:sz w:val="21"/>
        </w:rPr>
        <w:t>Return, paste the seeded CBI transcript, and emphasize that the verdict is private and 0 B has been shared.</w:t>
      </w:r>
    </w:p>
    <w:p>
      <w:pPr>
        <w:pStyle w:val="ListNumber"/>
        <w:spacing w:after="120" w:line="264" w:lineRule="auto"/>
        <w:ind w:left="720" w:hanging="360"/>
      </w:pPr>
      <w:r>
        <w:rPr>
          <w:rFonts w:ascii="Aptos" w:hAnsi="Aptos"/>
          <w:b w:val="0"/>
          <w:i w:val="0"/>
          <w:color w:val="172033"/>
          <w:sz w:val="21"/>
        </w:rPr>
        <w:t>Approve selected evidence and show the consent receipt, retention choice, and RING-0 join.</w:t>
      </w:r>
    </w:p>
    <w:p>
      <w:pPr>
        <w:pStyle w:val="ListNumber"/>
        <w:spacing w:after="120" w:line="264" w:lineRule="auto"/>
        <w:ind w:left="720" w:hanging="360"/>
      </w:pPr>
      <w:r>
        <w:rPr>
          <w:rFonts w:ascii="Aptos" w:hAnsi="Aptos"/>
          <w:b w:val="0"/>
          <w:i w:val="0"/>
          <w:color w:val="172033"/>
          <w:sz w:val="21"/>
        </w:rPr>
        <w:t>Open the officer command dashboard, inspect the highlighted ring and hubs, then close on the citizen-to-intelligence loop.</w:t>
      </w:r>
    </w:p>
    <w:p>
      <w:pPr>
        <w:pStyle w:val="Heading1"/>
        <w:keepNext/>
      </w:pPr>
      <w:r>
        <w:t>11. Implemented, Synthetic, and Simulated Scope</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trPr>
        <w:tc>
          <w:tcPr>
            <w:tcW w:type="dxa" w:w="2050"/>
            <w:shd w:fill="13213C"/>
            <w:tcMar>
              <w:top w:w="80" w:type="dxa"/>
              <w:start w:w="120" w:type="dxa"/>
              <w:bottom w:w="80" w:type="dxa"/>
              <w:end w:w="120" w:type="dxa"/>
            </w:tcMar>
            <w:vAlign w:val="center"/>
          </w:tcPr>
          <w:p>
            <w:pPr>
              <w:spacing w:after="0"/>
            </w:pPr>
            <w:r>
              <w:rPr>
                <w:rFonts w:ascii="Aptos" w:hAnsi="Aptos"/>
                <w:b/>
                <w:i w:val="0"/>
                <w:color w:val="FFFFFF"/>
                <w:sz w:val="19"/>
              </w:rPr>
              <w:t>Category</w:t>
            </w:r>
          </w:p>
        </w:tc>
        <w:tc>
          <w:tcPr>
            <w:tcW w:type="dxa" w:w="7310"/>
            <w:shd w:fill="13213C"/>
            <w:tcMar>
              <w:top w:w="80" w:type="dxa"/>
              <w:start w:w="120" w:type="dxa"/>
              <w:bottom w:w="80" w:type="dxa"/>
              <w:end w:w="120" w:type="dxa"/>
            </w:tcMar>
            <w:vAlign w:val="center"/>
          </w:tcPr>
          <w:p>
            <w:pPr>
              <w:spacing w:after="0"/>
            </w:pPr>
            <w:r>
              <w:rPr>
                <w:rFonts w:ascii="Aptos" w:hAnsi="Aptos"/>
                <w:b/>
                <w:i w:val="0"/>
                <w:color w:val="FFFFFF"/>
                <w:sz w:val="19"/>
              </w:rPr>
              <w:t>Included scope</w:t>
            </w:r>
          </w:p>
        </w:tc>
      </w:tr>
      <w:tr>
        <w:tc>
          <w:tcPr>
            <w:tcW w:type="dxa" w:w="2050"/>
            <w:tcMar>
              <w:top w:w="80" w:type="dxa"/>
              <w:start w:w="120" w:type="dxa"/>
              <w:bottom w:w="80" w:type="dxa"/>
              <w:end w:w="120" w:type="dxa"/>
            </w:tcMar>
            <w:vAlign w:val="center"/>
          </w:tcPr>
          <w:p>
            <w:pPr>
              <w:spacing w:after="0" w:line="240" w:lineRule="auto"/>
            </w:pPr>
            <w:r>
              <w:rPr>
                <w:rFonts w:ascii="Aptos" w:hAnsi="Aptos"/>
                <w:b w:val="0"/>
                <w:i w:val="0"/>
                <w:color w:val="172033"/>
                <w:sz w:val="18"/>
              </w:rPr>
              <w:t>Implemented</w:t>
            </w:r>
          </w:p>
        </w:tc>
        <w:tc>
          <w:tcPr>
            <w:tcW w:type="dxa" w:w="7310"/>
            <w:tcMar>
              <w:top w:w="80" w:type="dxa"/>
              <w:start w:w="120" w:type="dxa"/>
              <w:bottom w:w="80" w:type="dxa"/>
              <w:end w:w="120" w:type="dxa"/>
            </w:tcMar>
            <w:vAlign w:val="center"/>
          </w:tcPr>
          <w:p>
            <w:pPr>
              <w:spacing w:after="0" w:line="240" w:lineRule="auto"/>
            </w:pPr>
            <w:r>
              <w:rPr>
                <w:rFonts w:ascii="Aptos" w:hAnsi="Aptos"/>
                <w:b w:val="0"/>
                <w:i w:val="0"/>
                <w:color w:val="172033"/>
                <w:sz w:val="18"/>
              </w:rPr>
              <w:t>Web routes, local risk analysis, live transcript handling, consent scopes, redaction, retention, deletion, FastAPI persistence, audit logs, Neo4j ingestion, ring APIs, officer graph, evidence package</w:t>
            </w:r>
          </w:p>
        </w:tc>
      </w:tr>
      <w:tr>
        <w:tc>
          <w:tcPr>
            <w:tcW w:type="dxa" w:w="20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Synthetic</w:t>
            </w:r>
          </w:p>
        </w:tc>
        <w:tc>
          <w:tcPr>
            <w:tcW w:type="dxa" w:w="73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Seed incidents, planted fraud rings, demo transcripts, and the 120-case benchmark</w:t>
            </w:r>
          </w:p>
        </w:tc>
      </w:tr>
      <w:tr>
        <w:tc>
          <w:tcPr>
            <w:tcW w:type="dxa" w:w="2050"/>
            <w:tcMar>
              <w:top w:w="80" w:type="dxa"/>
              <w:start w:w="120" w:type="dxa"/>
              <w:bottom w:w="80" w:type="dxa"/>
              <w:end w:w="120" w:type="dxa"/>
            </w:tcMar>
            <w:vAlign w:val="center"/>
          </w:tcPr>
          <w:p>
            <w:pPr>
              <w:spacing w:after="0" w:line="240" w:lineRule="auto"/>
            </w:pPr>
            <w:r>
              <w:rPr>
                <w:rFonts w:ascii="Aptos" w:hAnsi="Aptos"/>
                <w:b w:val="0"/>
                <w:i w:val="0"/>
                <w:color w:val="172033"/>
                <w:sz w:val="18"/>
              </w:rPr>
              <w:t>Simulated</w:t>
            </w:r>
          </w:p>
        </w:tc>
        <w:tc>
          <w:tcPr>
            <w:tcW w:type="dxa" w:w="7310"/>
            <w:tcMar>
              <w:top w:w="80" w:type="dxa"/>
              <w:start w:w="120" w:type="dxa"/>
              <w:bottom w:w="80" w:type="dxa"/>
              <w:end w:w="120" w:type="dxa"/>
            </w:tcMar>
            <w:vAlign w:val="center"/>
          </w:tcPr>
          <w:p>
            <w:pPr>
              <w:spacing w:after="0" w:line="240" w:lineRule="auto"/>
            </w:pPr>
            <w:r>
              <w:rPr>
                <w:rFonts w:ascii="Aptos" w:hAnsi="Aptos"/>
                <w:b w:val="0"/>
                <w:i w:val="0"/>
                <w:color w:val="172033"/>
                <w:sz w:val="18"/>
              </w:rPr>
              <w:t>Family Shield notification delivery</w:t>
            </w:r>
          </w:p>
        </w:tc>
      </w:tr>
      <w:tr>
        <w:tc>
          <w:tcPr>
            <w:tcW w:type="dxa" w:w="20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Not claimed complete</w:t>
            </w:r>
          </w:p>
        </w:tc>
        <w:tc>
          <w:tcPr>
            <w:tcW w:type="dxa" w:w="731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Image/PDF/audio-file extraction, production telephony carrier integration, field-validated accuracy, and multi-replica live-session storage</w:t>
            </w:r>
          </w:p>
        </w:tc>
      </w:tr>
    </w:tbl>
    <w:p>
      <w:pPr>
        <w:spacing w:after="20"/>
      </w:pPr>
    </w:p>
    <w:p>
      <w:pPr>
        <w:pStyle w:val="Heading1"/>
        <w:keepNext/>
      </w:pPr>
      <w:r>
        <w:t>12. Limitations and Next Steps</w:t>
      </w:r>
    </w:p>
    <w:p>
      <w:pPr>
        <w:pStyle w:val="ListBullet"/>
        <w:spacing w:after="100" w:line="264" w:lineRule="auto"/>
        <w:ind w:left="720" w:hanging="360"/>
      </w:pPr>
      <w:r>
        <w:rPr>
          <w:rFonts w:ascii="Aptos" w:hAnsi="Aptos"/>
          <w:b w:val="0"/>
          <w:i w:val="0"/>
          <w:color w:val="172033"/>
          <w:sz w:val="21"/>
        </w:rPr>
        <w:t>Validate accuracy on independently collected, consented, multilingual field data.</w:t>
      </w:r>
    </w:p>
    <w:p>
      <w:pPr>
        <w:pStyle w:val="ListBullet"/>
        <w:spacing w:after="100" w:line="264" w:lineRule="auto"/>
        <w:ind w:left="720" w:hanging="360"/>
      </w:pPr>
      <w:r>
        <w:rPr>
          <w:rFonts w:ascii="Aptos" w:hAnsi="Aptos"/>
          <w:b w:val="0"/>
          <w:i w:val="0"/>
          <w:color w:val="172033"/>
          <w:sz w:val="21"/>
        </w:rPr>
        <w:t>Move live-session state from process memory to an encrypted, expiring shared store for horizontal scaling.</w:t>
      </w:r>
    </w:p>
    <w:p>
      <w:pPr>
        <w:pStyle w:val="ListBullet"/>
        <w:spacing w:after="100" w:line="264" w:lineRule="auto"/>
        <w:ind w:left="720" w:hanging="360"/>
      </w:pPr>
      <w:r>
        <w:rPr>
          <w:rFonts w:ascii="Aptos" w:hAnsi="Aptos"/>
          <w:b w:val="0"/>
          <w:i w:val="0"/>
          <w:color w:val="172033"/>
          <w:sz w:val="21"/>
        </w:rPr>
        <w:t>Add production SIP/PSTN connectors only with explicit legal, consent, and telecom review.</w:t>
      </w:r>
    </w:p>
    <w:p>
      <w:pPr>
        <w:pStyle w:val="ListBullet"/>
        <w:spacing w:after="100" w:line="264" w:lineRule="auto"/>
        <w:ind w:left="720" w:hanging="360"/>
      </w:pPr>
      <w:r>
        <w:rPr>
          <w:rFonts w:ascii="Aptos" w:hAnsi="Aptos"/>
          <w:b w:val="0"/>
          <w:i w:val="0"/>
          <w:color w:val="172033"/>
          <w:sz w:val="21"/>
        </w:rPr>
        <w:t>Expand private speech accuracy for low-resource Indian languages and noisy call environments.</w:t>
      </w:r>
    </w:p>
    <w:p>
      <w:pPr>
        <w:pStyle w:val="ListBullet"/>
        <w:spacing w:after="100" w:line="264" w:lineRule="auto"/>
        <w:ind w:left="720" w:hanging="360"/>
      </w:pPr>
      <w:r>
        <w:rPr>
          <w:rFonts w:ascii="Aptos" w:hAnsi="Aptos"/>
          <w:b w:val="0"/>
          <w:i w:val="0"/>
          <w:color w:val="172033"/>
          <w:sz w:val="21"/>
        </w:rPr>
        <w:t>Integrate verified NCRP/1930 submission APIs if and when an authorized interface is available.</w:t>
      </w:r>
    </w:p>
    <w:p>
      <w:pPr>
        <w:pStyle w:val="ListBullet"/>
        <w:spacing w:after="100" w:line="264" w:lineRule="auto"/>
        <w:ind w:left="720" w:hanging="360"/>
      </w:pPr>
      <w:r>
        <w:rPr>
          <w:rFonts w:ascii="Aptos" w:hAnsi="Aptos"/>
          <w:b w:val="0"/>
          <w:i w:val="0"/>
          <w:color w:val="172033"/>
          <w:sz w:val="21"/>
        </w:rPr>
        <w:t>Conduct accessibility, adversarial, privacy, and law-enforcement workflow evaluations before deployment.</w:t>
      </w:r>
    </w:p>
    <w:p>
      <w:pPr>
        <w:pStyle w:val="Heading1"/>
        <w:keepNext/>
      </w:pPr>
      <w:r>
        <w:t>13. Team Contributions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13213C"/>
            <w:tcMar>
              <w:top w:w="80" w:type="dxa"/>
              <w:start w:w="120" w:type="dxa"/>
              <w:bottom w:w="80" w:type="dxa"/>
              <w:end w:w="120" w:type="dxa"/>
            </w:tcMar>
            <w:vAlign w:val="center"/>
          </w:tcPr>
          <w:p>
            <w:pPr>
              <w:spacing w:after="0"/>
            </w:pPr>
            <w:r>
              <w:rPr>
                <w:rFonts w:ascii="Aptos" w:hAnsi="Aptos"/>
                <w:b/>
                <w:i w:val="0"/>
                <w:color w:val="FFFFFF"/>
                <w:sz w:val="19"/>
              </w:rPr>
              <w:t>Contributor</w:t>
            </w:r>
          </w:p>
        </w:tc>
        <w:tc>
          <w:tcPr>
            <w:tcW w:type="dxa" w:w="7760"/>
            <w:shd w:fill="13213C"/>
            <w:tcMar>
              <w:top w:w="80" w:type="dxa"/>
              <w:start w:w="120" w:type="dxa"/>
              <w:bottom w:w="80" w:type="dxa"/>
              <w:end w:w="120" w:type="dxa"/>
            </w:tcMar>
            <w:vAlign w:val="center"/>
          </w:tcPr>
          <w:p>
            <w:pPr>
              <w:spacing w:after="0"/>
            </w:pPr>
            <w:r>
              <w:rPr>
                <w:rFonts w:ascii="Aptos" w:hAnsi="Aptos"/>
                <w:b/>
                <w:i w:val="0"/>
                <w:color w:val="FFFFFF"/>
                <w:sz w:val="19"/>
              </w:rPr>
              <w:t>Primary ownership</w:t>
            </w:r>
          </w:p>
        </w:tc>
      </w:tr>
      <w:tr>
        <w:tc>
          <w:tcPr>
            <w:tcW w:type="dxa" w:w="1600"/>
            <w:tcMar>
              <w:top w:w="80" w:type="dxa"/>
              <w:start w:w="120" w:type="dxa"/>
              <w:bottom w:w="80" w:type="dxa"/>
              <w:end w:w="120" w:type="dxa"/>
            </w:tcMar>
            <w:vAlign w:val="center"/>
          </w:tcPr>
          <w:p>
            <w:pPr>
              <w:spacing w:after="0" w:line="240" w:lineRule="auto"/>
            </w:pPr>
            <w:r>
              <w:rPr>
                <w:rFonts w:ascii="Aptos" w:hAnsi="Aptos"/>
                <w:b w:val="0"/>
                <w:i w:val="0"/>
                <w:color w:val="172033"/>
                <w:sz w:val="18"/>
              </w:rPr>
              <w:t>Ivan</w:t>
            </w:r>
          </w:p>
        </w:tc>
        <w:tc>
          <w:tcPr>
            <w:tcW w:type="dxa" w:w="7760"/>
            <w:tcMar>
              <w:top w:w="80" w:type="dxa"/>
              <w:start w:w="120" w:type="dxa"/>
              <w:bottom w:w="80" w:type="dxa"/>
              <w:end w:w="120" w:type="dxa"/>
            </w:tcMar>
            <w:vAlign w:val="center"/>
          </w:tcPr>
          <w:p>
            <w:pPr>
              <w:spacing w:after="0" w:line="240" w:lineRule="auto"/>
            </w:pPr>
            <w:r>
              <w:rPr>
                <w:rFonts w:ascii="Aptos" w:hAnsi="Aptos"/>
                <w:b w:val="0"/>
                <w:i w:val="0"/>
                <w:color w:val="172033"/>
                <w:sz w:val="18"/>
              </w:rPr>
              <w:t>Platform scaffold, database and migrations, Docker Compose, officer dashboard, integration, evidence package, load/offline checks, and release documentation</w:t>
            </w:r>
          </w:p>
        </w:tc>
      </w:tr>
      <w:tr>
        <w:tc>
          <w:tcPr>
            <w:tcW w:type="dxa" w:w="16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Mit</w:t>
            </w:r>
          </w:p>
        </w:tc>
        <w:tc>
          <w:tcPr>
            <w:tcW w:type="dxa" w:w="77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Deterministic rules, structured classifier, calibrated fusion, offline fallback, and evaluation harness</w:t>
            </w:r>
          </w:p>
        </w:tc>
      </w:tr>
      <w:tr>
        <w:tc>
          <w:tcPr>
            <w:tcW w:type="dxa" w:w="1600"/>
            <w:tcMar>
              <w:top w:w="80" w:type="dxa"/>
              <w:start w:w="120" w:type="dxa"/>
              <w:bottom w:w="80" w:type="dxa"/>
              <w:end w:w="120" w:type="dxa"/>
            </w:tcMar>
            <w:vAlign w:val="center"/>
          </w:tcPr>
          <w:p>
            <w:pPr>
              <w:spacing w:after="0" w:line="240" w:lineRule="auto"/>
            </w:pPr>
            <w:r>
              <w:rPr>
                <w:rFonts w:ascii="Aptos" w:hAnsi="Aptos"/>
                <w:b w:val="0"/>
                <w:i w:val="0"/>
                <w:color w:val="172033"/>
                <w:sz w:val="18"/>
              </w:rPr>
              <w:t>Adith</w:t>
            </w:r>
          </w:p>
        </w:tc>
        <w:tc>
          <w:tcPr>
            <w:tcW w:type="dxa" w:w="7760"/>
            <w:tcMar>
              <w:top w:w="80" w:type="dxa"/>
              <w:start w:w="120" w:type="dxa"/>
              <w:bottom w:w="80" w:type="dxa"/>
              <w:end w:w="120" w:type="dxa"/>
            </w:tcMar>
            <w:vAlign w:val="center"/>
          </w:tcPr>
          <w:p>
            <w:pPr>
              <w:spacing w:after="0" w:line="240" w:lineRule="auto"/>
            </w:pPr>
            <w:r>
              <w:rPr>
                <w:rFonts w:ascii="Aptos" w:hAnsi="Aptos"/>
                <w:b w:val="0"/>
                <w:i w:val="0"/>
                <w:color w:val="172033"/>
                <w:sz w:val="18"/>
              </w:rPr>
              <w:t>Citizen check experience, five-phase timeline, intervention, Family Shield, language and explainability UI, and complaint export</w:t>
            </w:r>
          </w:p>
        </w:tc>
      </w:tr>
      <w:tr>
        <w:tc>
          <w:tcPr>
            <w:tcW w:type="dxa" w:w="160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John</w:t>
            </w:r>
          </w:p>
        </w:tc>
        <w:tc>
          <w:tcPr>
            <w:tcW w:type="dxa" w:w="77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Neo4j ingestion, ring detection, hub ranking, ring APIs, and planted-ring validation</w:t>
            </w:r>
          </w:p>
        </w:tc>
      </w:tr>
    </w:tbl>
    <w:p>
      <w:pPr>
        <w:spacing w:after="20"/>
      </w:pPr>
    </w:p>
    <w:p>
      <w:pPr>
        <w:pStyle w:val="Heading1"/>
        <w:keepNext/>
      </w:pPr>
      <w:r>
        <w:t>Conclusion</w:t>
      </w:r>
    </w:p>
    <w:p>
      <w:pPr>
        <w:spacing w:after="120" w:line="264" w:lineRule="auto"/>
      </w:pPr>
      <w:r>
        <w:rPr>
          <w:rFonts w:ascii="Aptos" w:hAnsi="Aptos"/>
          <w:b w:val="0"/>
          <w:i w:val="0"/>
          <w:color w:val="172033"/>
          <w:sz w:val="21"/>
        </w:rPr>
        <w:t>PRAHARI demonstrates a credible, working intervention architecture for digital-arrest scams. Its strongest contribution is not a single classifier or dashboard; it is the privacy-preserving connection between live citizen protection and cross-report fraud intelligence. The prototype warns early, explains why, asks permission before sharing, and gives officers a connected view of the infrastructure behind repeated scams.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CFDF5"/>
          </w:tcPr>
          <w:p>
            <w:pPr>
              <w:spacing w:after="40"/>
            </w:pPr>
            <w:r>
              <w:rPr>
                <w:rFonts w:ascii="Aptos" w:hAnsi="Aptos"/>
                <w:b/>
                <w:i w:val="0"/>
                <w:color w:val="0F766E"/>
                <w:sz w:val="21"/>
              </w:rPr>
              <w:t xml:space="preserve">FINAL POSITION  </w:t>
            </w:r>
            <w:r>
              <w:rPr>
                <w:rFonts w:ascii="Aptos" w:hAnsi="Aptos"/>
                <w:b w:val="0"/>
                <w:i w:val="0"/>
                <w:color w:val="172033"/>
                <w:sz w:val="21"/>
              </w:rPr>
              <w:t>Stop the scam before the money moves. Keep the citizen in control of their evidence. Turn approved signals into collective protection.</w:t>
            </w:r>
          </w:p>
        </w:tc>
      </w:tr>
    </w:tbl>
    <w:p>
      <w:pPr>
        <w:spacing w:after="20"/>
      </w:pPr>
    </w:p>
    <w:p>
      <w:pPr>
        <w:pStyle w:val="Heading1"/>
        <w:keepNext/>
      </w:pPr>
      <w:r>
        <w:t>Appendix A. Key API Endpoints</w:t>
      </w:r>
    </w:p>
    <w:tbl>
      <w:tblPr>
        <w:tblStyle w:val="TableGrid"/>
        <w:tblW w:type="dxa" w:w="9360"/>
        <w:jc w:val="left"/>
        <w:tblLayout w:type="fixed"/>
        <w:tblLook w:firstColumn="1" w:firstRow="1" w:lastColumn="0" w:lastRow="0" w:noHBand="0" w:noVBand="1" w:val="04A0"/>
        <w:tblInd w:w="120" w:type="dxa"/>
      </w:tblPr>
      <w:tblGrid>
        <w:gridCol w:w="1050"/>
        <w:gridCol w:w="3850"/>
        <w:gridCol w:w="4460"/>
      </w:tblGrid>
      <w:tr>
        <w:trPr>
          <w:tblHeader w:val="true"/>
        </w:trPr>
        <w:tc>
          <w:tcPr>
            <w:tcW w:type="dxa" w:w="1050"/>
            <w:shd w:fill="13213C"/>
            <w:tcMar>
              <w:top w:w="80" w:type="dxa"/>
              <w:start w:w="120" w:type="dxa"/>
              <w:bottom w:w="80" w:type="dxa"/>
              <w:end w:w="120" w:type="dxa"/>
            </w:tcMar>
            <w:vAlign w:val="center"/>
          </w:tcPr>
          <w:p>
            <w:pPr>
              <w:spacing w:after="0"/>
            </w:pPr>
            <w:r>
              <w:rPr>
                <w:rFonts w:ascii="Aptos" w:hAnsi="Aptos"/>
                <w:b/>
                <w:i w:val="0"/>
                <w:color w:val="FFFFFF"/>
                <w:sz w:val="19"/>
              </w:rPr>
              <w:t>Method</w:t>
            </w:r>
          </w:p>
        </w:tc>
        <w:tc>
          <w:tcPr>
            <w:tcW w:type="dxa" w:w="3850"/>
            <w:shd w:fill="13213C"/>
            <w:tcMar>
              <w:top w:w="80" w:type="dxa"/>
              <w:start w:w="120" w:type="dxa"/>
              <w:bottom w:w="80" w:type="dxa"/>
              <w:end w:w="120" w:type="dxa"/>
            </w:tcMar>
            <w:vAlign w:val="center"/>
          </w:tcPr>
          <w:p>
            <w:pPr>
              <w:spacing w:after="0"/>
            </w:pPr>
            <w:r>
              <w:rPr>
                <w:rFonts w:ascii="Aptos" w:hAnsi="Aptos"/>
                <w:b/>
                <w:i w:val="0"/>
                <w:color w:val="FFFFFF"/>
                <w:sz w:val="19"/>
              </w:rPr>
              <w:t>Endpoint</w:t>
            </w:r>
          </w:p>
        </w:tc>
        <w:tc>
          <w:tcPr>
            <w:tcW w:type="dxa" w:w="4460"/>
            <w:shd w:fill="13213C"/>
            <w:tcMar>
              <w:top w:w="80" w:type="dxa"/>
              <w:start w:w="120" w:type="dxa"/>
              <w:bottom w:w="80" w:type="dxa"/>
              <w:end w:w="120" w:type="dxa"/>
            </w:tcMar>
            <w:vAlign w:val="center"/>
          </w:tcPr>
          <w:p>
            <w:pPr>
              <w:spacing w:after="0"/>
            </w:pPr>
            <w:r>
              <w:rPr>
                <w:rFonts w:ascii="Aptos" w:hAnsi="Aptos"/>
                <w:b/>
                <w:i w:val="0"/>
                <w:color w:val="FFFFFF"/>
                <w:sz w:val="19"/>
              </w:rPr>
              <w:t>Purpose</w:t>
            </w:r>
          </w:p>
        </w:tc>
      </w:tr>
      <w:tr>
        <w:tc>
          <w:tcPr>
            <w:tcW w:type="dxa" w:w="1050"/>
            <w:tcMar>
              <w:top w:w="80" w:type="dxa"/>
              <w:start w:w="120" w:type="dxa"/>
              <w:bottom w:w="80" w:type="dxa"/>
              <w:end w:w="120" w:type="dxa"/>
            </w:tcMar>
            <w:vAlign w:val="center"/>
          </w:tcPr>
          <w:p>
            <w:pPr>
              <w:spacing w:after="0" w:line="240" w:lineRule="auto"/>
            </w:pPr>
            <w:r>
              <w:rPr>
                <w:rFonts w:ascii="Aptos" w:hAnsi="Aptos"/>
                <w:b w:val="0"/>
                <w:i w:val="0"/>
                <w:color w:val="172033"/>
                <w:sz w:val="18"/>
              </w:rPr>
              <w:t>POST</w:t>
            </w:r>
          </w:p>
        </w:tc>
        <w:tc>
          <w:tcPr>
            <w:tcW w:type="dxa" w:w="3850"/>
            <w:tcMar>
              <w:top w:w="80" w:type="dxa"/>
              <w:start w:w="120" w:type="dxa"/>
              <w:bottom w:w="80" w:type="dxa"/>
              <w:end w:w="120" w:type="dxa"/>
            </w:tcMar>
            <w:vAlign w:val="center"/>
          </w:tcPr>
          <w:p>
            <w:pPr>
              <w:spacing w:after="0" w:line="240" w:lineRule="auto"/>
            </w:pPr>
            <w:r>
              <w:rPr>
                <w:rFonts w:ascii="Aptos" w:hAnsi="Aptos"/>
                <w:b w:val="0"/>
                <w:i w:val="0"/>
                <w:color w:val="172033"/>
                <w:sz w:val="18"/>
              </w:rPr>
              <w:t>/api/analyze</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Consent-gated full transcript analysis and graph sync</w:t>
            </w:r>
          </w:p>
        </w:tc>
      </w:tr>
      <w:tr>
        <w:tc>
          <w:tcPr>
            <w:tcW w:type="dxa" w:w="10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POST</w:t>
            </w:r>
          </w:p>
        </w:tc>
        <w:tc>
          <w:tcPr>
            <w:tcW w:type="dxa" w:w="38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/api/analyze/session/start</w:t>
            </w:r>
          </w:p>
        </w:tc>
        <w:tc>
          <w:tcPr>
            <w:tcW w:type="dxa" w:w="44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Begin an incremental live session</w:t>
            </w:r>
          </w:p>
        </w:tc>
      </w:tr>
      <w:tr>
        <w:tc>
          <w:tcPr>
            <w:tcW w:type="dxa" w:w="1050"/>
            <w:tcMar>
              <w:top w:w="80" w:type="dxa"/>
              <w:start w:w="120" w:type="dxa"/>
              <w:bottom w:w="80" w:type="dxa"/>
              <w:end w:w="120" w:type="dxa"/>
            </w:tcMar>
            <w:vAlign w:val="center"/>
          </w:tcPr>
          <w:p>
            <w:pPr>
              <w:spacing w:after="0" w:line="240" w:lineRule="auto"/>
            </w:pPr>
            <w:r>
              <w:rPr>
                <w:rFonts w:ascii="Aptos" w:hAnsi="Aptos"/>
                <w:b w:val="0"/>
                <w:i w:val="0"/>
                <w:color w:val="172033"/>
                <w:sz w:val="18"/>
              </w:rPr>
              <w:t>POST</w:t>
            </w:r>
          </w:p>
        </w:tc>
        <w:tc>
          <w:tcPr>
            <w:tcW w:type="dxa" w:w="3850"/>
            <w:tcMar>
              <w:top w:w="80" w:type="dxa"/>
              <w:start w:w="120" w:type="dxa"/>
              <w:bottom w:w="80" w:type="dxa"/>
              <w:end w:w="120" w:type="dxa"/>
            </w:tcMar>
            <w:vAlign w:val="center"/>
          </w:tcPr>
          <w:p>
            <w:pPr>
              <w:spacing w:after="0" w:line="240" w:lineRule="auto"/>
            </w:pPr>
            <w:r>
              <w:rPr>
                <w:rFonts w:ascii="Aptos" w:hAnsi="Aptos"/>
                <w:b w:val="0"/>
                <w:i w:val="0"/>
                <w:color w:val="172033"/>
                <w:sz w:val="18"/>
              </w:rPr>
              <w:t>/api/analyze/session/{id}/chunk</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Analyze an intermediate or final transcript chunk</w:t>
            </w:r>
          </w:p>
        </w:tc>
      </w:tr>
      <w:tr>
        <w:tc>
          <w:tcPr>
            <w:tcW w:type="dxa" w:w="10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GET</w:t>
            </w:r>
          </w:p>
        </w:tc>
        <w:tc>
          <w:tcPr>
            <w:tcW w:type="dxa" w:w="38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/api/rings</w:t>
            </w:r>
          </w:p>
        </w:tc>
        <w:tc>
          <w:tcPr>
            <w:tcW w:type="dxa" w:w="44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List ranked fraud rings</w:t>
            </w:r>
          </w:p>
        </w:tc>
      </w:tr>
      <w:tr>
        <w:tc>
          <w:tcPr>
            <w:tcW w:type="dxa" w:w="1050"/>
            <w:tcMar>
              <w:top w:w="80" w:type="dxa"/>
              <w:start w:w="120" w:type="dxa"/>
              <w:bottom w:w="80" w:type="dxa"/>
              <w:end w:w="120" w:type="dxa"/>
            </w:tcMar>
            <w:vAlign w:val="center"/>
          </w:tcPr>
          <w:p>
            <w:pPr>
              <w:spacing w:after="0" w:line="240" w:lineRule="auto"/>
            </w:pPr>
            <w:r>
              <w:rPr>
                <w:rFonts w:ascii="Aptos" w:hAnsi="Aptos"/>
                <w:b w:val="0"/>
                <w:i w:val="0"/>
                <w:color w:val="172033"/>
                <w:sz w:val="18"/>
              </w:rPr>
              <w:t>GET</w:t>
            </w:r>
          </w:p>
        </w:tc>
        <w:tc>
          <w:tcPr>
            <w:tcW w:type="dxa" w:w="3850"/>
            <w:tcMar>
              <w:top w:w="80" w:type="dxa"/>
              <w:start w:w="120" w:type="dxa"/>
              <w:bottom w:w="80" w:type="dxa"/>
              <w:end w:w="120" w:type="dxa"/>
            </w:tcMar>
            <w:vAlign w:val="center"/>
          </w:tcPr>
          <w:p>
            <w:pPr>
              <w:spacing w:after="0" w:line="240" w:lineRule="auto"/>
            </w:pPr>
            <w:r>
              <w:rPr>
                <w:rFonts w:ascii="Aptos" w:hAnsi="Aptos"/>
                <w:b w:val="0"/>
                <w:i w:val="0"/>
                <w:color w:val="172033"/>
                <w:sz w:val="18"/>
              </w:rPr>
              <w:t>/api/rings/{id}</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Return reports, hubs, and graph JSON</w:t>
            </w:r>
          </w:p>
        </w:tc>
      </w:tr>
      <w:tr>
        <w:tc>
          <w:tcPr>
            <w:tcW w:type="dxa" w:w="10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GET</w:t>
            </w:r>
          </w:p>
        </w:tc>
        <w:tc>
          <w:tcPr>
            <w:tcW w:type="dxa" w:w="385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/api/rings/{id}/evidence-package</w:t>
            </w:r>
          </w:p>
        </w:tc>
        <w:tc>
          <w:tcPr>
            <w:tcW w:type="dxa" w:w="4460"/>
            <w:shd w:fill="F2F4F7"/>
            <w:tcMar>
              <w:top w:w="80" w:type="dxa"/>
              <w:start w:w="120" w:type="dxa"/>
              <w:bottom w:w="80" w:type="dxa"/>
              <w:end w:w="120" w:type="dxa"/>
            </w:tcMar>
            <w:vAlign w:val="center"/>
          </w:tcPr>
          <w:p>
            <w:pPr>
              <w:spacing w:after="0" w:line="240" w:lineRule="auto"/>
            </w:pPr>
            <w:r>
              <w:rPr>
                <w:rFonts w:ascii="Aptos" w:hAnsi="Aptos"/>
                <w:b w:val="0"/>
                <w:i w:val="0"/>
                <w:color w:val="172033"/>
                <w:sz w:val="18"/>
              </w:rPr>
              <w:t>Return the human-review evidence package</w:t>
            </w:r>
          </w:p>
        </w:tc>
      </w:tr>
      <w:tr>
        <w:tc>
          <w:tcPr>
            <w:tcW w:type="dxa" w:w="1050"/>
            <w:tcMar>
              <w:top w:w="80" w:type="dxa"/>
              <w:start w:w="120" w:type="dxa"/>
              <w:bottom w:w="80" w:type="dxa"/>
              <w:end w:w="120" w:type="dxa"/>
            </w:tcMar>
            <w:vAlign w:val="center"/>
          </w:tcPr>
          <w:p>
            <w:pPr>
              <w:spacing w:after="0" w:line="240" w:lineRule="auto"/>
            </w:pPr>
            <w:r>
              <w:rPr>
                <w:rFonts w:ascii="Aptos" w:hAnsi="Aptos"/>
                <w:b w:val="0"/>
                <w:i w:val="0"/>
                <w:color w:val="172033"/>
                <w:sz w:val="18"/>
              </w:rPr>
              <w:t>DELETE</w:t>
            </w:r>
          </w:p>
        </w:tc>
        <w:tc>
          <w:tcPr>
            <w:tcW w:type="dxa" w:w="3850"/>
            <w:tcMar>
              <w:top w:w="80" w:type="dxa"/>
              <w:start w:w="120" w:type="dxa"/>
              <w:bottom w:w="80" w:type="dxa"/>
              <w:end w:w="120" w:type="dxa"/>
            </w:tcMar>
            <w:vAlign w:val="center"/>
          </w:tcPr>
          <w:p>
            <w:pPr>
              <w:spacing w:after="0" w:line="240" w:lineRule="auto"/>
            </w:pPr>
            <w:r>
              <w:rPr>
                <w:rFonts w:ascii="Aptos" w:hAnsi="Aptos"/>
                <w:b w:val="0"/>
                <w:i w:val="0"/>
                <w:color w:val="172033"/>
                <w:sz w:val="18"/>
              </w:rPr>
              <w:t>/api/incidents/{id}</w:t>
            </w:r>
          </w:p>
        </w:tc>
        <w:tc>
          <w:tcPr>
            <w:tcW w:type="dxa" w:w="4460"/>
            <w:tcMar>
              <w:top w:w="80" w:type="dxa"/>
              <w:start w:w="120" w:type="dxa"/>
              <w:bottom w:w="80" w:type="dxa"/>
              <w:end w:w="120" w:type="dxa"/>
            </w:tcMar>
            <w:vAlign w:val="center"/>
          </w:tcPr>
          <w:p>
            <w:pPr>
              <w:spacing w:after="0" w:line="240" w:lineRule="auto"/>
            </w:pPr>
            <w:r>
              <w:rPr>
                <w:rFonts w:ascii="Aptos" w:hAnsi="Aptos"/>
                <w:b w:val="0"/>
                <w:i w:val="0"/>
                <w:color w:val="172033"/>
                <w:sz w:val="18"/>
              </w:rPr>
              <w:t>Withdraw consent and delete linked records</w:t>
            </w:r>
          </w:p>
        </w:tc>
      </w:tr>
    </w:tbl>
    <w:p>
      <w:pPr>
        <w:spacing w:after="20"/>
      </w:pPr>
    </w:p>
    <w:p>
      <w:pPr>
        <w:pStyle w:val="Heading1"/>
        <w:keepNext/>
      </w:pPr>
      <w:r>
        <w:t>Appendix B. Repository and Reporting Links</w:t>
      </w:r>
    </w:p>
    <w:p>
      <w:pPr>
        <w:spacing w:after="120" w:line="264" w:lineRule="auto"/>
      </w:pPr>
      <w:r>
        <w:rPr>
          <w:rFonts w:ascii="Aptos" w:hAnsi="Aptos"/>
          <w:b w:val="0"/>
          <w:i w:val="0"/>
          <w:color w:val="172033"/>
          <w:sz w:val="21"/>
        </w:rPr>
        <w:t>Repository: https://github.com/ivanmathewsiby/PRAHARI</w:t>
      </w:r>
    </w:p>
    <w:p>
      <w:pPr>
        <w:spacing w:after="120" w:line="264" w:lineRule="auto"/>
      </w:pPr>
      <w:r>
        <w:rPr>
          <w:rFonts w:ascii="Aptos" w:hAnsi="Aptos"/>
          <w:b w:val="0"/>
          <w:i w:val="0"/>
          <w:color w:val="172033"/>
          <w:sz w:val="21"/>
        </w:rPr>
        <w:t>National Cyber Crime Reporting Portal: https://cybercrime.gov.in</w:t>
      </w:r>
    </w:p>
    <w:p>
      <w:pPr>
        <w:spacing w:after="120" w:line="264" w:lineRule="auto"/>
      </w:pPr>
      <w:r>
        <w:rPr>
          <w:rFonts w:ascii="Aptos" w:hAnsi="Aptos"/>
          <w:b w:val="0"/>
          <w:i w:val="0"/>
          <w:color w:val="172033"/>
          <w:sz w:val="21"/>
        </w:rPr>
        <w:t>National Cyber Crime Helpline: 1930</w:t>
      </w:r>
    </w:p>
    <w:sectPr w:rsidR="00FC693F" w:rsidRPr="0006063C" w:rsidSect="00034616">
      <w:headerReference w:type="default" r:id="rId9"/>
      <w:footerReference w:type="default" r:id="rId10"/>
      <w:pgSz w:w="12240" w:h="15840"/>
      <w:pgMar w:top="1181" w:right="1440" w:bottom="1181" w:left="1440"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D6678"/>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D6678"/>
        <w:sz w:val="17"/>
      </w:rPr>
      <w:t>PRAHARI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3213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PRAHARI Project Report</dc:title>
  <dc:subject>Privacy-first live scam intervention and fraud-ring intelligence</dc:subject>
  <dc:creator>PRAHARI Team</dc:creator>
  <cp:keywords>PRAHARI, digital arrest scam, privacy, graph intelligence, hackathon</cp:keywords>
  <dc:description>generated by python-docx</dc:description>
  <cp:lastModifiedBy/>
  <cp:revision>1</cp:revision>
  <dcterms:created xsi:type="dcterms:W3CDTF">2013-12-23T23:15:00Z</dcterms:created>
  <dcterms:modified xsi:type="dcterms:W3CDTF">2013-12-23T23:15:00Z</dcterms:modified>
  <cp:category/>
</cp:coreProperties>
</file>