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66"/>
          <w:sz-cs w:val="66"/>
          <w:b/>
          <w:spacing w:val="0"/>
          <w:color w:val="13253C"/>
        </w:rPr>
        <w:t xml:space="preserve">«Соседи»</w:t>
      </w:r>
    </w:p>
    <w:p>
      <w:pPr/>
      <w:r>
        <w:rPr>
          <w:rFonts w:ascii="Arial" w:hAnsi="Arial" w:cs="Arial"/>
          <w:sz w:val="34"/>
          <w:sz-cs w:val="34"/>
          <w:spacing w:val="0"/>
          <w:color w:val="4F5C70"/>
        </w:rPr>
        <w:t xml:space="preserve">Задание юристу: документы и решения для запуска MVP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Цель документа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Подготовить юридическую модель и комплект документов, после которых сервис сможет законно принимать реальные платежи, организовывать P2P-аренду вещей и выплачивать деньги владельцам через «Безопасную сделку».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Дата: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8 августа 2026 года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Заказчик: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[указать ИП/ООО и реквизиты]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Проект: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мобильное приложение и сайт «Соседи»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1. Что мы делаем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«Соседи» — российский мобильный P2P-сервис платной аренды личных вещей между людьми, которые находятся рядом.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Один пользователь может одновременно брать чужие вещи в аренду и сдавать собственные. На старте планируются простые бытовые категории: проекторы, фото- и видеотехника, игровые приставки, настольные игры, музыкальные инструменты и бытовые швейные машины.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Как проходит аренда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Пользователь регистрируется по номеру телефона.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Владелец размещает объявление с фото, описанием, ценой, состоянием и комплектностью вещи.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Объявление проходит модерацию.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Арендатор выбирает даты, принимает актуальные условия и отправляет заявку.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Владелец подтверждает бронирование.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Арендатор платит онлайн через «Безопасную сделку».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Платёжный провайдер удерживает деньги до завершения аренды.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Стороны лично передают вещь и фиксируют её состояние.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После возврата проходит установленное окно для открытия спора.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Если спора нет, провайдер перечисляет владельцу его часть, а Sosedi — комиссию.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Если открыт спор, выплата блокируется до решения.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Важно: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Sosedi не должен получать всю стоимость аренды на свой расчётный счёт, хранить данные банковских карт или вручную переводить владельцам деньги. Основной кандидат — ЮKassa «Безопасная сделка». Запасной провайдер выбирается только если ЮKassa письменно не подтвердит нужный сценарий.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2. Что нужно сделать до запуска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2.1. Определи юридическую модель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Подготовь письменное заключение и простую схему договорных отношений. Ответь: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кем является Sosedi: площадкой, посредником, агентом, владельцем агрегатора или оператором посреднической цифровой платформы;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заключает договор аренды и является ли Sosedi его стороной;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за что отвечает Sosedi, владелец и арендатор;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можно ли организовать аренду между двумя обычными физическими лицами;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что меняется, если владелец — самозанятый или ИП;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когда применяется Закон о защите прав потребителей;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подпадает ли сервис под закон о платформенной экономике и нужно ли включение в реестр;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какие сведения Sosedi обязан проверять у владельца и показывать арендатору.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Наша исходная модель: договор аренды заключается между владельцем и арендатором; Sosedi предоставляет площадку, модерацию, бронирование, поддержку и организацию расчётов; деньги удерживает провайдер; после возврата провайдер выплачивает владельцу его часть и отдельно перечисляет комиссию Sosedi. Проверь эту модель и предложи безопасную замену, если она не подходит.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2.2. Согласуй движение денег, налоги и чеки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Совместно с бухгалтером или налоговым специалистом зафиксируй: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кому юридически принадлежат деньги на каждом этапе;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можно ли выплачивать обычным физическим лицам или нужен статус НПД/ИП;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идентифицирует владельца и какие результаты проверки получает Sosedi;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когда возникает право Sosedi на комиссию;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платит комиссию, как она показывается в цене и возвращается при отмене;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несёт невозвращаемые расходы провайдера;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и когда формирует чеки прихода и возврата;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какие документы получает арендатор и владелец;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как учитываются НДС, доход Sosedi и доход владельца;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какие предупреждения о налогах нужно показать владельцу;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какие финансовые документы и сколько времени нужно хранить.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Отдельно проверь, может ли обычное физлицо регулярно сдавать вещи, когда такая деятельность становится предпринимательской и применим ли НПД к сдаче движимого имущества.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2.3. Проверь договор ЮKassa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После получения договора и коммерческого предложения проверь: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разрешена ли именно P2P-аренда вещей;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разрешены ли выплаты физлицам, самозанятым и ИП;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кто проводит идентификацию получателя и нужно ли Sosedi хранить документы;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срок удержания денег и его совместимость с ранним бронированием, сроком аренды и окном спора;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полный и частичный refund, частичную выплату, payout freeze и chargeback;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возврат комиссии Sosedi и комиссии провайдера;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лимиты, запрещённые категории и ответственность сторон;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54-ФЗ, онлайн-кассу и порядок формирования чеков;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локализацию, обработку и удаление персональных данных;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расторжение договора и получение финансовой истории.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Дай список обязательных договорных условий. Если ЮKassa не поддерживает схему «оплата → удержание → возврат/спор → выплата владельцу и комиссии Sosedi», подготовь требования к альтернативному провайдеру.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2.4. Подготовь договоры и публичные правила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Документ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Что в нём должно быть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Пользовательское соглашение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Регистрация, правила сервиса, роль Sosedi, объявления, модерация, бронирование, оплата, комиссия, поддержка, уведомления, жалобы, блокировка, ответственность, удаление аккаунта, изменение условий, претензии и реквизиты.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Правила P2P-аренды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Заключение договора между сторонами, вещь, срок, цена, право распоряжаться вещью, состояние и комплектность, выдача и возврат, фотофиксация, безопасное использование, износ, повреждение, утрата, кража, просрочка и доказательства.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Условия для владельца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Допустимый статус владельца, идентификация, реквизиты, налоги, достоверность объявления, безопасность вещи, комиссия, выплаты, возвраты, блокировка выплаты и прекращение работы.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Оплата, отмены и споры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Матрица отмен, no-show, непередачи, несоответствия описанию, раннего/позднего возврата, повреждения и утраты. Для каждого случая: срок, доказательства, refund, комиссия, payout, решение и обжалование.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Правила объявлений и категорий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Разрешённые, ограниченные и запрещённые вещи, обязательное описание состояния, safety-требования, модерация, повторная проверка после изменений, удаление и добавление новых категорий.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Правила жалоб и блокировок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Запрещённый контент, контрафакт, мошенничество, жалобы, доказательства, скрытие объявления, блокировка, активные аренды, обжалование и обращения органов.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Все документы должны иметь номер версии и дату вступления в силу. Определи, какие изменения требуют повторного принятия пользователем. При каждом бронировании Sosedi будет хранить версию принятых условий и неизменяемый снимок цены и существенных условий.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2.5. Подготовь комплект по персональным данным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Sosedi обрабатывает телефон, профиль, фотографии, приблизительную и точную геолокацию, адрес передачи, бронирования, сообщения поддержки, жалобы, доказательства, платёжные идентификаторы и статусы, историю согласий и технические журналы. Основные данные и резервные копии размещаются в РФ.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Провайдеры: SMS.ru, ЮKassa, российское S3-хранилище, Yandex MapKit, FCM, RuStore Push, AppMetrica после согласия и собственный GlitchTip в РФ.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Подготовь: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публичную политику обработки персональных данных;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отдельные согласия там, где они нужны: ПД, распространение, точная геолокация, аналитика, реклама и передача провайдеру;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матрицу «цель → данные → основание → срок → получатель → удаление»;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правила экспорта, исправления, отзыва согласия и удаления;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оценку трансграничной передачи по каждому внешнему SDK;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поручения обработки и требования к договорам с подрядчиками;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уведомление Роскомнадзору об обработке ПД и, если потребуется, о трансграничной передаче;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приказ об ответственном, внутреннее положение, список систем и лиц с доступом;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регламент доступа, внутреннего контроля, уничтожения и действий при утечке;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форму акта и журнал уничтожения, оценку вреда и порядок запросов субъектов.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Не объединяй разные согласия в один обязательный чекбокс, если пользователь должен иметь возможность выбирать.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2.6. Утверди хранение и удаление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Проверь сроки для профиля, телефона, адресов, фото, объявлений, бронирований, платежей, чеков, актов передачи, споров, поддержки, жалоб, admin-аудита, согласий, security-логов и backup.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Исходная модель: профиль скрывается сразу после запроса; активная аренда, спор, refund или payout временно блокируют окончательное удаление; после завершения обязательств прямые идентификаторы очищаются; booking/evidence/UGC хранятся ориентировочно 3 года; необходимые финансовые и налоговые документы — не менее 5 лет; legal hold ограничивается конкретным спором; удаление распространяется на БД, файлы, Redis, логи, подрядчиков и резервные копии.</w:t>
      </w:r>
    </w:p>
    <w:p>
      <w:pPr>
        <w:spacing w:after="140"/>
      </w:pPr>
      <w:r>
        <w:rPr>
          <w:rFonts w:ascii="Arial" w:hAnsi="Arial" w:cs="Arial"/>
          <w:sz w:val="34"/>
          <w:sz-cs w:val="34"/>
          <w:b/>
          <w:spacing w:val="0"/>
          <w:color w:val="1F3A5A"/>
        </w:rPr>
        <w:t xml:space="preserve">2.7. Подготовь тексты для сайта и магазинов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Дай готовые тексты и обязательные реквизиты для: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страницы удаления аккаунта;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страницы поддержки и юридических претензий;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App Store, Google Play и RuStore;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экрана перед бронированием и оплатой;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карточки объявления;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уведомлений о платеже, возврате и выплате.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3. Категории на старте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Статус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Категории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Разрешить после проверки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Проекторы и экраны; фото- и видеотехника; игровые приставки; настольные игры; музыкальные инструменты; бытовые швейные машины.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Закрыть до отдельного заключения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Электроинструменты; транспорт; спортивное, туристическое и водное снаряжение; детские товары и средства безопасности; медицинские изделия; беспилотники и радиооборудование.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Запретить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B2430"/>
        </w:rPr>
        <w:t xml:space="preserve">Оружие, боеприпасы, пиротехника, топливо, газовые баллоны, наркотические и контролируемые вещества, лекарства, алкоголь, табак, еда, косметика, бытовая химия, предметы личной гигиены, документы, платёжные средства, аккаунты, животные, контрафактные и незаконно полученные вещи.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Проверь список, границы разрешённых категорий и обязательные предупреждения о безопасности.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4. Что можно добавить после запуска</w:t>
      </w:r>
    </w:p>
    <w:p>
      <w:pPr>
        <w:spacing w:after="140"/>
      </w:pP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Эти вопросы не должны задерживать MVP, пока соответствующие функции выключены: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Собственный KYC.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Предпочтительно, чтобы идентификацию выполнял платёжный провайдер. До сбора паспорта или селфи нужны отдельное основание, проверка биометрии, согласие, retention, доступ и уничтожение.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Новые рискованные категории.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Для инструментов, транспорта, спорта, детских и медицинских вещей понадобится отдельное заключение.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Залог и страхование.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Понадобятся правила удержания, оценки ущерба, списания, возврата, оспаривания и страховых исключений.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Доставка.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Нужно определить ответственность в пути, передачу адресов, подтверждение получения и сроки хранения.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Отзывы и рейтинги.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Понадобятся правила публикации, модерации, удаления, ответа и обжалования.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Реклама, продвижение, промокоды и рефералы.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Нужны правила акций, рекламные согласия, маркировка и налоговая проверка.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B2430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B2B-владельцы.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Понадобятся отдельная оферта, документы, ЭДО, НДС и дополнительные требования к карточке вещи.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5. Что мы ждём на выходе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Письменное заключение о роли Sosedi и применимых требованиях.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Схему договорных отношений и движения денег.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Проверку договора и условий ЮKassa.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Платёжно-налоговое заключение совместно с бухгалтером.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Пользовательское соглашение.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Правила P2P-аренды.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Условия для владельцев.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Матрицу оплаты, комиссии, отмен, возвратов и споров.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Политику ПД, необходимые согласия и внутренние документы.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Утверждённые сроки хранения и удаления.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Правила категорий, объявлений, модерации, жалоб и блокировок.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Тексты страниц поддержки и удаления аккаунта.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Список обязательных регистраций и уведомлений.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B2430"/>
        </w:rPr>
        <w:t xml:space="preserve"/>
        <w:tab/>
        <w:t xml:space="preserve">14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Короткий release-checklist с блокерами запуска.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2430"/>
        </w:rPr>
        <w:t xml:space="preserve">Отдельно укажи:</w:t>
      </w:r>
      <w:r>
        <w:rPr>
          <w:rFonts w:ascii="Arial" w:hAnsi="Arial" w:cs="Arial"/>
          <w:sz w:val="29"/>
          <w:sz-cs w:val="29"/>
          <w:spacing w:val="0"/>
          <w:color w:val="1B2430"/>
        </w:rPr>
        <w:t xml:space="preserve"> что полностью блокирует запуск; что можно закончить после закрытого тестирования; какие ответы нужны от ЮKassa; что нужно согласовать с бухгалтером; какие изменения документов потребуют повторного принятия пользователями.</w:t>
      </w:r>
    </w:p>
    <w:p>
      <w:pPr>
        <w:spacing w:after="200"/>
      </w:pPr>
      <w:r>
        <w:rPr>
          <w:rFonts w:ascii="Arial" w:hAnsi="Arial" w:cs="Arial"/>
          <w:sz w:val="45"/>
          <w:sz-cs w:val="45"/>
          <w:b/>
          <w:spacing w:val="0"/>
          <w:color w:val="13253C"/>
        </w:rPr>
        <w:t xml:space="preserve">6. Полезные ссылки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0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289-ФЗ «Об отдельных вопросах регулирования платформенной экономики»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 — вступает в силу 1 октября 2026 года.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1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Закон РФ «О защите прав потребителей»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2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152-ФЗ «О персональных данных»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3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Статья 18.1 152-ФЗ: политика и внутренние меры оператора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4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Статья 22 152-ФЗ: уведомление Роскомнадзора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5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54-ФЗ о применении контрольно-кассовой техники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6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ЮKassa: документация «Безопасной сделки»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55499"/>
        </w:rPr>
        <w:t xml:space="preserve"/>
        <w:tab/>
        <w:t xml:space="preserve">•</w:t>
        <w:tab/>
        <w:t xml:space="preserve"/>
      </w:r>
      <w:hyperlink r:id="rId27" w:history="1">
        <w:r>
          <w:rPr>
            <w:rFonts w:ascii="Arial" w:hAnsi="Arial" w:cs="Arial"/>
            <w:sz w:val="29"/>
            <w:sz-cs w:val="29"/>
            <w:u w:val="single"/>
            <w:spacing w:val="0"/>
            <w:color w:val="155499"/>
          </w:rPr>
          <w:t xml:space="preserve">ЮKassa: чеки по 54-ФЗ для «Безопасной сделки»</w:t>
        </w:r>
      </w:hyperlink>
      <w:r>
        <w:rPr>
          <w:rFonts w:ascii="Arial" w:hAnsi="Arial" w:cs="Arial"/>
          <w:sz w:val="29"/>
          <w:sz-cs w:val="29"/>
          <w:spacing w:val="0"/>
          <w:color w:val="1B2430"/>
        </w:rPr>
        <w:t xml:space="preserve">.</w:t>
      </w:r>
    </w:p>
    <w:p>
      <w:pPr>
        <w:spacing w:after="140"/>
      </w:pPr>
      <w:r>
        <w:rPr>
          <w:rFonts w:ascii="Arial" w:hAnsi="Arial" w:cs="Arial"/>
          <w:sz w:val="25"/>
          <w:sz-cs w:val="25"/>
          <w:spacing w:val="0"/>
          <w:color w:val="556173"/>
        </w:rPr>
        <w:t xml:space="preserve">Этот документ описывает продукт и ожидаемый объём юридической работы. Он не является юридическим заключением и не фиксирует окончательную договорную, налоговую или платёжную модель.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20" Type="http://schemas.openxmlformats.org/officeDocument/2006/relationships/hyperlink" Target="https://www.consultant.ru/document/cons_doc_LAW_511088/" TargetMode="External"/><Relationship Id="rId21" Type="http://schemas.openxmlformats.org/officeDocument/2006/relationships/hyperlink" Target="https://www.consultant.ru/document/cons_doc_LAW_305/" TargetMode="External"/><Relationship Id="rId22" Type="http://schemas.openxmlformats.org/officeDocument/2006/relationships/hyperlink" Target="https://www.consultant.ru/document/cons_doc_LAW_61801/" TargetMode="External"/><Relationship Id="rId23" Type="http://schemas.openxmlformats.org/officeDocument/2006/relationships/hyperlink" Target="https://www.consultant.ru/document/cons_doc_LAW_61801/eeeebe22bf738fd65bb66b95cc278911ae2525ee/" TargetMode="External"/><Relationship Id="rId24" Type="http://schemas.openxmlformats.org/officeDocument/2006/relationships/hyperlink" Target="https://www.consultant.ru/document/cons_doc_LAW_61801/d996966e22e1320c9de1ab82d9f6be12c3d9d765/" TargetMode="External"/><Relationship Id="rId25" Type="http://schemas.openxmlformats.org/officeDocument/2006/relationships/hyperlink" Target="https://www.consultant.ru/document/cons_doc_LAW_42359/" TargetMode="External"/><Relationship Id="rId26" Type="http://schemas.openxmlformats.org/officeDocument/2006/relationships/hyperlink" Target="https://yookassa.ru/developers/solutions-for-platforms/safe-deal" TargetMode="External"/><Relationship Id="rId27" Type="http://schemas.openxmlformats.org/officeDocument/2006/relationships/hyperlink" Target="https://yookassa.ru/developers/solutions-for-platforms/safe-deal/integration/receipts" TargetMode="Externa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