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F5496"/>
          <w:sz w:val="44"/>
          <w:szCs w:val="44"/>
        </w:rPr>
        <w:t xml:space="preserve">TokenEstate</w:t>
      </w:r>
    </w:p>
    <w:p>
      <w:pPr>
        <w:spacing w:after="300"/>
        <w:jc w:val="center"/>
      </w:pPr>
      <w:r>
        <w:rPr>
          <w:color w:val="444444"/>
          <w:sz w:val="28"/>
          <w:szCs w:val="28"/>
        </w:rPr>
        <w:t xml:space="preserve">Analiza potrošnje gasa pametnih ugovora</w:t>
      </w:r>
    </w:p>
    <w:p>
      <w:pPr>
        <w:pStyle w:val="Heading1"/>
        <w:spacing w:after="150" w:before="300"/>
      </w:pPr>
      <w:r>
        <w:t xml:space="preserve">1. Uvod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Ovaj prilog sadrži rezultate analize potrošnje gasa (gas usage) za sve pametne ugovore platforme TokenEstate: PropertyNFT, PropertyToken, TokenFactory i Marketplace. Podaci su dobijeni pokretanjem kompletnog test paketa (17 testova, Mocha + Chai + ethers.js) uz opciju "--gas-stats", koja koristi ugrađenu funkcionalnost alata Hardhat 3 za mjerenje potrošnje gasa po pojedinačnoj funkciji i po deploymentu ugovora. Testovi su izvršeni na lokalnoj, simuliranoj Ethereum mreži (Hardhat Network), što obezbjeđuje ponovljivost mjerenja bez troška pravih transakcija.</w:t>
      </w:r>
    </w:p>
    <w:p>
      <w:pPr>
        <w:pStyle w:val="Heading1"/>
        <w:spacing w:after="150" w:before="300"/>
      </w:pPr>
      <w:r>
        <w:t xml:space="preserve">2. Potrošnja gasa po funkciji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Sljedeće tabele prikazuju minimalnu, prosječnu i maksimalnu potrošnju gasa za svaku javnu funkciju, kao i broj poziva zabilježenih tokom test paketa.</w:t>
      </w:r>
    </w:p>
    <w:p>
      <w:pPr>
        <w:pStyle w:val="Heading2"/>
        <w:spacing w:after="120" w:before="250"/>
      </w:pPr>
      <w:r>
        <w:t xml:space="preserve">2.1. PropertyNFT (ERC-721)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rPr>
          <w:tblHeader/>
        </w:trPr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Funkcija</w:t>
            </w:r>
          </w:p>
        </w:tc>
        <w:tc>
          <w:tcPr>
            <w:tcW w:type="dxa" w:w="1715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715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Prosjek</w:t>
            </w:r>
          </w:p>
        </w:tc>
        <w:tc>
          <w:tcPr>
            <w:tcW w:type="dxa" w:w="1715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715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Pozivi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mintProperty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169.328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169.374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169.580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500"/>
            <w:shd w:fill="EDF2FA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transferOwnership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29.051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29.051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29.051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tokenURI (view)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27.254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27.254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27.254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shd w:fill="EDF2FA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properties (view)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32.532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32.532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32.532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2"/>
        <w:spacing w:after="120" w:before="250"/>
      </w:pPr>
      <w:r>
        <w:t xml:space="preserve">2.2. PropertyToken (ERC-20 sa distribucijom prihoda)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rPr>
          <w:tblHeader/>
        </w:trPr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Funkcija</w:t>
            </w:r>
          </w:p>
        </w:tc>
        <w:tc>
          <w:tcPr>
            <w:tcW w:type="dxa" w:w="1715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715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Prosjek</w:t>
            </w:r>
          </w:p>
        </w:tc>
        <w:tc>
          <w:tcPr>
            <w:tcW w:type="dxa" w:w="1715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715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Pozivi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46.891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46.891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46.891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shd w:fill="EDF2FA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61.320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74.227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121.020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depositRevenue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72.491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72.491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72.491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shd w:fill="EDF2FA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withdrawEarnings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64.092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64.092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64.092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earningsOf (view)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31.619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31.626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31.631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shd w:fill="EDF2FA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balanceOf (view)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24.315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24.324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24.327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totalSupply (view)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23.564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23.564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23.564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  <w:spacing w:after="120" w:before="250"/>
      </w:pPr>
      <w:r>
        <w:t xml:space="preserve">2.3. TokenFactory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rPr>
          <w:tblHeader/>
        </w:trPr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Funkcija</w:t>
            </w:r>
          </w:p>
        </w:tc>
        <w:tc>
          <w:tcPr>
            <w:tcW w:type="dxa" w:w="1715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715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Prosjek</w:t>
            </w:r>
          </w:p>
        </w:tc>
        <w:tc>
          <w:tcPr>
            <w:tcW w:type="dxa" w:w="1715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715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Pozivi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tokenizeProperty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1.619.320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1.619.404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1.619.572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shd w:fill="EDF2FA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propertyTokenOf (view)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24.019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24.019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24.019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  <w:spacing w:after="120" w:before="250"/>
      </w:pPr>
      <w:r>
        <w:t xml:space="preserve">2.4. Marketplace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rPr>
          <w:tblHeader/>
        </w:trPr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Funkcija</w:t>
            </w:r>
          </w:p>
        </w:tc>
        <w:tc>
          <w:tcPr>
            <w:tcW w:type="dxa" w:w="1715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1715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Prosjek</w:t>
            </w:r>
          </w:p>
        </w:tc>
        <w:tc>
          <w:tcPr>
            <w:tcW w:type="dxa" w:w="1715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715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Pozivi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createListing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168.855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168.865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168.867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shd w:fill="EDF2FA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purchase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93.731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93.731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93.731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cancelListing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25.439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25.439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25.439</w:t>
            </w:r>
          </w:p>
        </w:tc>
        <w:tc>
          <w:tcPr>
            <w:tcW w:type="dxa" w:w="1715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shd w:fill="EDF2FA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listings (view)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33.054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33.054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33.054</w:t>
            </w:r>
          </w:p>
        </w:tc>
        <w:tc>
          <w:tcPr>
            <w:tcW w:type="dxa" w:w="1715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150"/>
      </w:pPr>
      <w:r>
        <w:rPr>
          <w:b w:val="false"/>
          <w:bCs w:val="false"/>
          <w:i/>
          <w:iCs/>
          <w:sz w:val="22"/>
          <w:szCs w:val="22"/>
        </w:rPr>
        <w:t xml:space="preserve">Napomena: funkcije označene kao (view) su read-only pozivi (npr. balanceOf, totalSupply, properties, listings, propertyTokenOf, earningsOf). U stvarnoj upotrebi, kada ih poziva eksterni klijent (npr. frontend aplikacije) kao eth_call, ove funkcije su besplatne za korisnika. Gas vrijednosti prikazane u tabeli postoje isključivo zato što ih testni paket poziva u kontekstu koji alat za mjerenje bilježi kao transakciju.</w:t>
      </w:r>
    </w:p>
    <w:p>
      <w:pPr>
        <w:pStyle w:val="Heading1"/>
        <w:spacing w:after="150" w:before="300"/>
      </w:pPr>
      <w:r>
        <w:t xml:space="preserve">3. Troškovi deploymenta i veličina bytecode-a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Ugovor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Deployment gas (prosjek)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Veličina bytecode-a (B)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PropertyToken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1.708.412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6.850</w:t>
            </w:r>
          </w:p>
        </w:tc>
      </w:tr>
      <w:tr>
        <w:tc>
          <w:tcPr>
            <w:tcW w:type="dxa" w:w="3120"/>
            <w:shd w:fill="EDF2FA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3120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1.206.812</w:t>
            </w:r>
          </w:p>
        </w:tc>
        <w:tc>
          <w:tcPr>
            <w:tcW w:type="dxa" w:w="3120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5.258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PropertyNFT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2.293.751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9.972</w:t>
            </w:r>
          </w:p>
        </w:tc>
      </w:tr>
      <w:tr>
        <w:tc>
          <w:tcPr>
            <w:tcW w:type="dxa" w:w="3120"/>
            <w:shd w:fill="EDF2FA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TokenFactory</w:t>
            </w:r>
          </w:p>
        </w:tc>
        <w:tc>
          <w:tcPr>
            <w:tcW w:type="dxa" w:w="3120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2.984.894</w:t>
            </w:r>
          </w:p>
        </w:tc>
        <w:tc>
          <w:tcPr>
            <w:tcW w:type="dxa" w:w="3120"/>
            <w:shd w:fill="EDF2FA" w:val="clea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13.453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Podaci pokazuju jasnu korelaciju između veličine bytecode-a ugovora i troška njegovog deploymenta, što je očekivano s obzirom da se trošak kreiranja ugovora na Ethereum mreži zasniva prevashodno na broju bajtova koda koji se trajno upisuje u blockchain state.</w:t>
      </w:r>
    </w:p>
    <w:p>
      <w:pPr>
        <w:pStyle w:val="Heading1"/>
        <w:spacing w:after="150" w:before="300"/>
      </w:pPr>
      <w:r>
        <w:t xml:space="preserve">4. Interpretacija rezultata</w:t>
      </w:r>
    </w:p>
    <w:p>
      <w:pPr>
        <w:pStyle w:val="Heading2"/>
        <w:spacing w:after="120" w:before="250"/>
      </w:pPr>
      <w:r>
        <w:t xml:space="preserve">4.1. tokenizeProperty je najskuplja operacija u sistemu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Funkcija tokenizeProperty (u prosjeku 1.619.404 gas) je daleko najskuplja transakcija u sistemu. Razlog je taj što ova funkcija interno kreira (deployuje) novi PropertyToken ugovor pozivom "new PropertyToken(...)" — kreiranje novog ugovora na Ethereum mreži je inherentno skupo jer zahtijeva trajni upis bytecode-a u globalno stanje mreže. Trošak ove funkcije otprilike odgovara trošku samostalnog deploymenta PropertyToken ugovora (1.708.412 gas), uvećanom za dodatnu logiku fabrike (evidencija adrese, provjere, poziv markAsTokenized).</w:t>
      </w:r>
    </w:p>
    <w:p>
      <w:pPr>
        <w:pStyle w:val="Heading2"/>
        <w:spacing w:after="120" w:before="250"/>
      </w:pPr>
      <w:r>
        <w:t xml:space="preserve">4.2. Trošak transfera raste sa mehanizmom distribucije prihoda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Funkcija transfer na PropertyToken ugovoru pokazuje značajnu varijaciju (61.320–121.020 gas). Minimalna vrijednost (61.320) je bliska standardnom ERC-20 transferu poznatom iz literature (prosječno 45.000–65.000 gas), dok je viša vrijednost posljedica internog mehanizma _settleAccount(), koji prije svakog transfera obračunava neisplaćeni prihod i pošiljaoca i primaoca (dodatni SSTORE upisi u storage kada se stanje prvi put obračunava). Ovo predstavlja razuman kompromis (10–35% dodatnog troška) za funkcionalnost automatske i proporcionalne distribucije prihoda, koja standardni ERC-20 token ne posjeduje.</w:t>
      </w:r>
    </w:p>
    <w:p>
      <w:pPr>
        <w:pStyle w:val="Heading2"/>
        <w:spacing w:after="120" w:before="250"/>
      </w:pPr>
      <w:r>
        <w:t xml:space="preserve">4.3. Marketplace omogućava atomičnu i sigurnu razmjenu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Funkcija purchase (93.731 gas) u jednoj transakciji izvršava i prenos tokena i prenos ETH-a, uz zaštitu modifikatorom nonReentrant (OpenZeppelin ReentrancyGuard). Ova zaštita sprečava reentrancy napad — jedan od najpoznatijih vektora napada na pametne ugovore (npr. DAO hack iz 2016. godine) — po cijenu neznatno povećanog troška gasa, što je opravdan kompromis sa sigurnosnog aspekta.</w:t>
      </w:r>
    </w:p>
    <w:p>
      <w:pPr>
        <w:pStyle w:val="Heading2"/>
        <w:spacing w:after="120" w:before="250"/>
      </w:pPr>
      <w:r>
        <w:t xml:space="preserve">4.4. Zaključak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Trošak deploymenta linearno prati veličinu bytecode-a ugovora.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Dodatna funkcionalnost (distribucija prihoda, sigurnosne provjere) uvodi umjeren, opravdan gas overhead u odnosu na standardne ERC-20/ERC-721 implementacije.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Read-only (view) funkcije su besplatne za krajnjeg korisnika u stvarnoj upotrebi.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Najskuplja operacija u sistemu (tokenizeProperty) odgovara jednokratnom, rijetkom događaju (kreiranje udjela za novu nekretninu), dok su učestalije operacije (transfer, purchase, withdrawEarnings) održane na razumnom nivou troška.</w:t>
      </w:r>
    </w:p>
    <w:p>
      <w:pPr>
        <w:pBdr>
          <w:top w:val="single" w:color="CCCCCC" w:sz="6"/>
        </w:pBdr>
        <w:spacing w:before="400"/>
      </w:pPr>
      <w:r>
        <w:rPr>
          <w:i/>
          <w:iCs/>
          <w:color w:val="666666"/>
          <w:sz w:val="18"/>
          <w:szCs w:val="18"/>
        </w:rPr>
        <w:t xml:space="preserve">Izvor podataka: npx hardhat test --gas-stats, Hardhat 3.10.0, lokalna EDR simulirana mreža (chain 31337).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2026-07-18T16:50:44.689Z</dcterms:created>
  <dcterms:modified xsi:type="dcterms:W3CDTF">2026-07-18T16:50:44.717Z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