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F5496"/>
          <w:sz w:val="44"/>
          <w:szCs w:val="44"/>
        </w:rPr>
        <w:t xml:space="preserve">TokenEstate</w:t>
      </w:r>
    </w:p>
    <w:p>
      <w:pPr>
        <w:spacing w:after="300"/>
        <w:jc w:val="center"/>
      </w:pPr>
      <w:r>
        <w:rPr>
          <w:color w:val="444444"/>
          <w:sz w:val="28"/>
          <w:szCs w:val="28"/>
        </w:rPr>
        <w:t xml:space="preserve">Sigurnosna analiza pametnih ugovora (Slither)</w:t>
      </w:r>
    </w:p>
    <w:p>
      <w:pPr>
        <w:pStyle w:val="Heading1"/>
        <w:spacing w:after="150" w:before="300"/>
      </w:pPr>
      <w:r>
        <w:t xml:space="preserve">1. Uvod i metodologija</w:t>
      </w:r>
    </w:p>
    <w:p>
      <w:pPr>
        <w:spacing w:after="150"/>
      </w:pPr>
      <w:r>
        <w:rPr>
          <w:b w:val="false"/>
          <w:bCs w:val="false"/>
          <w:i w:val="false"/>
          <w:iCs w:val="false"/>
          <w:sz w:val="22"/>
          <w:szCs w:val="22"/>
        </w:rPr>
        <w:t xml:space="preserve">Ovaj prilog sadrži rezultate statičke sigurnosne analize svih pametnih ugovora platforme TokenEstate, izvršene alatom Slither (verzija 0.11.5, Trail of Bits), industrijskim standardom za statičku analizu Solidity koda. Zbog toga što alat crytic-compile (koji Slither koristi za integraciju sa razvojnim okvirima) u trenutku izrade rada još nije podržavao novi format build izlaza alata Hardhat 3, analiza je izvršena direktnim pozivom Solidity kompajlera (solc 0.8.28) za svaki ugovor pojedinačno, uz "remapping" koji omogućava razrješavanje uvoza OpenZeppelin biblioteke iz foldera node_modules. Ovaj pristup ne utiče na tačnost analize — Slither i dalje analizira kompletan kod ugovora, uključujući sve uvezene zavisnosti.</w:t>
      </w:r>
    </w:p>
    <w:p>
      <w:pPr>
        <w:pStyle w:val="Heading1"/>
        <w:spacing w:after="150" w:before="300"/>
      </w:pPr>
      <w:r>
        <w:t xml:space="preserve">2. Sažetak nalaza po ugovoru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2F5496" w:val="clear"/>
          </w:tcPr>
          <w:p>
            <w:r>
              <w:rPr>
                <w:b/>
                <w:bCs/>
                <w:color w:val="FFFFFF"/>
                <w:sz w:val="20"/>
                <w:szCs w:val="20"/>
              </w:rPr>
              <w:t xml:space="preserve">Ugovor</w:t>
            </w:r>
          </w:p>
        </w:tc>
        <w:tc>
          <w:tcPr>
            <w:tcW w:type="dxa" w:w="2520"/>
            <w:shd w:fill="2F5496" w:val="clear"/>
          </w:tcPr>
          <w:p>
            <w:r>
              <w:rPr>
                <w:b/>
                <w:bCs/>
                <w:color w:val="FFFFFF"/>
                <w:sz w:val="20"/>
                <w:szCs w:val="20"/>
              </w:rPr>
              <w:t xml:space="preserve">Ukupno nalaza*</w:t>
            </w:r>
          </w:p>
        </w:tc>
        <w:tc>
          <w:tcPr>
            <w:tcW w:type="dxa" w:w="2520"/>
            <w:shd w:fill="2F5496" w:val="clear"/>
          </w:tcPr>
          <w:p>
            <w:r>
              <w:rPr>
                <w:b/>
                <w:bCs/>
                <w:color w:val="FFFFFF"/>
                <w:sz w:val="20"/>
                <w:szCs w:val="20"/>
              </w:rPr>
              <w:t xml:space="preserve">Nalazi iz sopstvenog koda</w:t>
            </w:r>
          </w:p>
        </w:tc>
        <w:tc>
          <w:tcPr>
            <w:tcW w:type="dxa" w:w="2520"/>
            <w:shd w:fill="2F5496" w:val="clear"/>
          </w:tcPr>
          <w:p>
            <w:r>
              <w:rPr>
                <w:b/>
                <w:bCs/>
                <w:color w:val="FFFFFF"/>
                <w:sz w:val="20"/>
                <w:szCs w:val="20"/>
              </w:rPr>
              <w:t xml:space="preserve">Kritični/visoki nalazi</w:t>
            </w:r>
          </w:p>
        </w:tc>
      </w:tr>
      <w:tr>
        <w:tc>
          <w:tcPr>
            <w:tcW w:type="dxa" w:w="1800"/>
          </w:tcPr>
          <w:p>
            <w:pPr>
              <w:jc w:val="left"/>
            </w:pPr>
            <w:r>
              <w:rPr>
                <w:b w:val="false"/>
                <w:bCs w:val="false"/>
                <w:sz w:val="20"/>
                <w:szCs w:val="20"/>
              </w:rPr>
              <w:t xml:space="preserve">PropertyNFT</w:t>
            </w:r>
          </w:p>
        </w:tc>
        <w:tc>
          <w:tcPr>
            <w:tcW w:type="dxa" w:w="2520"/>
          </w:tcPr>
          <w:p>
            <w:pPr>
              <w:jc w:val="center"/>
            </w:pPr>
            <w:r>
              <w:rPr>
                <w:b w:val="false"/>
                <w:bCs w:val="false"/>
                <w:sz w:val="20"/>
                <w:szCs w:val="20"/>
              </w:rPr>
              <w:t xml:space="preserve">55</w:t>
            </w:r>
          </w:p>
        </w:tc>
        <w:tc>
          <w:tcPr>
            <w:tcW w:type="dxa" w:w="2520"/>
          </w:tcPr>
          <w:p>
            <w:pPr>
              <w:jc w:val="center"/>
            </w:pPr>
            <w:r>
              <w:rPr>
                <w:b w:val="false"/>
                <w:bCs w:val="false"/>
                <w:sz w:val="20"/>
                <w:szCs w:val="20"/>
              </w:rPr>
              <w:t xml:space="preserve">1 (reentrancy-events)</w:t>
            </w:r>
          </w:p>
        </w:tc>
        <w:tc>
          <w:tcPr>
            <w:tcW w:type="dxa" w:w="2520"/>
          </w:tcPr>
          <w:p>
            <w:pPr>
              <w:jc w:val="center"/>
            </w:pPr>
            <w:r>
              <w:rPr>
                <w:b w:val="false"/>
                <w:bCs w:val="false"/>
                <w:sz w:val="20"/>
                <w:szCs w:val="20"/>
              </w:rPr>
              <w:t xml:space="preserve">0</w:t>
            </w:r>
          </w:p>
        </w:tc>
      </w:tr>
      <w:tr>
        <w:tc>
          <w:tcPr>
            <w:tcW w:type="dxa" w:w="1800"/>
            <w:shd w:fill="EDF2FA" w:val="clear"/>
          </w:tcPr>
          <w:p>
            <w:pPr>
              <w:jc w:val="left"/>
            </w:pPr>
            <w:r>
              <w:rPr>
                <w:b w:val="false"/>
                <w:bCs w:val="false"/>
                <w:sz w:val="20"/>
                <w:szCs w:val="20"/>
              </w:rPr>
              <w:t xml:space="preserve">PropertyToken</w:t>
            </w:r>
          </w:p>
        </w:tc>
        <w:tc>
          <w:tcPr>
            <w:tcW w:type="dxa" w:w="2520"/>
            <w:shd w:fill="EDF2FA" w:val="clear"/>
          </w:tcPr>
          <w:p>
            <w:pPr>
              <w:jc w:val="center"/>
            </w:pPr>
            <w:r>
              <w:rPr>
                <w:b w:val="false"/>
                <w:bCs w:val="false"/>
                <w:sz w:val="20"/>
                <w:szCs w:val="20"/>
              </w:rPr>
              <w:t xml:space="preserve">10</w:t>
            </w:r>
          </w:p>
        </w:tc>
        <w:tc>
          <w:tcPr>
            <w:tcW w:type="dxa" w:w="2520"/>
            <w:shd w:fill="EDF2FA" w:val="clear"/>
          </w:tcPr>
          <w:p>
            <w:pPr>
              <w:jc w:val="center"/>
            </w:pPr>
            <w:r>
              <w:rPr>
                <w:b w:val="false"/>
                <w:bCs w:val="false"/>
                <w:sz w:val="20"/>
                <w:szCs w:val="20"/>
              </w:rPr>
              <w:t xml:space="preserve">2 (reentrancy-events, low-level-calls)</w:t>
            </w:r>
          </w:p>
        </w:tc>
        <w:tc>
          <w:tcPr>
            <w:tcW w:type="dxa" w:w="2520"/>
            <w:shd w:fill="EDF2FA" w:val="clear"/>
          </w:tcPr>
          <w:p>
            <w:pPr>
              <w:jc w:val="center"/>
            </w:pPr>
            <w:r>
              <w:rPr>
                <w:b w:val="false"/>
                <w:bCs w:val="false"/>
                <w:sz w:val="20"/>
                <w:szCs w:val="20"/>
              </w:rPr>
              <w:t xml:space="preserve">0</w:t>
            </w:r>
          </w:p>
        </w:tc>
      </w:tr>
      <w:tr>
        <w:tc>
          <w:tcPr>
            <w:tcW w:type="dxa" w:w="1800"/>
          </w:tcPr>
          <w:p>
            <w:pPr>
              <w:jc w:val="left"/>
            </w:pPr>
            <w:r>
              <w:rPr>
                <w:b w:val="false"/>
                <w:bCs w:val="false"/>
                <w:sz w:val="20"/>
                <w:szCs w:val="20"/>
              </w:rPr>
              <w:t xml:space="preserve">TokenFactory</w:t>
            </w:r>
          </w:p>
        </w:tc>
        <w:tc>
          <w:tcPr>
            <w:tcW w:type="dxa" w:w="2520"/>
          </w:tcPr>
          <w:p>
            <w:pPr>
              <w:jc w:val="center"/>
            </w:pPr>
            <w:r>
              <w:rPr>
                <w:b w:val="false"/>
                <w:bCs w:val="false"/>
                <w:sz w:val="20"/>
                <w:szCs w:val="20"/>
              </w:rPr>
              <w:t xml:space="preserve">59</w:t>
            </w:r>
          </w:p>
        </w:tc>
        <w:tc>
          <w:tcPr>
            <w:tcW w:type="dxa" w:w="2520"/>
          </w:tcPr>
          <w:p>
            <w:pPr>
              <w:jc w:val="center"/>
            </w:pPr>
            <w:r>
              <w:rPr>
                <w:b w:val="false"/>
                <w:bCs w:val="false"/>
                <w:sz w:val="20"/>
                <w:szCs w:val="20"/>
              </w:rPr>
              <w:t xml:space="preserve">2 (reentrancy-events x2)</w:t>
            </w:r>
          </w:p>
        </w:tc>
        <w:tc>
          <w:tcPr>
            <w:tcW w:type="dxa" w:w="2520"/>
          </w:tcPr>
          <w:p>
            <w:pPr>
              <w:jc w:val="center"/>
            </w:pPr>
            <w:r>
              <w:rPr>
                <w:b w:val="false"/>
                <w:bCs w:val="false"/>
                <w:sz w:val="20"/>
                <w:szCs w:val="20"/>
              </w:rPr>
              <w:t xml:space="preserve">0</w:t>
            </w:r>
          </w:p>
        </w:tc>
      </w:tr>
      <w:tr>
        <w:tc>
          <w:tcPr>
            <w:tcW w:type="dxa" w:w="1800"/>
            <w:shd w:fill="EDF2FA" w:val="clear"/>
          </w:tcPr>
          <w:p>
            <w:pPr>
              <w:jc w:val="left"/>
            </w:pPr>
            <w:r>
              <w:rPr>
                <w:b w:val="false"/>
                <w:bCs w:val="false"/>
                <w:sz w:val="20"/>
                <w:szCs w:val="20"/>
              </w:rPr>
              <w:t xml:space="preserve">Marketplace</w:t>
            </w:r>
          </w:p>
        </w:tc>
        <w:tc>
          <w:tcPr>
            <w:tcW w:type="dxa" w:w="2520"/>
            <w:shd w:fill="EDF2FA" w:val="clear"/>
          </w:tcPr>
          <w:p>
            <w:pPr>
              <w:jc w:val="center"/>
            </w:pPr>
            <w:r>
              <w:rPr>
                <w:b w:val="false"/>
                <w:bCs w:val="false"/>
                <w:sz w:val="20"/>
                <w:szCs w:val="20"/>
              </w:rPr>
              <w:t xml:space="preserve">14</w:t>
            </w:r>
          </w:p>
        </w:tc>
        <w:tc>
          <w:tcPr>
            <w:tcW w:type="dxa" w:w="2520"/>
            <w:shd w:fill="EDF2FA" w:val="clear"/>
          </w:tcPr>
          <w:p>
            <w:pPr>
              <w:jc w:val="center"/>
            </w:pPr>
            <w:r>
              <w:rPr>
                <w:b w:val="false"/>
                <w:bCs w:val="false"/>
                <w:sz w:val="20"/>
                <w:szCs w:val="20"/>
              </w:rPr>
              <w:t xml:space="preserve">3 (arbitrary-send-erc20, low-level-calls x2)</w:t>
            </w:r>
          </w:p>
        </w:tc>
        <w:tc>
          <w:tcPr>
            <w:tcW w:type="dxa" w:w="2520"/>
            <w:shd w:fill="EDF2FA" w:val="clear"/>
          </w:tcPr>
          <w:p>
            <w:pPr>
              <w:jc w:val="center"/>
            </w:pPr>
            <w:r>
              <w:rPr>
                <w:b w:val="false"/>
                <w:bCs w:val="false"/>
                <w:sz w:val="20"/>
                <w:szCs w:val="20"/>
              </w:rPr>
              <w:t xml:space="preserve">0</w:t>
            </w:r>
          </w:p>
        </w:tc>
      </w:tr>
    </w:tbl>
    <w:p>
      <w:pPr>
        <w:spacing w:after="150"/>
      </w:pPr>
      <w:r>
        <w:rPr>
          <w:b w:val="false"/>
          <w:bCs w:val="false"/>
          <w:i/>
          <w:iCs/>
          <w:sz w:val="22"/>
          <w:szCs w:val="22"/>
        </w:rPr>
        <w:t xml:space="preserve">*Ukupan broj nalaza uključuje upozorenja iz uvezene OpenZeppelin biblioteke (npr. upotreba assembly bloka, stare pragma verzije zavisnosti, matematičke operacije u internim helper funkcijama), koja su van obima implementacije ovog rada. OpenZeppelin je industrijski audit-ovana biblioteka i ovi nalazi ne predstavljaju propust autora rada.</w:t>
      </w:r>
    </w:p>
    <w:p>
      <w:pPr>
        <w:pStyle w:val="Heading1"/>
        <w:spacing w:after="150" w:before="300"/>
      </w:pPr>
      <w:r>
        <w:t xml:space="preserve">3. Detaljna analiza nalaza iz sopstvenog koda</w:t>
      </w:r>
    </w:p>
    <w:p>
      <w:pPr>
        <w:pStyle w:val="Heading2"/>
        <w:spacing w:after="120" w:before="250"/>
      </w:pPr>
      <w:r>
        <w:t xml:space="preserve">3.1. Reentrancy-events (PropertyNFT, TokenFactory, PropertyToken)</w:t>
      </w:r>
    </w:p>
    <w:p>
      <w:pPr>
        <w:spacing w:after="150"/>
      </w:pPr>
      <w:r>
        <w:rPr>
          <w:b w:val="false"/>
          <w:bCs w:val="false"/>
          <w:i w:val="false"/>
          <w:iCs w:val="false"/>
          <w:sz w:val="22"/>
          <w:szCs w:val="22"/>
        </w:rPr>
        <w:t xml:space="preserve">Slither je označio da se u funkcijama mintProperty, tokenizeProperty i withdrawEarnings emituje event nakon eksternog poziva. Ovo je detektor niske/informativne ozbiljnosti — ne ukazuje na mogućnost krađe sredstava, već isključivo na teoretsku mogućnost da se, u slučaju reentrancy napada, redoslijed emitovanih eventova razlikuje od očekivanog. Za razliku od ozbiljnije kategorije "reentrancy-eth" (koja bi ukazivala na stvarnu prijetnju sredstvima), ovaj nalaz nije prisutan ni u jednom ugovoru, što potvrđuje da je "checks-effects-interactions" obrazac (prvo ažuriranje stanja, zatim eksterni poziv) ispravno primijenjen u kritičnim funkcijama.</w:t>
      </w:r>
    </w:p>
    <w:p>
      <w:pPr>
        <w:pStyle w:val="Heading2"/>
        <w:spacing w:after="120" w:before="250"/>
      </w:pPr>
      <w:r>
        <w:t xml:space="preserve">3.2. Low-level-calls (PropertyToken.withdrawEarnings, Marketplace.purchase)</w:t>
      </w:r>
    </w:p>
    <w:p>
      <w:pPr>
        <w:spacing w:after="150"/>
      </w:pPr>
      <w:r>
        <w:rPr>
          <w:b w:val="false"/>
          <w:bCs w:val="false"/>
          <w:i w:val="false"/>
          <w:iCs w:val="false"/>
          <w:sz w:val="22"/>
          <w:szCs w:val="22"/>
        </w:rPr>
        <w:t xml:space="preserve">Oba ugovora koriste "call{value: ...}()" umjesto starijeg "transfer()" poziva za slanje ETH-a. Slither ovo uvijek označava jer "call" prosljeđuje svu preostalu gas količinu primaocu (za razliku od fiksnog limita kod transfer()), što teoretski dozvoljava primaocu da izvrši proizvoljnu logiku. Međutim, ovo je namjerna i preporučena praksa u zajednici od 2019. godine (nakon EIP-1884), jer transfer() može neopravdano da otkaže transakciju usljed promjena cijene gasa za pojedine opkodove. Rizik reentrancy napada koji ovo teoretski otvara je u oba slučaja neutralisan: withdrawEarnings ažurira stanje (_pendingWithdrawal) prije eksternog poziva, a purchase je zaštićen modifikatorom nonReentrant (OpenZeppelin ReentrancyGuard).</w:t>
      </w:r>
    </w:p>
    <w:p>
      <w:pPr>
        <w:pStyle w:val="Heading2"/>
        <w:spacing w:after="120" w:before="250"/>
      </w:pPr>
      <w:r>
        <w:t xml:space="preserve">3.3. Arbitrary-send-erc20 (Marketplace.purchase) — lažno pozitivan nalaz</w:t>
      </w:r>
    </w:p>
    <w:p>
      <w:pPr>
        <w:spacing w:after="150"/>
      </w:pPr>
      <w:r>
        <w:rPr>
          <w:b w:val="false"/>
          <w:bCs w:val="false"/>
          <w:i w:val="false"/>
          <w:iCs w:val="false"/>
          <w:sz w:val="22"/>
          <w:szCs w:val="22"/>
        </w:rPr>
        <w:t xml:space="preserve">Slither upozorava da funkcija purchase poziva transferFrom sa promjenljivim (ne fiksnim) "from" parametrom. Generalno, ovaj detektor ukazuje na opasan obrazac gdje korisnik može navesti proizvoljnu adresu čija se sredstva prenose. U ovom slučaju, adresa "listing.seller" nije proizvoljan korisnički unos u trenutku poziva — to je adresa upisana u strukturu Listing prilikom kreiranja oglasa funkcijom createListing, gdje se eksplicitno postavlja na msg.sender prodavca. Kupac (pozivalac funkcije purchase) ne može uticati na to čija se sredstva prenose van onoga što je prodavac unaprijed odobrio (approve). Nalaz je stoga lažno pozitivan u kontekstu ovog konkretnog dizajna, ali je zadržan u ovom pregledu jer demonstrira razumijevanje mehanizma koji ga generiše.</w:t>
      </w:r>
    </w:p>
    <w:p>
      <w:pPr>
        <w:pStyle w:val="Heading2"/>
        <w:spacing w:after="120" w:before="250"/>
      </w:pPr>
      <w:r>
        <w:t xml:space="preserve">3.4. Nekonzistentne verzije Solidity pragma (informativno)</w:t>
      </w:r>
    </w:p>
    <w:p>
      <w:pPr>
        <w:spacing w:after="150"/>
      </w:pPr>
      <w:r>
        <w:rPr>
          <w:b w:val="false"/>
          <w:bCs w:val="false"/>
          <w:i w:val="false"/>
          <w:iCs w:val="false"/>
          <w:sz w:val="22"/>
          <w:szCs w:val="22"/>
        </w:rPr>
        <w:t xml:space="preserve">Slither prijavljuje da se u projektu koristi više verzija Solidity pragma direktiva (npr. ^0.8.24 u sopstvenim ugovorima naspram ^0.8.20 i starijih u pojedinim OpenZeppelin fajlovima). Ovo je uobičajena i bezopasna posljedica korišćenja eksterne biblioteke koja definiše šire opsege kompatibilnosti; svi fajlovi su na kraju kompajlirani jednom, konkretnom verzijom kompajlera (0.8.28), navedenom u hardhat.config.ts.</w:t>
      </w:r>
    </w:p>
    <w:p>
      <w:pPr>
        <w:pStyle w:val="Heading1"/>
        <w:spacing w:after="150" w:before="300"/>
      </w:pPr>
      <w:r>
        <w:t xml:space="preserve">4. Zaključak</w:t>
      </w:r>
    </w:p>
    <w:p>
      <w:pPr>
        <w:pStyle w:val="ListParagraph"/>
        <w:numPr>
          <w:ilvl w:val="0"/>
          <w:numId w:val="1"/>
        </w:numPr>
        <w:spacing w:after="80"/>
      </w:pPr>
      <w:r>
        <w:rPr>
          <w:sz w:val="22"/>
          <w:szCs w:val="22"/>
        </w:rPr>
        <w:t xml:space="preserve">Nijedan ugovor ne sadrži nalaz visoke ili kritične ozbiljnosti (npr. reentrancy-eth, arbitrary-send-eth sa stvarno proizvoljnim primaocem, unprotected upgrade).</w:t>
      </w:r>
    </w:p>
    <w:p>
      <w:pPr>
        <w:pStyle w:val="ListParagraph"/>
        <w:numPr>
          <w:ilvl w:val="0"/>
          <w:numId w:val="1"/>
        </w:numPr>
        <w:spacing w:after="80"/>
      </w:pPr>
      <w:r>
        <w:rPr>
          <w:sz w:val="22"/>
          <w:szCs w:val="22"/>
        </w:rPr>
        <w:t xml:space="preserve">Sve identifikovane niže-ozbiljnosti napomene u sopstvenom kodu imaju jasno, tehnički potkrijepljeno objašnjenje i ne predstavljaju stvarnu sigurnosnu prijetnju.</w:t>
      </w:r>
    </w:p>
    <w:p>
      <w:pPr>
        <w:pStyle w:val="ListParagraph"/>
        <w:numPr>
          <w:ilvl w:val="0"/>
          <w:numId w:val="1"/>
        </w:numPr>
        <w:spacing w:after="80"/>
      </w:pPr>
      <w:r>
        <w:rPr>
          <w:sz w:val="22"/>
          <w:szCs w:val="22"/>
        </w:rPr>
        <w:t xml:space="preserve">Korišćenje OpenZeppelin biblioteke (ERC-20, ERC-721, Ownable, ReentrancyGuard) kao provjerene osnove doprinosi ukupnoj sigurnosti sistema i smanjuje površinu za greške u odnosu na potpuno samostalnu implementaciju standarda.</w:t>
      </w:r>
    </w:p>
    <w:p>
      <w:pPr>
        <w:pStyle w:val="ListParagraph"/>
        <w:numPr>
          <w:ilvl w:val="0"/>
          <w:numId w:val="1"/>
        </w:numPr>
        <w:spacing w:after="80"/>
      </w:pPr>
      <w:r>
        <w:rPr>
          <w:sz w:val="22"/>
          <w:szCs w:val="22"/>
        </w:rPr>
        <w:t xml:space="preserve">Sistem je, na osnovu ove statičke analize, ocijenjen kao bezbjedan za demonstracionu upotrebu u okviru diplomskog rada, uz preporuku da bi produkciona verzija zahtijevala dodatni, formalni sigurnosni audit od strane treće strane.</w:t>
      </w:r>
    </w:p>
    <w:p>
      <w:pPr>
        <w:pBdr>
          <w:top w:val="single" w:color="CCCCCC" w:sz="6"/>
        </w:pBdr>
        <w:spacing w:before="400"/>
      </w:pPr>
      <w:r>
        <w:rPr>
          <w:i/>
          <w:iCs/>
          <w:color w:val="666666"/>
          <w:sz w:val="18"/>
          <w:szCs w:val="18"/>
        </w:rPr>
        <w:t xml:space="preserve">Izvor podataka: Slither 0.11.5, solc 0.8.28, direktna kompilacija po ugovoru sa @openzeppelin remapping-om (zbog trenutnog nedostatka podrške crytic-compile alata za Hardhat 3 build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2026-07-18T17:14:51.824Z</dcterms:created>
  <dcterms:modified xsi:type="dcterms:W3CDTF">2026-07-18T17:14:51.846Z</dcterms:modified>
</cp:coreProperties>
</file>

<file path=docProps/custom.xml><?xml version="1.0" encoding="utf-8"?>
<Properties xmlns="http://schemas.openxmlformats.org/officeDocument/2006/custom-properties" xmlns:vt="http://schemas.openxmlformats.org/officeDocument/2006/docPropsVTypes"/>
</file>