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BAB" w14:textId="3C4ED24A" w:rsidR="000E5AAF" w:rsidRPr="00FA021A" w:rsidRDefault="00FB1F8B" w:rsidP="00CB1A0C">
      <w:pPr>
        <w:rPr>
          <w:rFonts w:ascii="Calibri" w:eastAsia="Calibri" w:hAnsi="Calibri" w:cs="Calibri"/>
          <w:b/>
          <w:sz w:val="32"/>
          <w:szCs w:val="32"/>
          <w:highlight w:val="yellow"/>
        </w:rPr>
      </w:pPr>
      <w:r>
        <w:rPr>
          <w:rFonts w:ascii="Calibri" w:eastAsia="Calibri" w:hAnsi="Calibri" w:cs="Calibri"/>
          <w:b/>
          <w:noProof/>
          <w:sz w:val="32"/>
          <w:szCs w:val="32"/>
        </w:rPr>
        <w:drawing>
          <wp:anchor distT="0" distB="0" distL="114300" distR="114300" simplePos="0" relativeHeight="251659264" behindDoc="0" locked="0" layoutInCell="1" allowOverlap="1" wp14:anchorId="2B0C1D9F" wp14:editId="2AFE6394">
            <wp:simplePos x="0" y="0"/>
            <wp:positionH relativeFrom="margin">
              <wp:posOffset>3354705</wp:posOffset>
            </wp:positionH>
            <wp:positionV relativeFrom="paragraph">
              <wp:posOffset>36830</wp:posOffset>
            </wp:positionV>
            <wp:extent cx="2047240" cy="975063"/>
            <wp:effectExtent l="0" t="0" r="0" b="0"/>
            <wp:wrapNone/>
            <wp:docPr id="446114585"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85" name="Imagen 1"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t="3417" b="9164"/>
                    <a:stretch>
                      <a:fillRect/>
                    </a:stretch>
                  </pic:blipFill>
                  <pic:spPr bwMode="auto">
                    <a:xfrm>
                      <a:off x="0" y="0"/>
                      <a:ext cx="2048400" cy="9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A0C" w:rsidRPr="00CB1A0C">
        <w:rPr>
          <w:rFonts w:ascii="Calibri" w:eastAsia="Calibri" w:hAnsi="Calibri" w:cs="Calibri"/>
          <w:b/>
          <w:noProof/>
          <w:sz w:val="32"/>
          <w:szCs w:val="32"/>
        </w:rPr>
        <w:drawing>
          <wp:anchor distT="0" distB="0" distL="114300" distR="114300" simplePos="0" relativeHeight="251660288" behindDoc="0" locked="0" layoutInCell="1" allowOverlap="1" wp14:anchorId="413B0F34" wp14:editId="455D5673">
            <wp:simplePos x="0" y="0"/>
            <wp:positionH relativeFrom="column">
              <wp:posOffset>451485</wp:posOffset>
            </wp:positionH>
            <wp:positionV relativeFrom="paragraph">
              <wp:posOffset>74930</wp:posOffset>
            </wp:positionV>
            <wp:extent cx="1621883" cy="975600"/>
            <wp:effectExtent l="0" t="0" r="0" b="0"/>
            <wp:wrapSquare wrapText="bothSides"/>
            <wp:docPr id="128896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44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883" cy="975600"/>
                    </a:xfrm>
                    <a:prstGeom prst="rect">
                      <a:avLst/>
                    </a:prstGeom>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p>
    <w:p w14:paraId="17627718" w14:textId="5581BF6E" w:rsidR="000E5AAF" w:rsidRPr="00FA021A" w:rsidRDefault="000E5AAF">
      <w:pPr>
        <w:jc w:val="center"/>
        <w:rPr>
          <w:rFonts w:ascii="Calibri" w:eastAsia="Calibri" w:hAnsi="Calibri" w:cs="Calibri"/>
          <w:b/>
          <w:sz w:val="32"/>
          <w:szCs w:val="32"/>
          <w:highlight w:val="yellow"/>
        </w:rPr>
      </w:pPr>
    </w:p>
    <w:p w14:paraId="377FA17F" w14:textId="77777777" w:rsidR="000E5AAF" w:rsidRPr="00FA021A" w:rsidRDefault="000E5AAF">
      <w:pPr>
        <w:jc w:val="center"/>
        <w:rPr>
          <w:rFonts w:ascii="Calibri" w:eastAsia="Calibri" w:hAnsi="Calibri" w:cs="Calibri"/>
          <w:b/>
          <w:sz w:val="40"/>
          <w:szCs w:val="40"/>
        </w:rPr>
      </w:pPr>
    </w:p>
    <w:p w14:paraId="36634D72" w14:textId="77777777" w:rsidR="000E5AAF" w:rsidRPr="00FA021A" w:rsidRDefault="000E5AAF">
      <w:pPr>
        <w:jc w:val="center"/>
        <w:rPr>
          <w:rFonts w:ascii="Calibri" w:eastAsia="Calibri" w:hAnsi="Calibri" w:cs="Calibri"/>
          <w:b/>
          <w:sz w:val="40"/>
          <w:szCs w:val="40"/>
        </w:rPr>
      </w:pPr>
    </w:p>
    <w:p w14:paraId="1A9ECCC2" w14:textId="77777777" w:rsidR="000E5AAF" w:rsidRPr="00FA021A" w:rsidRDefault="009E4C88">
      <w:pPr>
        <w:pStyle w:val="Ttulo"/>
      </w:pPr>
      <w:r w:rsidRPr="00FA021A">
        <w:t>TRABAJO FIN DE MÁSTER</w:t>
      </w:r>
    </w:p>
    <w:p w14:paraId="5921E6BF" w14:textId="77777777" w:rsidR="000E5AAF" w:rsidRPr="00FA021A" w:rsidRDefault="000E5AAF">
      <w:pPr>
        <w:pStyle w:val="Ttulo"/>
      </w:pPr>
    </w:p>
    <w:p w14:paraId="049E170A" w14:textId="79520A6A" w:rsidR="000E5AAF" w:rsidRPr="00FA021A" w:rsidRDefault="009E4C88">
      <w:pPr>
        <w:pStyle w:val="Ttulo"/>
        <w:ind w:firstLine="0"/>
      </w:pPr>
      <w:bookmarkStart w:id="1" w:name="_heading=h.30j0zll" w:colFirst="0" w:colLast="0"/>
      <w:bookmarkEnd w:id="1"/>
      <w:r w:rsidRPr="00FA021A">
        <w:t>MÁSTER UNIVERSITARIO</w:t>
      </w:r>
      <w:r w:rsidR="00A63B56" w:rsidRPr="00FA021A">
        <w:t xml:space="preserve"> </w:t>
      </w:r>
      <w:r w:rsidR="00A63B56" w:rsidRPr="00A63B56">
        <w:t>EN INTELIGENCIA ARTIFICIAL APLICADA A ENTORNOS EMPRESARIALES Y FINANCIEROS</w:t>
      </w:r>
    </w:p>
    <w:p w14:paraId="3FE69274" w14:textId="77777777" w:rsidR="000E5AAF" w:rsidRPr="00FA021A" w:rsidRDefault="000E5AAF">
      <w:pPr>
        <w:pStyle w:val="Ttulo"/>
      </w:pPr>
    </w:p>
    <w:p w14:paraId="0B8D5259" w14:textId="37FFBDC1" w:rsidR="000E5AAF" w:rsidRPr="00FA021A" w:rsidRDefault="00DE71B4" w:rsidP="003620C0">
      <w:pPr>
        <w:pStyle w:val="Ttulo"/>
        <w:ind w:firstLine="0"/>
      </w:pPr>
      <w:r w:rsidRPr="00DE71B4">
        <w:t>Desarrollo de un simulador interactivo de decisiones de inversión en viviendas de uso turístico</w:t>
      </w:r>
    </w:p>
    <w:p w14:paraId="479CCA84" w14:textId="77777777" w:rsidR="000E5AAF" w:rsidRPr="00FA021A" w:rsidRDefault="000E5AAF">
      <w:pPr>
        <w:pStyle w:val="Ttulo"/>
      </w:pPr>
    </w:p>
    <w:p w14:paraId="65120DE8" w14:textId="77777777" w:rsidR="000E5AAF" w:rsidRPr="00FA021A" w:rsidRDefault="000E5AAF" w:rsidP="003620C0">
      <w:pPr>
        <w:pStyle w:val="Subttulo"/>
        <w:ind w:firstLine="0"/>
      </w:pPr>
    </w:p>
    <w:p w14:paraId="00AC62F7" w14:textId="77777777" w:rsidR="000E5AAF" w:rsidRPr="00FA021A" w:rsidRDefault="009E4C88" w:rsidP="003620C0">
      <w:pPr>
        <w:pStyle w:val="Subttulo"/>
        <w:ind w:firstLine="0"/>
      </w:pPr>
      <w:r w:rsidRPr="00FA021A">
        <w:t>Realizado por:</w:t>
      </w:r>
    </w:p>
    <w:p w14:paraId="705D3D7F" w14:textId="17F85851" w:rsidR="000E5AAF" w:rsidRPr="00FA021A" w:rsidRDefault="004B7522" w:rsidP="003620C0">
      <w:pPr>
        <w:pStyle w:val="Subttulo"/>
        <w:ind w:firstLine="0"/>
      </w:pPr>
      <w:r>
        <w:t>Iván Navarro Suero</w:t>
      </w:r>
    </w:p>
    <w:p w14:paraId="440D31F1" w14:textId="77777777" w:rsidR="000E5AAF" w:rsidRPr="00FA021A" w:rsidRDefault="000E5AAF" w:rsidP="003620C0">
      <w:pPr>
        <w:pStyle w:val="Subttulo"/>
        <w:ind w:firstLine="0"/>
      </w:pPr>
    </w:p>
    <w:p w14:paraId="4941B2DB" w14:textId="77777777" w:rsidR="000E5AAF" w:rsidRPr="00FA021A" w:rsidRDefault="009E4C88" w:rsidP="003620C0">
      <w:pPr>
        <w:pStyle w:val="Subttulo"/>
        <w:ind w:firstLine="0"/>
      </w:pPr>
      <w:r w:rsidRPr="00FA021A">
        <w:t>Dirigido por:</w:t>
      </w:r>
    </w:p>
    <w:p w14:paraId="78776042" w14:textId="7F1BF63F" w:rsidR="000E5AAF" w:rsidRPr="00FA021A" w:rsidRDefault="00DE71B4" w:rsidP="003620C0">
      <w:pPr>
        <w:pStyle w:val="Subttulo"/>
        <w:ind w:firstLine="0"/>
      </w:pPr>
      <w:r>
        <w:t>José Antonio Fernández Gallardo</w:t>
      </w:r>
    </w:p>
    <w:p w14:paraId="16B4C8FA" w14:textId="77777777" w:rsidR="000E5AAF" w:rsidRPr="00FA021A" w:rsidRDefault="000E5AAF" w:rsidP="003620C0">
      <w:pPr>
        <w:pStyle w:val="Subttulo"/>
        <w:ind w:firstLine="0"/>
        <w:rPr>
          <w:rFonts w:ascii="Calibri" w:eastAsia="Calibri" w:hAnsi="Calibri" w:cs="Calibri"/>
        </w:rPr>
      </w:pPr>
    </w:p>
    <w:p w14:paraId="308EE22F" w14:textId="77777777" w:rsidR="000E5AAF" w:rsidRPr="00FA021A" w:rsidRDefault="000E5AAF" w:rsidP="003620C0">
      <w:pPr>
        <w:pStyle w:val="Subttulo"/>
        <w:ind w:firstLine="0"/>
        <w:rPr>
          <w:rFonts w:ascii="Calibri" w:eastAsia="Calibri" w:hAnsi="Calibri" w:cs="Calibri"/>
        </w:rPr>
      </w:pPr>
    </w:p>
    <w:p w14:paraId="1C3D775E" w14:textId="1E250287" w:rsidR="000E5AAF" w:rsidRPr="005E1A3F" w:rsidRDefault="005E1A3F" w:rsidP="005E1A3F">
      <w:pPr>
        <w:pStyle w:val="Ttulo"/>
        <w:ind w:firstLine="0"/>
      </w:pPr>
      <w:r>
        <w:t>Curso 202</w:t>
      </w:r>
      <w:r w:rsidR="004B7522">
        <w:t>5</w:t>
      </w:r>
      <w:r>
        <w:t>-202</w:t>
      </w:r>
      <w:r w:rsidR="004B7522">
        <w:t>6</w:t>
      </w:r>
      <w:r w:rsidR="009E4C88" w:rsidRPr="00FA021A">
        <w:br w:type="page"/>
      </w:r>
    </w:p>
    <w:p w14:paraId="7D192224" w14:textId="77777777" w:rsidR="000E5AAF" w:rsidRPr="00FA021A" w:rsidRDefault="009E4C88">
      <w:pPr>
        <w:ind w:firstLine="0"/>
        <w:rPr>
          <w:b/>
        </w:rPr>
      </w:pPr>
      <w:r w:rsidRPr="00FA021A">
        <w:rPr>
          <w:b/>
        </w:rPr>
        <w:lastRenderedPageBreak/>
        <w:t>TÍTULO:</w:t>
      </w:r>
    </w:p>
    <w:p w14:paraId="483FCCD8" w14:textId="77777777" w:rsidR="000E5AAF" w:rsidRPr="00FA021A" w:rsidRDefault="009E4C88">
      <w:pPr>
        <w:ind w:firstLine="0"/>
        <w:rPr>
          <w:i/>
        </w:rPr>
      </w:pPr>
      <w:r w:rsidRPr="00FA021A">
        <w:rPr>
          <w:b/>
        </w:rPr>
        <w:t>RESUMEN (incluyendo síntesis de conclusiones):</w:t>
      </w:r>
      <w:r w:rsidRPr="00FA021A">
        <w:t xml:space="preserve"> </w:t>
      </w:r>
      <w:r w:rsidRPr="00FA021A">
        <w:rPr>
          <w:i/>
        </w:rPr>
        <w:t>(300 palabras máximo)</w:t>
      </w:r>
    </w:p>
    <w:p w14:paraId="52A2476B" w14:textId="77777777" w:rsidR="000E5AAF" w:rsidRPr="00FA021A" w:rsidRDefault="009E4C88">
      <w:pPr>
        <w:ind w:firstLine="0"/>
        <w:rPr>
          <w:b/>
        </w:rPr>
      </w:pPr>
      <w:r w:rsidRPr="00FA021A">
        <w:rPr>
          <w:b/>
        </w:rPr>
        <w:t>PALABRAS CLAVE:</w:t>
      </w:r>
    </w:p>
    <w:p w14:paraId="369AC29E" w14:textId="77777777" w:rsidR="000E5AAF" w:rsidRPr="00FA021A" w:rsidRDefault="000E5AAF">
      <w:pPr>
        <w:rPr>
          <w:b/>
        </w:rPr>
      </w:pPr>
    </w:p>
    <w:p w14:paraId="6A28ECB4" w14:textId="77777777" w:rsidR="000E5AAF" w:rsidRPr="00FA021A" w:rsidRDefault="009E4C88">
      <w:pPr>
        <w:ind w:firstLine="0"/>
        <w:rPr>
          <w:b/>
        </w:rPr>
      </w:pPr>
      <w:r w:rsidRPr="00FA021A">
        <w:rPr>
          <w:b/>
        </w:rPr>
        <w:t>TITLE:</w:t>
      </w:r>
    </w:p>
    <w:p w14:paraId="3F0DB645" w14:textId="77777777" w:rsidR="000E5AAF" w:rsidRPr="00FA021A" w:rsidRDefault="009E4C88">
      <w:pPr>
        <w:ind w:firstLine="0"/>
      </w:pPr>
      <w:r w:rsidRPr="00FA021A">
        <w:rPr>
          <w:b/>
        </w:rPr>
        <w:t xml:space="preserve">ABSTRACT: </w:t>
      </w:r>
      <w:r w:rsidRPr="00FA021A">
        <w:rPr>
          <w:i/>
        </w:rPr>
        <w:t>(300 palabras máximo)</w:t>
      </w:r>
      <w:r w:rsidRPr="00FA021A">
        <w:rPr>
          <w:b/>
        </w:rPr>
        <w:t xml:space="preserve"> </w:t>
      </w:r>
    </w:p>
    <w:p w14:paraId="0C1638BB" w14:textId="77777777" w:rsidR="000E5AAF" w:rsidRPr="00FA021A" w:rsidRDefault="009E4C88">
      <w:pPr>
        <w:ind w:firstLine="0"/>
      </w:pPr>
      <w:r w:rsidRPr="00FA021A">
        <w:rPr>
          <w:b/>
        </w:rPr>
        <w:t xml:space="preserve">KEYWORDS: </w:t>
      </w:r>
    </w:p>
    <w:p w14:paraId="4B8B123C" w14:textId="77777777" w:rsidR="000E5AAF" w:rsidRPr="00FA021A" w:rsidRDefault="000E5AAF">
      <w:pPr>
        <w:rPr>
          <w:rFonts w:ascii="Calibri" w:eastAsia="Calibri" w:hAnsi="Calibri" w:cs="Calibri"/>
          <w:b/>
        </w:rPr>
      </w:pPr>
    </w:p>
    <w:p w14:paraId="31475965" w14:textId="77777777" w:rsidR="000E5AAF" w:rsidRPr="00FA021A" w:rsidRDefault="009E4C88">
      <w:pPr>
        <w:rPr>
          <w:rFonts w:ascii="Calibri" w:eastAsia="Calibri" w:hAnsi="Calibri" w:cs="Calibri"/>
        </w:rPr>
      </w:pPr>
      <w:r w:rsidRPr="00FA021A">
        <w:rPr>
          <w:rFonts w:ascii="Calibri" w:eastAsia="Calibri" w:hAnsi="Calibri" w:cs="Calibri"/>
        </w:rPr>
        <w:t xml:space="preserve"> </w:t>
      </w:r>
      <w:r w:rsidRPr="00FA021A">
        <w:br w:type="page"/>
      </w:r>
    </w:p>
    <w:p w14:paraId="193D4A1D" w14:textId="77777777" w:rsidR="000E5AAF" w:rsidRPr="00FA021A" w:rsidRDefault="009E4C88">
      <w:pPr>
        <w:ind w:firstLine="0"/>
        <w:jc w:val="center"/>
        <w:rPr>
          <w:b/>
        </w:rPr>
      </w:pPr>
      <w:r w:rsidRPr="00FA021A">
        <w:rPr>
          <w:b/>
        </w:rPr>
        <w:lastRenderedPageBreak/>
        <w:t>DECLARACIÓN JURADA DE ORIGINALIDAD DEL TRABAJO FIN DE MÁSTER</w:t>
      </w:r>
    </w:p>
    <w:p w14:paraId="5F510CE1" w14:textId="77777777" w:rsidR="000E5AAF" w:rsidRPr="00FA021A" w:rsidRDefault="000E5AAF"/>
    <w:p w14:paraId="4368057B" w14:textId="77777777" w:rsidR="000E5AAF" w:rsidRPr="00FA021A" w:rsidRDefault="009E4C88">
      <w:pPr>
        <w:ind w:firstLine="0"/>
      </w:pPr>
      <w:r w:rsidRPr="00FA021A">
        <w:t>D./ Dña. _______________________________________________________________</w:t>
      </w:r>
    </w:p>
    <w:p w14:paraId="08A70F30" w14:textId="77777777" w:rsidR="000E5AAF" w:rsidRPr="00FA021A" w:rsidRDefault="009E4C88">
      <w:pPr>
        <w:ind w:firstLine="0"/>
      </w:pPr>
      <w:r w:rsidRPr="00FA021A">
        <w:t>Con DNI/Pasaporte_______________________________________________________</w:t>
      </w:r>
    </w:p>
    <w:p w14:paraId="0BFE4D34" w14:textId="580DBE87" w:rsidR="000E5AAF" w:rsidRPr="00FA021A" w:rsidRDefault="00FA021A">
      <w:pPr>
        <w:ind w:firstLine="0"/>
      </w:pPr>
      <w:r w:rsidRPr="00FA021A">
        <w:t xml:space="preserve">estudiante del Máster Universitario </w:t>
      </w:r>
      <w:r w:rsidR="00004AB7" w:rsidRPr="00004AB7">
        <w:t>en Inteligencia Artificial Aplicada a Entornos Empresariales y Financieros</w:t>
      </w:r>
      <w:r w:rsidRPr="00FA021A">
        <w:t>.</w:t>
      </w:r>
    </w:p>
    <w:p w14:paraId="35E4702D" w14:textId="77777777" w:rsidR="000E5AAF" w:rsidRPr="00FA021A" w:rsidRDefault="009E4C88">
      <w:pPr>
        <w:ind w:firstLine="0"/>
        <w:jc w:val="center"/>
        <w:rPr>
          <w:b/>
        </w:rPr>
      </w:pPr>
      <w:r w:rsidRPr="00FA021A">
        <w:rPr>
          <w:b/>
        </w:rPr>
        <w:t>DECLARO</w:t>
      </w:r>
    </w:p>
    <w:p w14:paraId="17B02F3D" w14:textId="77777777" w:rsidR="000E5AAF" w:rsidRDefault="009E4C88">
      <w:r w:rsidRPr="00FA021A">
        <w:t>Ser la persona autora del texto entregado y que no ha sido presentado con anterioridad, ni total ni parcialmente, para superar materias previamente cursadas en esta u otras titulaciones de cualquier otra institución de educación superior u otro tipo de fin.</w:t>
      </w:r>
    </w:p>
    <w:p w14:paraId="17805321" w14:textId="2DE9BCAB" w:rsidR="00887A39" w:rsidRPr="00FA021A" w:rsidRDefault="00887A39">
      <w:r>
        <w:t xml:space="preserve">Que, </w:t>
      </w:r>
      <w:r w:rsidR="00B93E8A">
        <w:t>si he hecho uso de la inteligencia artificial</w:t>
      </w:r>
      <w:r w:rsidR="00431E7C">
        <w:t xml:space="preserve"> (IA)</w:t>
      </w:r>
      <w:r w:rsidR="00B93E8A">
        <w:t xml:space="preserve"> para generación de </w:t>
      </w:r>
      <w:r w:rsidR="00431E7C">
        <w:t xml:space="preserve">alguno de los </w:t>
      </w:r>
      <w:r w:rsidR="00B93E8A">
        <w:t>contenido</w:t>
      </w:r>
      <w:r w:rsidR="00431E7C">
        <w:t>s</w:t>
      </w:r>
      <w:r w:rsidR="00B93E8A">
        <w:t xml:space="preserve"> </w:t>
      </w:r>
      <w:r w:rsidR="00431E7C">
        <w:t>de</w:t>
      </w:r>
      <w:r w:rsidR="00B93E8A">
        <w:t xml:space="preserve"> este trabajo, </w:t>
      </w:r>
      <w:r w:rsidR="004030BA">
        <w:t>este uso se ha indicado claramente</w:t>
      </w:r>
      <w:r w:rsidR="00431E7C">
        <w:t>. Se exceptúa de esta norma el uso de IA para la mejora y/o corrección gramatical de los textos</w:t>
      </w:r>
      <w:r w:rsidR="00C42D64">
        <w:t xml:space="preserve"> (y no para su generación)</w:t>
      </w:r>
      <w:r w:rsidR="00431E7C">
        <w:t xml:space="preserve">, en cuyo caso </w:t>
      </w:r>
      <w:r w:rsidR="00C42D64">
        <w:t>se recomienda indicar este uso, pero no es obligatorio.</w:t>
      </w:r>
    </w:p>
    <w:p w14:paraId="5D10F62C" w14:textId="07233F7E" w:rsidR="000E5AAF" w:rsidRPr="00FA021A" w:rsidRDefault="009E4C88">
      <w:r w:rsidRPr="00FA021A">
        <w:t>Así mismo, declaro no haber trasgredido ninguna norma universitaria con respecto al plagio ni a las leyes establecidas que protegen la propiedad intelectual, así como que las fuentes utilizadas han sido citadas adecuadamente.</w:t>
      </w:r>
      <w:r w:rsidR="00C42D64" w:rsidRPr="00C42D64">
        <w:t xml:space="preserve"> </w:t>
      </w:r>
      <w:r w:rsidR="00C42D64">
        <w:t>La</w:t>
      </w:r>
      <w:r w:rsidR="00C42D64" w:rsidRPr="00283335">
        <w:t xml:space="preserve"> responsabilidad </w:t>
      </w:r>
      <w:r w:rsidR="00C42D64">
        <w:t xml:space="preserve">por un uso inadecuado de las referencias </w:t>
      </w:r>
      <w:r w:rsidR="00C42D64" w:rsidRPr="00283335">
        <w:t>no puede trasladarse a las herramientas de IA.</w:t>
      </w:r>
    </w:p>
    <w:p w14:paraId="6EC0ECF8" w14:textId="77777777" w:rsidR="000E5AAF" w:rsidRPr="00FA021A" w:rsidRDefault="009E4C88">
      <w:r w:rsidRPr="00FA021A">
        <w:t>Por último, declaro que conozco las sanciones penales en caso de infringir las leyes del plagio y de falsa declaración, y que firmo la presente con pleno uso de mis facultades y asumiendo todas las responsabilidades de ella derivada.</w:t>
      </w:r>
    </w:p>
    <w:p w14:paraId="63126815" w14:textId="55D0100E" w:rsidR="000E5AAF" w:rsidRPr="00FA021A" w:rsidRDefault="009E4C88" w:rsidP="00F251CF">
      <w:pPr>
        <w:ind w:left="3540" w:firstLine="708"/>
        <w:jc w:val="center"/>
      </w:pPr>
      <w:r w:rsidRPr="00FA021A">
        <w:t xml:space="preserve">Firma </w:t>
      </w:r>
    </w:p>
    <w:p w14:paraId="542FE18B" w14:textId="77777777" w:rsidR="000E5AAF" w:rsidRDefault="000E5AAF"/>
    <w:p w14:paraId="550D1BBD" w14:textId="77777777" w:rsidR="00A81EA3" w:rsidRPr="00FA021A" w:rsidRDefault="00A81EA3"/>
    <w:p w14:paraId="47DBB40B" w14:textId="06122085" w:rsidR="000E5AAF" w:rsidRPr="00A81EA3" w:rsidRDefault="009E4C88" w:rsidP="00A81EA3">
      <w:pPr>
        <w:jc w:val="right"/>
      </w:pPr>
      <w:r w:rsidRPr="00FA021A">
        <w:t xml:space="preserve">En </w:t>
      </w:r>
      <w:r w:rsidR="001829D9">
        <w:t>__________</w:t>
      </w:r>
      <w:r w:rsidRPr="00FA021A">
        <w:t xml:space="preserve">, a _____ de ____________________ </w:t>
      </w:r>
      <w:proofErr w:type="spellStart"/>
      <w:r w:rsidRPr="00FA021A">
        <w:t>de</w:t>
      </w:r>
      <w:proofErr w:type="spellEnd"/>
      <w:r w:rsidRPr="00FA021A">
        <w:t xml:space="preserve"> 202</w:t>
      </w:r>
      <w:r w:rsidR="000A3846">
        <w:t>_</w:t>
      </w:r>
    </w:p>
    <w:p w14:paraId="5296E781" w14:textId="77777777" w:rsidR="000E5AAF" w:rsidRPr="00FA021A" w:rsidRDefault="009E4C88">
      <w:pPr>
        <w:ind w:firstLine="0"/>
        <w:rPr>
          <w:i/>
        </w:rPr>
      </w:pPr>
      <w:r w:rsidRPr="00FA021A">
        <w:rPr>
          <w:i/>
        </w:rPr>
        <w:t xml:space="preserve">(La firma debe ser original. Se puede realizar de forma electrónica, con firma manuscrita escaneada o con la declaración completa escaneada incluyendo la firma manuscrita) </w:t>
      </w:r>
    </w:p>
    <w:p w14:paraId="023C3415" w14:textId="77777777" w:rsidR="000E5AAF" w:rsidRPr="00FA021A" w:rsidRDefault="009E4C88">
      <w:pPr>
        <w:spacing w:before="0" w:after="160" w:line="259" w:lineRule="auto"/>
        <w:ind w:firstLine="0"/>
        <w:jc w:val="left"/>
        <w:rPr>
          <w:rFonts w:ascii="Calibri" w:eastAsia="Calibri" w:hAnsi="Calibri" w:cs="Calibri"/>
          <w:b/>
        </w:rPr>
      </w:pPr>
      <w:r w:rsidRPr="00FA021A">
        <w:br w:type="page"/>
      </w:r>
    </w:p>
    <w:p w14:paraId="5AA6B28A" w14:textId="0A4CBD3A" w:rsidR="000E5AAF" w:rsidRPr="00FA021A" w:rsidRDefault="007F0A6A">
      <w:pPr>
        <w:keepNext/>
        <w:keepLines/>
        <w:pBdr>
          <w:top w:val="nil"/>
          <w:left w:val="nil"/>
          <w:bottom w:val="nil"/>
          <w:right w:val="nil"/>
          <w:between w:val="nil"/>
        </w:pBdr>
        <w:spacing w:before="240" w:after="0" w:line="259" w:lineRule="auto"/>
        <w:ind w:left="431" w:hanging="431"/>
        <w:jc w:val="left"/>
        <w:rPr>
          <w:rFonts w:cs="Times New Roman"/>
          <w:b/>
          <w:color w:val="000000"/>
          <w:sz w:val="28"/>
          <w:szCs w:val="28"/>
        </w:rPr>
      </w:pPr>
      <w:r>
        <w:rPr>
          <w:rFonts w:cs="Times New Roman"/>
          <w:b/>
          <w:color w:val="000000"/>
          <w:sz w:val="28"/>
          <w:szCs w:val="28"/>
        </w:rPr>
        <w:lastRenderedPageBreak/>
        <w:t>Índice</w:t>
      </w:r>
    </w:p>
    <w:sdt>
      <w:sdtPr>
        <w:rPr>
          <w:rFonts w:eastAsia="Times New Roman" w:cstheme="majorHAnsi"/>
          <w:b w:val="0"/>
          <w:sz w:val="24"/>
          <w:szCs w:val="24"/>
        </w:rPr>
        <w:id w:val="2102920766"/>
        <w:docPartObj>
          <w:docPartGallery w:val="Table of Contents"/>
          <w:docPartUnique/>
        </w:docPartObj>
      </w:sdtPr>
      <w:sdtEndPr>
        <w:rPr>
          <w:bCs/>
        </w:rPr>
      </w:sdtEndPr>
      <w:sdtContent>
        <w:p w14:paraId="4B7B7942" w14:textId="6DD926A7" w:rsidR="00BE2154" w:rsidRDefault="00BE2154">
          <w:pPr>
            <w:pStyle w:val="TtuloTDC"/>
          </w:pPr>
          <w:r>
            <w:t>Contenido</w:t>
          </w:r>
        </w:p>
        <w:p w14:paraId="47777F2D" w14:textId="536134D8" w:rsidR="007F0A6A" w:rsidRDefault="00BE2154">
          <w:pPr>
            <w:pStyle w:val="TDC1"/>
            <w:rPr>
              <w:rFonts w:asciiTheme="minorHAnsi" w:eastAsiaTheme="minorEastAsia" w:hAnsiTheme="minorHAnsi" w:cstheme="minorBidi"/>
              <w:noProof/>
              <w:kern w:val="2"/>
              <w:lang w:eastAsia="es-ES_tradnl"/>
              <w14:ligatures w14:val="standardContextual"/>
            </w:rPr>
          </w:pPr>
          <w:r>
            <w:fldChar w:fldCharType="begin"/>
          </w:r>
          <w:r>
            <w:instrText xml:space="preserve"> TOC \o "1-3" \h \z \u </w:instrText>
          </w:r>
          <w:r>
            <w:fldChar w:fldCharType="separate"/>
          </w:r>
          <w:hyperlink w:anchor="_Toc231829964" w:history="1">
            <w:r w:rsidR="007F0A6A" w:rsidRPr="00641865">
              <w:rPr>
                <w:rStyle w:val="Hipervnculo"/>
                <w:noProof/>
              </w:rPr>
              <w:t>1.</w:t>
            </w:r>
            <w:r w:rsidR="007F0A6A">
              <w:rPr>
                <w:rFonts w:asciiTheme="minorHAnsi" w:eastAsiaTheme="minorEastAsia" w:hAnsiTheme="minorHAnsi" w:cstheme="minorBidi"/>
                <w:noProof/>
                <w:kern w:val="2"/>
                <w:lang w:eastAsia="es-ES_tradnl"/>
                <w14:ligatures w14:val="standardContextual"/>
              </w:rPr>
              <w:tab/>
            </w:r>
            <w:r w:rsidR="007F0A6A" w:rsidRPr="00641865">
              <w:rPr>
                <w:rStyle w:val="Hipervnculo"/>
                <w:noProof/>
              </w:rPr>
              <w:t>INTRODUCCIÓN</w:t>
            </w:r>
            <w:r w:rsidR="007F0A6A">
              <w:rPr>
                <w:noProof/>
                <w:webHidden/>
              </w:rPr>
              <w:tab/>
            </w:r>
            <w:r w:rsidR="007F0A6A">
              <w:rPr>
                <w:noProof/>
                <w:webHidden/>
              </w:rPr>
              <w:fldChar w:fldCharType="begin"/>
            </w:r>
            <w:r w:rsidR="007F0A6A">
              <w:rPr>
                <w:noProof/>
                <w:webHidden/>
              </w:rPr>
              <w:instrText xml:space="preserve"> PAGEREF _Toc231829964 \h </w:instrText>
            </w:r>
            <w:r w:rsidR="007F0A6A">
              <w:rPr>
                <w:noProof/>
                <w:webHidden/>
              </w:rPr>
            </w:r>
            <w:r w:rsidR="007F0A6A">
              <w:rPr>
                <w:noProof/>
                <w:webHidden/>
              </w:rPr>
              <w:fldChar w:fldCharType="separate"/>
            </w:r>
            <w:r w:rsidR="007F0A6A">
              <w:rPr>
                <w:noProof/>
                <w:webHidden/>
              </w:rPr>
              <w:t>1</w:t>
            </w:r>
            <w:r w:rsidR="007F0A6A">
              <w:rPr>
                <w:noProof/>
                <w:webHidden/>
              </w:rPr>
              <w:fldChar w:fldCharType="end"/>
            </w:r>
          </w:hyperlink>
        </w:p>
        <w:p w14:paraId="4E56C5C0" w14:textId="374F7716"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65" w:history="1">
            <w:r w:rsidRPr="00641865">
              <w:rPr>
                <w:rStyle w:val="Hipervnculo"/>
                <w:noProof/>
              </w:rPr>
              <w:t>1.1. Motivación y contexto</w:t>
            </w:r>
            <w:r>
              <w:rPr>
                <w:noProof/>
                <w:webHidden/>
              </w:rPr>
              <w:tab/>
            </w:r>
            <w:r>
              <w:rPr>
                <w:noProof/>
                <w:webHidden/>
              </w:rPr>
              <w:fldChar w:fldCharType="begin"/>
            </w:r>
            <w:r>
              <w:rPr>
                <w:noProof/>
                <w:webHidden/>
              </w:rPr>
              <w:instrText xml:space="preserve"> PAGEREF _Toc231829965 \h </w:instrText>
            </w:r>
            <w:r>
              <w:rPr>
                <w:noProof/>
                <w:webHidden/>
              </w:rPr>
            </w:r>
            <w:r>
              <w:rPr>
                <w:noProof/>
                <w:webHidden/>
              </w:rPr>
              <w:fldChar w:fldCharType="separate"/>
            </w:r>
            <w:r>
              <w:rPr>
                <w:noProof/>
                <w:webHidden/>
              </w:rPr>
              <w:t>1</w:t>
            </w:r>
            <w:r>
              <w:rPr>
                <w:noProof/>
                <w:webHidden/>
              </w:rPr>
              <w:fldChar w:fldCharType="end"/>
            </w:r>
          </w:hyperlink>
        </w:p>
        <w:p w14:paraId="71ED3FDF" w14:textId="382EECE3"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66" w:history="1">
            <w:r w:rsidRPr="00641865">
              <w:rPr>
                <w:rStyle w:val="Hipervnculo"/>
                <w:noProof/>
              </w:rPr>
              <w:t>1.2. Justificación del trabajo</w:t>
            </w:r>
            <w:r>
              <w:rPr>
                <w:noProof/>
                <w:webHidden/>
              </w:rPr>
              <w:tab/>
            </w:r>
            <w:r>
              <w:rPr>
                <w:noProof/>
                <w:webHidden/>
              </w:rPr>
              <w:fldChar w:fldCharType="begin"/>
            </w:r>
            <w:r>
              <w:rPr>
                <w:noProof/>
                <w:webHidden/>
              </w:rPr>
              <w:instrText xml:space="preserve"> PAGEREF _Toc231829966 \h </w:instrText>
            </w:r>
            <w:r>
              <w:rPr>
                <w:noProof/>
                <w:webHidden/>
              </w:rPr>
            </w:r>
            <w:r>
              <w:rPr>
                <w:noProof/>
                <w:webHidden/>
              </w:rPr>
              <w:fldChar w:fldCharType="separate"/>
            </w:r>
            <w:r>
              <w:rPr>
                <w:noProof/>
                <w:webHidden/>
              </w:rPr>
              <w:t>2</w:t>
            </w:r>
            <w:r>
              <w:rPr>
                <w:noProof/>
                <w:webHidden/>
              </w:rPr>
              <w:fldChar w:fldCharType="end"/>
            </w:r>
          </w:hyperlink>
        </w:p>
        <w:p w14:paraId="35B84825" w14:textId="42A290FA"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67" w:history="1">
            <w:r w:rsidRPr="00641865">
              <w:rPr>
                <w:rStyle w:val="Hipervnculo"/>
                <w:noProof/>
              </w:rPr>
              <w:t>1.3. Objetivos del trabajo</w:t>
            </w:r>
            <w:r>
              <w:rPr>
                <w:noProof/>
                <w:webHidden/>
              </w:rPr>
              <w:tab/>
            </w:r>
            <w:r>
              <w:rPr>
                <w:noProof/>
                <w:webHidden/>
              </w:rPr>
              <w:fldChar w:fldCharType="begin"/>
            </w:r>
            <w:r>
              <w:rPr>
                <w:noProof/>
                <w:webHidden/>
              </w:rPr>
              <w:instrText xml:space="preserve"> PAGEREF _Toc231829967 \h </w:instrText>
            </w:r>
            <w:r>
              <w:rPr>
                <w:noProof/>
                <w:webHidden/>
              </w:rPr>
            </w:r>
            <w:r>
              <w:rPr>
                <w:noProof/>
                <w:webHidden/>
              </w:rPr>
              <w:fldChar w:fldCharType="separate"/>
            </w:r>
            <w:r>
              <w:rPr>
                <w:noProof/>
                <w:webHidden/>
              </w:rPr>
              <w:t>4</w:t>
            </w:r>
            <w:r>
              <w:rPr>
                <w:noProof/>
                <w:webHidden/>
              </w:rPr>
              <w:fldChar w:fldCharType="end"/>
            </w:r>
          </w:hyperlink>
        </w:p>
        <w:p w14:paraId="79B49020" w14:textId="3A8B01B4"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68" w:history="1">
            <w:r w:rsidRPr="00641865">
              <w:rPr>
                <w:rStyle w:val="Hipervnculo"/>
                <w:noProof/>
              </w:rPr>
              <w:t>1.3.1. Objetivo general</w:t>
            </w:r>
            <w:r>
              <w:rPr>
                <w:noProof/>
                <w:webHidden/>
              </w:rPr>
              <w:tab/>
            </w:r>
            <w:r>
              <w:rPr>
                <w:noProof/>
                <w:webHidden/>
              </w:rPr>
              <w:fldChar w:fldCharType="begin"/>
            </w:r>
            <w:r>
              <w:rPr>
                <w:noProof/>
                <w:webHidden/>
              </w:rPr>
              <w:instrText xml:space="preserve"> PAGEREF _Toc231829968 \h </w:instrText>
            </w:r>
            <w:r>
              <w:rPr>
                <w:noProof/>
                <w:webHidden/>
              </w:rPr>
            </w:r>
            <w:r>
              <w:rPr>
                <w:noProof/>
                <w:webHidden/>
              </w:rPr>
              <w:fldChar w:fldCharType="separate"/>
            </w:r>
            <w:r>
              <w:rPr>
                <w:noProof/>
                <w:webHidden/>
              </w:rPr>
              <w:t>4</w:t>
            </w:r>
            <w:r>
              <w:rPr>
                <w:noProof/>
                <w:webHidden/>
              </w:rPr>
              <w:fldChar w:fldCharType="end"/>
            </w:r>
          </w:hyperlink>
        </w:p>
        <w:p w14:paraId="1F0A0FEB" w14:textId="38DF8C2C"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69" w:history="1">
            <w:r w:rsidRPr="00641865">
              <w:rPr>
                <w:rStyle w:val="Hipervnculo"/>
                <w:noProof/>
              </w:rPr>
              <w:t>1.3.2. Objetivos específicos</w:t>
            </w:r>
            <w:r>
              <w:rPr>
                <w:noProof/>
                <w:webHidden/>
              </w:rPr>
              <w:tab/>
            </w:r>
            <w:r>
              <w:rPr>
                <w:noProof/>
                <w:webHidden/>
              </w:rPr>
              <w:fldChar w:fldCharType="begin"/>
            </w:r>
            <w:r>
              <w:rPr>
                <w:noProof/>
                <w:webHidden/>
              </w:rPr>
              <w:instrText xml:space="preserve"> PAGEREF _Toc231829969 \h </w:instrText>
            </w:r>
            <w:r>
              <w:rPr>
                <w:noProof/>
                <w:webHidden/>
              </w:rPr>
            </w:r>
            <w:r>
              <w:rPr>
                <w:noProof/>
                <w:webHidden/>
              </w:rPr>
              <w:fldChar w:fldCharType="separate"/>
            </w:r>
            <w:r>
              <w:rPr>
                <w:noProof/>
                <w:webHidden/>
              </w:rPr>
              <w:t>4</w:t>
            </w:r>
            <w:r>
              <w:rPr>
                <w:noProof/>
                <w:webHidden/>
              </w:rPr>
              <w:fldChar w:fldCharType="end"/>
            </w:r>
          </w:hyperlink>
        </w:p>
        <w:p w14:paraId="60115A40" w14:textId="7B4DB007"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70" w:history="1">
            <w:r w:rsidRPr="00641865">
              <w:rPr>
                <w:rStyle w:val="Hipervnculo"/>
                <w:noProof/>
              </w:rPr>
              <w:t>1.4. Estructura del documento</w:t>
            </w:r>
            <w:r>
              <w:rPr>
                <w:noProof/>
                <w:webHidden/>
              </w:rPr>
              <w:tab/>
            </w:r>
            <w:r>
              <w:rPr>
                <w:noProof/>
                <w:webHidden/>
              </w:rPr>
              <w:fldChar w:fldCharType="begin"/>
            </w:r>
            <w:r>
              <w:rPr>
                <w:noProof/>
                <w:webHidden/>
              </w:rPr>
              <w:instrText xml:space="preserve"> PAGEREF _Toc231829970 \h </w:instrText>
            </w:r>
            <w:r>
              <w:rPr>
                <w:noProof/>
                <w:webHidden/>
              </w:rPr>
            </w:r>
            <w:r>
              <w:rPr>
                <w:noProof/>
                <w:webHidden/>
              </w:rPr>
              <w:fldChar w:fldCharType="separate"/>
            </w:r>
            <w:r>
              <w:rPr>
                <w:noProof/>
                <w:webHidden/>
              </w:rPr>
              <w:t>5</w:t>
            </w:r>
            <w:r>
              <w:rPr>
                <w:noProof/>
                <w:webHidden/>
              </w:rPr>
              <w:fldChar w:fldCharType="end"/>
            </w:r>
          </w:hyperlink>
        </w:p>
        <w:p w14:paraId="14C025B7" w14:textId="013CEEA7" w:rsidR="007F0A6A" w:rsidRDefault="007F0A6A">
          <w:pPr>
            <w:pStyle w:val="TDC1"/>
            <w:rPr>
              <w:rFonts w:asciiTheme="minorHAnsi" w:eastAsiaTheme="minorEastAsia" w:hAnsiTheme="minorHAnsi" w:cstheme="minorBidi"/>
              <w:noProof/>
              <w:kern w:val="2"/>
              <w:lang w:eastAsia="es-ES_tradnl"/>
              <w14:ligatures w14:val="standardContextual"/>
            </w:rPr>
          </w:pPr>
          <w:hyperlink w:anchor="_Toc231829971" w:history="1">
            <w:r w:rsidRPr="00641865">
              <w:rPr>
                <w:rStyle w:val="Hipervnculo"/>
                <w:noProof/>
              </w:rPr>
              <w:t>3. METODOLOGÍA</w:t>
            </w:r>
            <w:r>
              <w:rPr>
                <w:noProof/>
                <w:webHidden/>
              </w:rPr>
              <w:tab/>
            </w:r>
            <w:r>
              <w:rPr>
                <w:noProof/>
                <w:webHidden/>
              </w:rPr>
              <w:fldChar w:fldCharType="begin"/>
            </w:r>
            <w:r>
              <w:rPr>
                <w:noProof/>
                <w:webHidden/>
              </w:rPr>
              <w:instrText xml:space="preserve"> PAGEREF _Toc231829971 \h </w:instrText>
            </w:r>
            <w:r>
              <w:rPr>
                <w:noProof/>
                <w:webHidden/>
              </w:rPr>
            </w:r>
            <w:r>
              <w:rPr>
                <w:noProof/>
                <w:webHidden/>
              </w:rPr>
              <w:fldChar w:fldCharType="separate"/>
            </w:r>
            <w:r>
              <w:rPr>
                <w:noProof/>
                <w:webHidden/>
              </w:rPr>
              <w:t>7</w:t>
            </w:r>
            <w:r>
              <w:rPr>
                <w:noProof/>
                <w:webHidden/>
              </w:rPr>
              <w:fldChar w:fldCharType="end"/>
            </w:r>
          </w:hyperlink>
        </w:p>
        <w:p w14:paraId="2A739681" w14:textId="18BEC3CE"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72" w:history="1">
            <w:r w:rsidRPr="00641865">
              <w:rPr>
                <w:rStyle w:val="Hipervnculo"/>
                <w:noProof/>
              </w:rPr>
              <w:t>3.1. Fuentes de datos utilizadas y delimitación geográfica</w:t>
            </w:r>
            <w:r>
              <w:rPr>
                <w:noProof/>
                <w:webHidden/>
              </w:rPr>
              <w:tab/>
            </w:r>
            <w:r>
              <w:rPr>
                <w:noProof/>
                <w:webHidden/>
              </w:rPr>
              <w:fldChar w:fldCharType="begin"/>
            </w:r>
            <w:r>
              <w:rPr>
                <w:noProof/>
                <w:webHidden/>
              </w:rPr>
              <w:instrText xml:space="preserve"> PAGEREF _Toc231829972 \h </w:instrText>
            </w:r>
            <w:r>
              <w:rPr>
                <w:noProof/>
                <w:webHidden/>
              </w:rPr>
            </w:r>
            <w:r>
              <w:rPr>
                <w:noProof/>
                <w:webHidden/>
              </w:rPr>
              <w:fldChar w:fldCharType="separate"/>
            </w:r>
            <w:r>
              <w:rPr>
                <w:noProof/>
                <w:webHidden/>
              </w:rPr>
              <w:t>7</w:t>
            </w:r>
            <w:r>
              <w:rPr>
                <w:noProof/>
                <w:webHidden/>
              </w:rPr>
              <w:fldChar w:fldCharType="end"/>
            </w:r>
          </w:hyperlink>
        </w:p>
        <w:p w14:paraId="2F618F1B" w14:textId="3585DF12"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73" w:history="1">
            <w:r w:rsidRPr="00641865">
              <w:rPr>
                <w:rStyle w:val="Hipervnculo"/>
                <w:noProof/>
              </w:rPr>
              <w:t>3.2. Proceso de obtención y limpieza de datos</w:t>
            </w:r>
            <w:r>
              <w:rPr>
                <w:noProof/>
                <w:webHidden/>
              </w:rPr>
              <w:tab/>
            </w:r>
            <w:r>
              <w:rPr>
                <w:noProof/>
                <w:webHidden/>
              </w:rPr>
              <w:fldChar w:fldCharType="begin"/>
            </w:r>
            <w:r>
              <w:rPr>
                <w:noProof/>
                <w:webHidden/>
              </w:rPr>
              <w:instrText xml:space="preserve"> PAGEREF _Toc231829973 \h </w:instrText>
            </w:r>
            <w:r>
              <w:rPr>
                <w:noProof/>
                <w:webHidden/>
              </w:rPr>
            </w:r>
            <w:r>
              <w:rPr>
                <w:noProof/>
                <w:webHidden/>
              </w:rPr>
              <w:fldChar w:fldCharType="separate"/>
            </w:r>
            <w:r>
              <w:rPr>
                <w:noProof/>
                <w:webHidden/>
              </w:rPr>
              <w:t>9</w:t>
            </w:r>
            <w:r>
              <w:rPr>
                <w:noProof/>
                <w:webHidden/>
              </w:rPr>
              <w:fldChar w:fldCharType="end"/>
            </w:r>
          </w:hyperlink>
        </w:p>
        <w:p w14:paraId="4CBBDA25" w14:textId="7B7C0B94"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74" w:history="1">
            <w:r w:rsidRPr="00641865">
              <w:rPr>
                <w:rStyle w:val="Hipervnculo"/>
                <w:noProof/>
              </w:rPr>
              <w:t>3.3. Definición de variables e indicadores económico-financieros</w:t>
            </w:r>
            <w:r>
              <w:rPr>
                <w:noProof/>
                <w:webHidden/>
              </w:rPr>
              <w:tab/>
            </w:r>
            <w:r>
              <w:rPr>
                <w:noProof/>
                <w:webHidden/>
              </w:rPr>
              <w:fldChar w:fldCharType="begin"/>
            </w:r>
            <w:r>
              <w:rPr>
                <w:noProof/>
                <w:webHidden/>
              </w:rPr>
              <w:instrText xml:space="preserve"> PAGEREF _Toc231829974 \h </w:instrText>
            </w:r>
            <w:r>
              <w:rPr>
                <w:noProof/>
                <w:webHidden/>
              </w:rPr>
            </w:r>
            <w:r>
              <w:rPr>
                <w:noProof/>
                <w:webHidden/>
              </w:rPr>
              <w:fldChar w:fldCharType="separate"/>
            </w:r>
            <w:r>
              <w:rPr>
                <w:noProof/>
                <w:webHidden/>
              </w:rPr>
              <w:t>11</w:t>
            </w:r>
            <w:r>
              <w:rPr>
                <w:noProof/>
                <w:webHidden/>
              </w:rPr>
              <w:fldChar w:fldCharType="end"/>
            </w:r>
          </w:hyperlink>
        </w:p>
        <w:p w14:paraId="5DACA763" w14:textId="6D7B7438"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75" w:history="1">
            <w:r w:rsidRPr="00641865">
              <w:rPr>
                <w:rStyle w:val="Hipervnculo"/>
                <w:noProof/>
              </w:rPr>
              <w:t>3.3.1. Inversión inicial y estructura de financiación</w:t>
            </w:r>
            <w:r>
              <w:rPr>
                <w:noProof/>
                <w:webHidden/>
              </w:rPr>
              <w:tab/>
            </w:r>
            <w:r>
              <w:rPr>
                <w:noProof/>
                <w:webHidden/>
              </w:rPr>
              <w:fldChar w:fldCharType="begin"/>
            </w:r>
            <w:r>
              <w:rPr>
                <w:noProof/>
                <w:webHidden/>
              </w:rPr>
              <w:instrText xml:space="preserve"> PAGEREF _Toc231829975 \h </w:instrText>
            </w:r>
            <w:r>
              <w:rPr>
                <w:noProof/>
                <w:webHidden/>
              </w:rPr>
            </w:r>
            <w:r>
              <w:rPr>
                <w:noProof/>
                <w:webHidden/>
              </w:rPr>
              <w:fldChar w:fldCharType="separate"/>
            </w:r>
            <w:r>
              <w:rPr>
                <w:noProof/>
                <w:webHidden/>
              </w:rPr>
              <w:t>11</w:t>
            </w:r>
            <w:r>
              <w:rPr>
                <w:noProof/>
                <w:webHidden/>
              </w:rPr>
              <w:fldChar w:fldCharType="end"/>
            </w:r>
          </w:hyperlink>
        </w:p>
        <w:p w14:paraId="439E7B06" w14:textId="40800C03"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76" w:history="1">
            <w:r w:rsidRPr="00641865">
              <w:rPr>
                <w:rStyle w:val="Hipervnculo"/>
                <w:noProof/>
              </w:rPr>
              <w:t>3.3.2. Ingresos, costes fijos y costes variables</w:t>
            </w:r>
            <w:r>
              <w:rPr>
                <w:noProof/>
                <w:webHidden/>
              </w:rPr>
              <w:tab/>
            </w:r>
            <w:r>
              <w:rPr>
                <w:noProof/>
                <w:webHidden/>
              </w:rPr>
              <w:fldChar w:fldCharType="begin"/>
            </w:r>
            <w:r>
              <w:rPr>
                <w:noProof/>
                <w:webHidden/>
              </w:rPr>
              <w:instrText xml:space="preserve"> PAGEREF _Toc231829976 \h </w:instrText>
            </w:r>
            <w:r>
              <w:rPr>
                <w:noProof/>
                <w:webHidden/>
              </w:rPr>
            </w:r>
            <w:r>
              <w:rPr>
                <w:noProof/>
                <w:webHidden/>
              </w:rPr>
              <w:fldChar w:fldCharType="separate"/>
            </w:r>
            <w:r>
              <w:rPr>
                <w:noProof/>
                <w:webHidden/>
              </w:rPr>
              <w:t>12</w:t>
            </w:r>
            <w:r>
              <w:rPr>
                <w:noProof/>
                <w:webHidden/>
              </w:rPr>
              <w:fldChar w:fldCharType="end"/>
            </w:r>
          </w:hyperlink>
        </w:p>
        <w:p w14:paraId="31E26AE6" w14:textId="0A1CDF5A"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77" w:history="1">
            <w:r w:rsidRPr="00641865">
              <w:rPr>
                <w:rStyle w:val="Hipervnculo"/>
                <w:noProof/>
              </w:rPr>
              <w:t>3.3.3. Flujo de caja neto</w:t>
            </w:r>
            <w:r>
              <w:rPr>
                <w:noProof/>
                <w:webHidden/>
              </w:rPr>
              <w:tab/>
            </w:r>
            <w:r>
              <w:rPr>
                <w:noProof/>
                <w:webHidden/>
              </w:rPr>
              <w:fldChar w:fldCharType="begin"/>
            </w:r>
            <w:r>
              <w:rPr>
                <w:noProof/>
                <w:webHidden/>
              </w:rPr>
              <w:instrText xml:space="preserve"> PAGEREF _Toc231829977 \h </w:instrText>
            </w:r>
            <w:r>
              <w:rPr>
                <w:noProof/>
                <w:webHidden/>
              </w:rPr>
            </w:r>
            <w:r>
              <w:rPr>
                <w:noProof/>
                <w:webHidden/>
              </w:rPr>
              <w:fldChar w:fldCharType="separate"/>
            </w:r>
            <w:r>
              <w:rPr>
                <w:noProof/>
                <w:webHidden/>
              </w:rPr>
              <w:t>13</w:t>
            </w:r>
            <w:r>
              <w:rPr>
                <w:noProof/>
                <w:webHidden/>
              </w:rPr>
              <w:fldChar w:fldCharType="end"/>
            </w:r>
          </w:hyperlink>
        </w:p>
        <w:p w14:paraId="562BCB9A" w14:textId="79190FBF"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78" w:history="1">
            <w:r w:rsidRPr="00641865">
              <w:rPr>
                <w:rStyle w:val="Hipervnculo"/>
                <w:noProof/>
              </w:rPr>
              <w:t>3.3.4. VAN, TIR y Payback</w:t>
            </w:r>
            <w:r>
              <w:rPr>
                <w:noProof/>
                <w:webHidden/>
              </w:rPr>
              <w:tab/>
            </w:r>
            <w:r>
              <w:rPr>
                <w:noProof/>
                <w:webHidden/>
              </w:rPr>
              <w:fldChar w:fldCharType="begin"/>
            </w:r>
            <w:r>
              <w:rPr>
                <w:noProof/>
                <w:webHidden/>
              </w:rPr>
              <w:instrText xml:space="preserve"> PAGEREF _Toc231829978 \h </w:instrText>
            </w:r>
            <w:r>
              <w:rPr>
                <w:noProof/>
                <w:webHidden/>
              </w:rPr>
            </w:r>
            <w:r>
              <w:rPr>
                <w:noProof/>
                <w:webHidden/>
              </w:rPr>
              <w:fldChar w:fldCharType="separate"/>
            </w:r>
            <w:r>
              <w:rPr>
                <w:noProof/>
                <w:webHidden/>
              </w:rPr>
              <w:t>13</w:t>
            </w:r>
            <w:r>
              <w:rPr>
                <w:noProof/>
                <w:webHidden/>
              </w:rPr>
              <w:fldChar w:fldCharType="end"/>
            </w:r>
          </w:hyperlink>
        </w:p>
        <w:p w14:paraId="692EA8D0" w14:textId="6DF7CCE0"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79" w:history="1">
            <w:r w:rsidRPr="00641865">
              <w:rPr>
                <w:rStyle w:val="Hipervnculo"/>
                <w:noProof/>
              </w:rPr>
              <w:t>3.4. Selección y justificación de los modelos de IA</w:t>
            </w:r>
            <w:r>
              <w:rPr>
                <w:noProof/>
                <w:webHidden/>
              </w:rPr>
              <w:tab/>
            </w:r>
            <w:r>
              <w:rPr>
                <w:noProof/>
                <w:webHidden/>
              </w:rPr>
              <w:fldChar w:fldCharType="begin"/>
            </w:r>
            <w:r>
              <w:rPr>
                <w:noProof/>
                <w:webHidden/>
              </w:rPr>
              <w:instrText xml:space="preserve"> PAGEREF _Toc231829979 \h </w:instrText>
            </w:r>
            <w:r>
              <w:rPr>
                <w:noProof/>
                <w:webHidden/>
              </w:rPr>
            </w:r>
            <w:r>
              <w:rPr>
                <w:noProof/>
                <w:webHidden/>
              </w:rPr>
              <w:fldChar w:fldCharType="separate"/>
            </w:r>
            <w:r>
              <w:rPr>
                <w:noProof/>
                <w:webHidden/>
              </w:rPr>
              <w:t>14</w:t>
            </w:r>
            <w:r>
              <w:rPr>
                <w:noProof/>
                <w:webHidden/>
              </w:rPr>
              <w:fldChar w:fldCharType="end"/>
            </w:r>
          </w:hyperlink>
        </w:p>
        <w:p w14:paraId="3E0F138C" w14:textId="61B07915"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0" w:history="1">
            <w:r w:rsidRPr="00641865">
              <w:rPr>
                <w:rStyle w:val="Hipervnculo"/>
                <w:noProof/>
              </w:rPr>
              <w:t>3.5. Arquitectura del sistema</w:t>
            </w:r>
            <w:r>
              <w:rPr>
                <w:noProof/>
                <w:webHidden/>
              </w:rPr>
              <w:tab/>
            </w:r>
            <w:r>
              <w:rPr>
                <w:noProof/>
                <w:webHidden/>
              </w:rPr>
              <w:fldChar w:fldCharType="begin"/>
            </w:r>
            <w:r>
              <w:rPr>
                <w:noProof/>
                <w:webHidden/>
              </w:rPr>
              <w:instrText xml:space="preserve"> PAGEREF _Toc231829980 \h </w:instrText>
            </w:r>
            <w:r>
              <w:rPr>
                <w:noProof/>
                <w:webHidden/>
              </w:rPr>
            </w:r>
            <w:r>
              <w:rPr>
                <w:noProof/>
                <w:webHidden/>
              </w:rPr>
              <w:fldChar w:fldCharType="separate"/>
            </w:r>
            <w:r>
              <w:rPr>
                <w:noProof/>
                <w:webHidden/>
              </w:rPr>
              <w:t>16</w:t>
            </w:r>
            <w:r>
              <w:rPr>
                <w:noProof/>
                <w:webHidden/>
              </w:rPr>
              <w:fldChar w:fldCharType="end"/>
            </w:r>
          </w:hyperlink>
        </w:p>
        <w:p w14:paraId="636DAF7C" w14:textId="16B1AE7B" w:rsidR="007F0A6A" w:rsidRDefault="007F0A6A">
          <w:pPr>
            <w:pStyle w:val="TDC1"/>
            <w:rPr>
              <w:rFonts w:asciiTheme="minorHAnsi" w:eastAsiaTheme="minorEastAsia" w:hAnsiTheme="minorHAnsi" w:cstheme="minorBidi"/>
              <w:noProof/>
              <w:kern w:val="2"/>
              <w:lang w:eastAsia="es-ES_tradnl"/>
              <w14:ligatures w14:val="standardContextual"/>
            </w:rPr>
          </w:pPr>
          <w:hyperlink w:anchor="_Toc231829981" w:history="1">
            <w:r w:rsidRPr="00641865">
              <w:rPr>
                <w:rStyle w:val="Hipervnculo"/>
                <w:noProof/>
              </w:rPr>
              <w:t>4. DESARROLLO DEL SIMULADOR</w:t>
            </w:r>
            <w:r>
              <w:rPr>
                <w:noProof/>
                <w:webHidden/>
              </w:rPr>
              <w:tab/>
            </w:r>
            <w:r>
              <w:rPr>
                <w:noProof/>
                <w:webHidden/>
              </w:rPr>
              <w:fldChar w:fldCharType="begin"/>
            </w:r>
            <w:r>
              <w:rPr>
                <w:noProof/>
                <w:webHidden/>
              </w:rPr>
              <w:instrText xml:space="preserve"> PAGEREF _Toc231829981 \h </w:instrText>
            </w:r>
            <w:r>
              <w:rPr>
                <w:noProof/>
                <w:webHidden/>
              </w:rPr>
            </w:r>
            <w:r>
              <w:rPr>
                <w:noProof/>
                <w:webHidden/>
              </w:rPr>
              <w:fldChar w:fldCharType="separate"/>
            </w:r>
            <w:r>
              <w:rPr>
                <w:noProof/>
                <w:webHidden/>
              </w:rPr>
              <w:t>18</w:t>
            </w:r>
            <w:r>
              <w:rPr>
                <w:noProof/>
                <w:webHidden/>
              </w:rPr>
              <w:fldChar w:fldCharType="end"/>
            </w:r>
          </w:hyperlink>
        </w:p>
        <w:p w14:paraId="01F208C9" w14:textId="65ED087C"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2" w:history="1">
            <w:r w:rsidRPr="00641865">
              <w:rPr>
                <w:rStyle w:val="Hipervnculo"/>
                <w:noProof/>
              </w:rPr>
              <w:t>4.1. Modelos predictivos</w:t>
            </w:r>
            <w:r>
              <w:rPr>
                <w:noProof/>
                <w:webHidden/>
              </w:rPr>
              <w:tab/>
            </w:r>
            <w:r>
              <w:rPr>
                <w:noProof/>
                <w:webHidden/>
              </w:rPr>
              <w:fldChar w:fldCharType="begin"/>
            </w:r>
            <w:r>
              <w:rPr>
                <w:noProof/>
                <w:webHidden/>
              </w:rPr>
              <w:instrText xml:space="preserve"> PAGEREF _Toc231829982 \h </w:instrText>
            </w:r>
            <w:r>
              <w:rPr>
                <w:noProof/>
                <w:webHidden/>
              </w:rPr>
            </w:r>
            <w:r>
              <w:rPr>
                <w:noProof/>
                <w:webHidden/>
              </w:rPr>
              <w:fldChar w:fldCharType="separate"/>
            </w:r>
            <w:r>
              <w:rPr>
                <w:noProof/>
                <w:webHidden/>
              </w:rPr>
              <w:t>18</w:t>
            </w:r>
            <w:r>
              <w:rPr>
                <w:noProof/>
                <w:webHidden/>
              </w:rPr>
              <w:fldChar w:fldCharType="end"/>
            </w:r>
          </w:hyperlink>
        </w:p>
        <w:p w14:paraId="3D47A73D" w14:textId="2357B5EF"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83" w:history="1">
            <w:r w:rsidRPr="00641865">
              <w:rPr>
                <w:rStyle w:val="Hipervnculo"/>
                <w:noProof/>
              </w:rPr>
              <w:t>4.1.1. Predicción de ocupación (XGBoost)</w:t>
            </w:r>
            <w:r>
              <w:rPr>
                <w:noProof/>
                <w:webHidden/>
              </w:rPr>
              <w:tab/>
            </w:r>
            <w:r>
              <w:rPr>
                <w:noProof/>
                <w:webHidden/>
              </w:rPr>
              <w:fldChar w:fldCharType="begin"/>
            </w:r>
            <w:r>
              <w:rPr>
                <w:noProof/>
                <w:webHidden/>
              </w:rPr>
              <w:instrText xml:space="preserve"> PAGEREF _Toc231829983 \h </w:instrText>
            </w:r>
            <w:r>
              <w:rPr>
                <w:noProof/>
                <w:webHidden/>
              </w:rPr>
            </w:r>
            <w:r>
              <w:rPr>
                <w:noProof/>
                <w:webHidden/>
              </w:rPr>
              <w:fldChar w:fldCharType="separate"/>
            </w:r>
            <w:r>
              <w:rPr>
                <w:noProof/>
                <w:webHidden/>
              </w:rPr>
              <w:t>18</w:t>
            </w:r>
            <w:r>
              <w:rPr>
                <w:noProof/>
                <w:webHidden/>
              </w:rPr>
              <w:fldChar w:fldCharType="end"/>
            </w:r>
          </w:hyperlink>
        </w:p>
        <w:p w14:paraId="00E7AD0D" w14:textId="3CA2F791"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84" w:history="1">
            <w:r w:rsidRPr="00641865">
              <w:rPr>
                <w:rStyle w:val="Hipervnculo"/>
                <w:noProof/>
              </w:rPr>
              <w:t>4.1.2. Predicción de precio óptimo por noche (Random Forest)</w:t>
            </w:r>
            <w:r>
              <w:rPr>
                <w:noProof/>
                <w:webHidden/>
              </w:rPr>
              <w:tab/>
            </w:r>
            <w:r>
              <w:rPr>
                <w:noProof/>
                <w:webHidden/>
              </w:rPr>
              <w:fldChar w:fldCharType="begin"/>
            </w:r>
            <w:r>
              <w:rPr>
                <w:noProof/>
                <w:webHidden/>
              </w:rPr>
              <w:instrText xml:space="preserve"> PAGEREF _Toc231829984 \h </w:instrText>
            </w:r>
            <w:r>
              <w:rPr>
                <w:noProof/>
                <w:webHidden/>
              </w:rPr>
            </w:r>
            <w:r>
              <w:rPr>
                <w:noProof/>
                <w:webHidden/>
              </w:rPr>
              <w:fldChar w:fldCharType="separate"/>
            </w:r>
            <w:r>
              <w:rPr>
                <w:noProof/>
                <w:webHidden/>
              </w:rPr>
              <w:t>20</w:t>
            </w:r>
            <w:r>
              <w:rPr>
                <w:noProof/>
                <w:webHidden/>
              </w:rPr>
              <w:fldChar w:fldCharType="end"/>
            </w:r>
          </w:hyperlink>
        </w:p>
        <w:p w14:paraId="52E686B1" w14:textId="4AFAAF06" w:rsidR="007F0A6A" w:rsidRDefault="007F0A6A">
          <w:pPr>
            <w:pStyle w:val="TDC3"/>
            <w:rPr>
              <w:rFonts w:asciiTheme="minorHAnsi" w:eastAsiaTheme="minorEastAsia" w:hAnsiTheme="minorHAnsi" w:cstheme="minorBidi"/>
              <w:noProof/>
              <w:kern w:val="2"/>
              <w:lang w:eastAsia="es-ES_tradnl"/>
              <w14:ligatures w14:val="standardContextual"/>
            </w:rPr>
          </w:pPr>
          <w:hyperlink w:anchor="_Toc231829985" w:history="1">
            <w:r w:rsidRPr="00641865">
              <w:rPr>
                <w:rStyle w:val="Hipervnculo"/>
                <w:noProof/>
              </w:rPr>
              <w:t>4.1.3. Proyección de estacionalidad (Prophet)</w:t>
            </w:r>
            <w:r>
              <w:rPr>
                <w:noProof/>
                <w:webHidden/>
              </w:rPr>
              <w:tab/>
            </w:r>
            <w:r>
              <w:rPr>
                <w:noProof/>
                <w:webHidden/>
              </w:rPr>
              <w:fldChar w:fldCharType="begin"/>
            </w:r>
            <w:r>
              <w:rPr>
                <w:noProof/>
                <w:webHidden/>
              </w:rPr>
              <w:instrText xml:space="preserve"> PAGEREF _Toc231829985 \h </w:instrText>
            </w:r>
            <w:r>
              <w:rPr>
                <w:noProof/>
                <w:webHidden/>
              </w:rPr>
            </w:r>
            <w:r>
              <w:rPr>
                <w:noProof/>
                <w:webHidden/>
              </w:rPr>
              <w:fldChar w:fldCharType="separate"/>
            </w:r>
            <w:r>
              <w:rPr>
                <w:noProof/>
                <w:webHidden/>
              </w:rPr>
              <w:t>21</w:t>
            </w:r>
            <w:r>
              <w:rPr>
                <w:noProof/>
                <w:webHidden/>
              </w:rPr>
              <w:fldChar w:fldCharType="end"/>
            </w:r>
          </w:hyperlink>
        </w:p>
        <w:p w14:paraId="70CA0C44" w14:textId="7FCE933D"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6" w:history="1">
            <w:r w:rsidRPr="00641865">
              <w:rPr>
                <w:rStyle w:val="Hipervnculo"/>
                <w:noProof/>
              </w:rPr>
              <w:t>4.2. Motor de escenarios financieros</w:t>
            </w:r>
            <w:r>
              <w:rPr>
                <w:noProof/>
                <w:webHidden/>
              </w:rPr>
              <w:tab/>
            </w:r>
            <w:r>
              <w:rPr>
                <w:noProof/>
                <w:webHidden/>
              </w:rPr>
              <w:fldChar w:fldCharType="begin"/>
            </w:r>
            <w:r>
              <w:rPr>
                <w:noProof/>
                <w:webHidden/>
              </w:rPr>
              <w:instrText xml:space="preserve"> PAGEREF _Toc231829986 \h </w:instrText>
            </w:r>
            <w:r>
              <w:rPr>
                <w:noProof/>
                <w:webHidden/>
              </w:rPr>
            </w:r>
            <w:r>
              <w:rPr>
                <w:noProof/>
                <w:webHidden/>
              </w:rPr>
              <w:fldChar w:fldCharType="separate"/>
            </w:r>
            <w:r>
              <w:rPr>
                <w:noProof/>
                <w:webHidden/>
              </w:rPr>
              <w:t>22</w:t>
            </w:r>
            <w:r>
              <w:rPr>
                <w:noProof/>
                <w:webHidden/>
              </w:rPr>
              <w:fldChar w:fldCharType="end"/>
            </w:r>
          </w:hyperlink>
        </w:p>
        <w:p w14:paraId="12457B73" w14:textId="4480FD2B"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7" w:history="1">
            <w:r w:rsidRPr="00641865">
              <w:rPr>
                <w:rStyle w:val="Hipervnculo"/>
                <w:noProof/>
              </w:rPr>
              <w:t>4.3. Interfaz web interactiva con Streamlit</w:t>
            </w:r>
            <w:r>
              <w:rPr>
                <w:noProof/>
                <w:webHidden/>
              </w:rPr>
              <w:tab/>
            </w:r>
            <w:r>
              <w:rPr>
                <w:noProof/>
                <w:webHidden/>
              </w:rPr>
              <w:fldChar w:fldCharType="begin"/>
            </w:r>
            <w:r>
              <w:rPr>
                <w:noProof/>
                <w:webHidden/>
              </w:rPr>
              <w:instrText xml:space="preserve"> PAGEREF _Toc231829987 \h </w:instrText>
            </w:r>
            <w:r>
              <w:rPr>
                <w:noProof/>
                <w:webHidden/>
              </w:rPr>
            </w:r>
            <w:r>
              <w:rPr>
                <w:noProof/>
                <w:webHidden/>
              </w:rPr>
              <w:fldChar w:fldCharType="separate"/>
            </w:r>
            <w:r>
              <w:rPr>
                <w:noProof/>
                <w:webHidden/>
              </w:rPr>
              <w:t>23</w:t>
            </w:r>
            <w:r>
              <w:rPr>
                <w:noProof/>
                <w:webHidden/>
              </w:rPr>
              <w:fldChar w:fldCharType="end"/>
            </w:r>
          </w:hyperlink>
        </w:p>
        <w:p w14:paraId="0E9DB017" w14:textId="177D2B95"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8" w:history="1">
            <w:r w:rsidRPr="00641865">
              <w:rPr>
                <w:rStyle w:val="Hipervnculo"/>
                <w:noProof/>
              </w:rPr>
              <w:t>4.4. Interpretabilidad de los modelos (SHAP)</w:t>
            </w:r>
            <w:r>
              <w:rPr>
                <w:noProof/>
                <w:webHidden/>
              </w:rPr>
              <w:tab/>
            </w:r>
            <w:r>
              <w:rPr>
                <w:noProof/>
                <w:webHidden/>
              </w:rPr>
              <w:fldChar w:fldCharType="begin"/>
            </w:r>
            <w:r>
              <w:rPr>
                <w:noProof/>
                <w:webHidden/>
              </w:rPr>
              <w:instrText xml:space="preserve"> PAGEREF _Toc231829988 \h </w:instrText>
            </w:r>
            <w:r>
              <w:rPr>
                <w:noProof/>
                <w:webHidden/>
              </w:rPr>
            </w:r>
            <w:r>
              <w:rPr>
                <w:noProof/>
                <w:webHidden/>
              </w:rPr>
              <w:fldChar w:fldCharType="separate"/>
            </w:r>
            <w:r>
              <w:rPr>
                <w:noProof/>
                <w:webHidden/>
              </w:rPr>
              <w:t>25</w:t>
            </w:r>
            <w:r>
              <w:rPr>
                <w:noProof/>
                <w:webHidden/>
              </w:rPr>
              <w:fldChar w:fldCharType="end"/>
            </w:r>
          </w:hyperlink>
        </w:p>
        <w:p w14:paraId="52791681" w14:textId="1A65E90B" w:rsidR="007F0A6A" w:rsidRDefault="007F0A6A">
          <w:pPr>
            <w:pStyle w:val="TDC2"/>
            <w:rPr>
              <w:rFonts w:asciiTheme="minorHAnsi" w:eastAsiaTheme="minorEastAsia" w:hAnsiTheme="minorHAnsi" w:cstheme="minorBidi"/>
              <w:noProof/>
              <w:kern w:val="2"/>
              <w:lang w:eastAsia="es-ES_tradnl"/>
              <w14:ligatures w14:val="standardContextual"/>
            </w:rPr>
          </w:pPr>
          <w:hyperlink w:anchor="_Toc231829989" w:history="1">
            <w:r w:rsidRPr="00641865">
              <w:rPr>
                <w:rStyle w:val="Hipervnculo"/>
                <w:noProof/>
              </w:rPr>
              <w:t>4.5. Módulo de reportes mediante IA Generativa</w:t>
            </w:r>
            <w:r>
              <w:rPr>
                <w:noProof/>
                <w:webHidden/>
              </w:rPr>
              <w:tab/>
            </w:r>
            <w:r>
              <w:rPr>
                <w:noProof/>
                <w:webHidden/>
              </w:rPr>
              <w:fldChar w:fldCharType="begin"/>
            </w:r>
            <w:r>
              <w:rPr>
                <w:noProof/>
                <w:webHidden/>
              </w:rPr>
              <w:instrText xml:space="preserve"> PAGEREF _Toc231829989 \h </w:instrText>
            </w:r>
            <w:r>
              <w:rPr>
                <w:noProof/>
                <w:webHidden/>
              </w:rPr>
            </w:r>
            <w:r>
              <w:rPr>
                <w:noProof/>
                <w:webHidden/>
              </w:rPr>
              <w:fldChar w:fldCharType="separate"/>
            </w:r>
            <w:r>
              <w:rPr>
                <w:noProof/>
                <w:webHidden/>
              </w:rPr>
              <w:t>26</w:t>
            </w:r>
            <w:r>
              <w:rPr>
                <w:noProof/>
                <w:webHidden/>
              </w:rPr>
              <w:fldChar w:fldCharType="end"/>
            </w:r>
          </w:hyperlink>
        </w:p>
        <w:p w14:paraId="5AE7C0D3" w14:textId="0A613CE4" w:rsidR="00BE2154" w:rsidRDefault="00BE2154">
          <w:r>
            <w:rPr>
              <w:b/>
              <w:bCs/>
            </w:rPr>
            <w:fldChar w:fldCharType="end"/>
          </w:r>
        </w:p>
      </w:sdtContent>
    </w:sdt>
    <w:p w14:paraId="2011A426" w14:textId="77777777" w:rsidR="000E5AAF" w:rsidRPr="00FA021A" w:rsidRDefault="000E5AAF">
      <w:pPr>
        <w:spacing w:before="0" w:after="200"/>
        <w:ind w:firstLine="0"/>
        <w:jc w:val="left"/>
        <w:rPr>
          <w:b/>
        </w:rPr>
      </w:pPr>
    </w:p>
    <w:p w14:paraId="5FD30711" w14:textId="77777777" w:rsidR="000E5AAF" w:rsidRPr="00FA021A" w:rsidRDefault="009E4C88">
      <w:pPr>
        <w:spacing w:before="0" w:after="200"/>
        <w:ind w:firstLine="0"/>
        <w:jc w:val="center"/>
        <w:rPr>
          <w:i/>
        </w:rPr>
      </w:pPr>
      <w:r w:rsidRPr="00FA021A">
        <w:rPr>
          <w:b/>
        </w:rPr>
        <w:t xml:space="preserve">ÍNDICE DE FIGURAS </w:t>
      </w:r>
      <w:r w:rsidRPr="00FA021A">
        <w:rPr>
          <w:i/>
        </w:rPr>
        <w:t>(si las hay)</w:t>
      </w:r>
    </w:p>
    <w:p w14:paraId="3DC2F908" w14:textId="77777777" w:rsidR="000E5AAF" w:rsidRPr="00FA021A" w:rsidRDefault="000E5AAF">
      <w:pPr>
        <w:spacing w:before="0" w:after="200"/>
        <w:ind w:firstLine="0"/>
        <w:jc w:val="center"/>
        <w:rPr>
          <w:b/>
        </w:rPr>
      </w:pPr>
    </w:p>
    <w:p w14:paraId="7BD88A49" w14:textId="77777777" w:rsidR="000E5AAF" w:rsidRPr="00FA021A" w:rsidRDefault="009E4C88">
      <w:pPr>
        <w:spacing w:before="0" w:after="200"/>
        <w:ind w:firstLine="0"/>
        <w:jc w:val="center"/>
        <w:rPr>
          <w:b/>
        </w:rPr>
      </w:pPr>
      <w:r w:rsidRPr="00FA021A">
        <w:rPr>
          <w:b/>
        </w:rPr>
        <w:t xml:space="preserve">ÍNDICE DE TABLAS </w:t>
      </w:r>
      <w:r w:rsidRPr="00FA021A">
        <w:rPr>
          <w:i/>
        </w:rPr>
        <w:t>(si las hay)</w:t>
      </w:r>
    </w:p>
    <w:p w14:paraId="3D3DFF51" w14:textId="77777777" w:rsidR="000E5AAF" w:rsidRPr="00FA021A" w:rsidRDefault="000E5AAF">
      <w:pPr>
        <w:rPr>
          <w:rFonts w:ascii="Calibri" w:eastAsia="Calibri" w:hAnsi="Calibri" w:cs="Calibri"/>
          <w:b/>
          <w:sz w:val="28"/>
          <w:szCs w:val="28"/>
        </w:rPr>
        <w:sectPr w:rsidR="000E5AAF" w:rsidRPr="00FA021A" w:rsidSect="003D5781">
          <w:headerReference w:type="default" r:id="rId10"/>
          <w:footerReference w:type="default" r:id="rId11"/>
          <w:pgSz w:w="11906" w:h="16838"/>
          <w:pgMar w:top="1418" w:right="1701" w:bottom="1418" w:left="1701" w:header="709" w:footer="709" w:gutter="0"/>
          <w:pgNumType w:start="1"/>
          <w:cols w:space="720"/>
        </w:sectPr>
      </w:pPr>
    </w:p>
    <w:p w14:paraId="6534D50A" w14:textId="02D04E78" w:rsidR="004F2D2C" w:rsidRDefault="004F2D2C" w:rsidP="003959D1">
      <w:pPr>
        <w:pStyle w:val="Ttulo1"/>
      </w:pPr>
      <w:bookmarkStart w:id="2" w:name="_Toc231829964"/>
      <w:r>
        <w:lastRenderedPageBreak/>
        <w:t>INTRODUCCIÓN</w:t>
      </w:r>
      <w:bookmarkEnd w:id="2"/>
    </w:p>
    <w:p w14:paraId="0B65DDF3" w14:textId="77777777" w:rsidR="004F2D2C" w:rsidRDefault="004F2D2C" w:rsidP="003959D1">
      <w:pPr>
        <w:rPr>
          <w:rFonts w:cs="Times New Roman"/>
        </w:rPr>
      </w:pPr>
      <w:r>
        <w:t>El presente Trabajo Fin de Máster tiene por objeto el diseño y desarrollo de un simulador interactivo de decisiones de inversión en viviendas de uso turístico (VUT). Este simulador integra técnicas de inteligencia artificial, modelos de predicción y análisis económico-financiero con el fin de ofrecer una herramienta de soporte a la decisión aplicable en contextos empresariales e inversores reales.</w:t>
      </w:r>
    </w:p>
    <w:p w14:paraId="5E00682D" w14:textId="77777777" w:rsidR="004F2D2C" w:rsidRDefault="004F2D2C" w:rsidP="003959D1">
      <w:r>
        <w:t xml:space="preserve">El alquiler turístico de corta duración ha experimentado en España una expansión sin precedentes durante la última década, impulsado principalmente por plataformas digitales como Airbnb, Booking.com o </w:t>
      </w:r>
      <w:proofErr w:type="spellStart"/>
      <w:r>
        <w:t>Vrbo</w:t>
      </w:r>
      <w:proofErr w:type="spellEnd"/>
      <w:r>
        <w:t>. Este fenómeno ha generado oportunidades de inversión significativas, pero también ha incrementado la complejidad del análisis de viabilidad de estos activos, dada la elevada variabilidad de los ingresos, la evolución de la regulación municipal y la heterogeneidad del mercado en función de la localización geográfica.</w:t>
      </w:r>
    </w:p>
    <w:p w14:paraId="0E3A9356" w14:textId="4706D385" w:rsidR="004F2D2C" w:rsidRDefault="004F2D2C" w:rsidP="003959D1">
      <w:r>
        <w:t>En este contexto, la toma de decisiones de inversión en viviendas de uso turístico requiere la integración de múltiples variables: precio de adquisición del inmueble, tasa de ocupación esperada, precio óptimo por noche, costes operativos, estructura de financiación, marco fiscal aplicable y riesgo regulatorio, entre otras. La dificultad de gestionar simultáneamente todas estas dimensiones justifica el desarrollo de una herramienta sistemática, rigurosa y accesible que permita evaluar la rentabilidad potencial de una inversión bajo diferentes escenarios.</w:t>
      </w:r>
    </w:p>
    <w:p w14:paraId="11CA08DB" w14:textId="77777777" w:rsidR="004F2D2C" w:rsidRDefault="004F2D2C" w:rsidP="003959D1"/>
    <w:p w14:paraId="7832F938" w14:textId="77777777" w:rsidR="004F2D2C" w:rsidRDefault="004F2D2C" w:rsidP="003959D1">
      <w:pPr>
        <w:pStyle w:val="Ttulo2"/>
        <w:numPr>
          <w:ilvl w:val="0"/>
          <w:numId w:val="0"/>
        </w:numPr>
        <w:ind w:left="578" w:hanging="578"/>
      </w:pPr>
      <w:bookmarkStart w:id="3" w:name="_Toc231829965"/>
      <w:r>
        <w:t>1.1. Motivación y contexto</w:t>
      </w:r>
      <w:bookmarkEnd w:id="3"/>
    </w:p>
    <w:p w14:paraId="568FD546" w14:textId="77777777" w:rsidR="004F2D2C" w:rsidRDefault="004F2D2C" w:rsidP="003959D1">
      <w:r>
        <w:t>La motivación principal de este trabajo surge de la confluencia de dos realidades que definen el panorama económico actual en España. Por un lado, el mercado inmobiliario atraviesa una fase de alta demanda de activos destinados al alquiler de corta duración, especialmente en ciudades turísticas como Madrid y Barcelona. Por otro, la inteligencia artificial y el aprendizaje automático han alcanzado un nivel de madurez tecnológica que permite su aplicación práctica en la predicción de variables de mercado, la simulación de escenarios y la generación automatizada de informes financieros.</w:t>
      </w:r>
    </w:p>
    <w:p w14:paraId="66F5C8E7" w14:textId="77777777" w:rsidR="004F2D2C" w:rsidRDefault="004F2D2C" w:rsidP="003959D1">
      <w:r>
        <w:lastRenderedPageBreak/>
        <w:t>Según datos del Instituto Nacional de Estadística, el número de viviendas turísticas en España ha experimentado un crecimiento sostenido durante la última década, concentrándose especialmente en grandes núcleos urbanos y destinos costeros. Madrid y Barcelona, en particular, presentan mercados de alquiler turístico con alta densidad, intensa presión regulatoria y una variabilidad de precios y ocupación que hace imprescindible disponer de herramientas analíticas avanzadas para evaluar correctamente la rentabilidad de una inversión.</w:t>
      </w:r>
    </w:p>
    <w:p w14:paraId="7E292406" w14:textId="77777777" w:rsidR="004F2D2C" w:rsidRDefault="004F2D2C" w:rsidP="003959D1">
      <w:r>
        <w:t xml:space="preserve">Desde una perspectiva académica y profesional, la literatura sobre inversión inmobiliaria ha avanzado notablemente en la incorporación de modelos predictivos basados en machine </w:t>
      </w:r>
      <w:proofErr w:type="spellStart"/>
      <w:r>
        <w:t>learning</w:t>
      </w:r>
      <w:proofErr w:type="spellEnd"/>
      <w:r>
        <w:t xml:space="preserve"> (Choy &amp; Ho, 2023; Wang et al., 2019). Sin embargo, persiste una brecha significativa entre los desarrollos teóricos y la disponibilidad de herramientas prácticas, interactivas y accesibles para inversores, gestores y analistas financieros. Este trabajo pretende contribuir a reducir dicha brecha mediante el desarrollo de un simulador funcional, metodológicamente riguroso y técnicamente documentado.</w:t>
      </w:r>
    </w:p>
    <w:p w14:paraId="0B57FFC8" w14:textId="77777777" w:rsidR="004F2D2C" w:rsidRDefault="004F2D2C" w:rsidP="003959D1">
      <w:r>
        <w:t>La elección de Madrid y Barcelona como ámbito geográfico de estudio responde a su posición de liderazgo en el mercado de viviendas de uso turístico a nivel nacional, a la disponibilidad de datos públicos y a la existencia de marcos regulatorios diferenciados que enriquecen el análisis comparativo. Ambas ciudades presentan características de mercado suficientemente distintas como para permitir una evaluación de la robustez del simulador ante entornos con diferentes niveles de competencia, ocupación media y regulación local.</w:t>
      </w:r>
    </w:p>
    <w:p w14:paraId="49FC4A09" w14:textId="0B66CF71" w:rsidR="004F2D2C" w:rsidRDefault="004F2D2C" w:rsidP="003959D1"/>
    <w:p w14:paraId="6EB125D1" w14:textId="77777777" w:rsidR="004F2D2C" w:rsidRDefault="004F2D2C" w:rsidP="003959D1">
      <w:pPr>
        <w:pStyle w:val="Ttulo2"/>
        <w:numPr>
          <w:ilvl w:val="0"/>
          <w:numId w:val="0"/>
        </w:numPr>
        <w:ind w:left="578" w:hanging="578"/>
      </w:pPr>
      <w:bookmarkStart w:id="4" w:name="_Toc231829966"/>
      <w:r>
        <w:t>1.2. Justificación del trabajo</w:t>
      </w:r>
      <w:bookmarkEnd w:id="4"/>
    </w:p>
    <w:p w14:paraId="1D04A802" w14:textId="77777777" w:rsidR="004F2D2C" w:rsidRDefault="004F2D2C" w:rsidP="003959D1">
      <w:r>
        <w:t>La justificación de este trabajo se articula en tres planos complementarios: el plano económico y sectorial, el plano metodológico y el plano tecnológico.</w:t>
      </w:r>
    </w:p>
    <w:p w14:paraId="56AE098D" w14:textId="77777777" w:rsidR="004F2D2C" w:rsidRDefault="004F2D2C" w:rsidP="003959D1">
      <w:r>
        <w:t xml:space="preserve">Desde el plano económico y sectorial, el alquiler turístico de corta duración se ha consolidado como una modalidad de inversión inmobiliaria con rentabilidades potencialmente superiores al alquiler residencial tradicional (Segú, 2020). No obstante, esta mayor rentabilidad va acompañada de una mayor complejidad en la estimación de </w:t>
      </w:r>
      <w:r>
        <w:lastRenderedPageBreak/>
        <w:t>los ingresos y en la gestión del riesgo, derivada de la estacionalidad de la demanda, la dinámica competitiva de las plataformas digitales y la creciente intervención regulatoria de las administraciones locales (</w:t>
      </w:r>
      <w:proofErr w:type="spellStart"/>
      <w:r>
        <w:t>Yrigoy</w:t>
      </w:r>
      <w:proofErr w:type="spellEnd"/>
      <w:r>
        <w:t>, 2019). Esta complejidad hace necesario disponer de un instrumento de análisis que vaya más allá de las hojas de cálculo convencionales y que incorpore capacidades predictivas y de simulación avanzadas.</w:t>
      </w:r>
    </w:p>
    <w:p w14:paraId="6DB1423B" w14:textId="77777777" w:rsidR="004F2D2C" w:rsidRDefault="004F2D2C" w:rsidP="003959D1">
      <w:r>
        <w:t xml:space="preserve">Desde el plano metodológico, los modelos de valoración de activos inmobiliarios han evolucionado significativamente gracias a la incorporación de técnicas de machine </w:t>
      </w:r>
      <w:proofErr w:type="spellStart"/>
      <w:r>
        <w:t>learning</w:t>
      </w:r>
      <w:proofErr w:type="spellEnd"/>
      <w:r>
        <w:t xml:space="preserve">, que han demostrado una capacidad predictiva superior a los modelos econométricos tradicionales en contextos de elevada complejidad y no linealidad (Choy &amp; Ho, 2023). La aplicación de algoritmos como </w:t>
      </w:r>
      <w:proofErr w:type="spellStart"/>
      <w:r>
        <w:t>Random</w:t>
      </w:r>
      <w:proofErr w:type="spellEnd"/>
      <w:r>
        <w:t xml:space="preserve"> Forest, </w:t>
      </w:r>
      <w:proofErr w:type="spellStart"/>
      <w:r>
        <w:t>XGBoost</w:t>
      </w:r>
      <w:proofErr w:type="spellEnd"/>
      <w:r>
        <w:t xml:space="preserve"> o </w:t>
      </w:r>
      <w:proofErr w:type="spellStart"/>
      <w:r>
        <w:t>Prophet</w:t>
      </w:r>
      <w:proofErr w:type="spellEnd"/>
      <w:r>
        <w:t xml:space="preserve"> al análisis de viviendas de uso turístico permite modelar con mayor precisión variables clave como la ocupación esperada, el precio óptimo por noche o la estacionalidad de la demanda (Gibbs et al., 2018; Pérez-Sánchez et al., 2018).</w:t>
      </w:r>
    </w:p>
    <w:p w14:paraId="4446D3BC" w14:textId="77777777" w:rsidR="004F2D2C" w:rsidRDefault="004F2D2C" w:rsidP="003959D1">
      <w:r>
        <w:t xml:space="preserve">Desde el plano tecnológico, el estado actual del desarrollo de herramientas de inteligencia artificial —incluyendo la IA generativa— abre la posibilidad de crear simuladores interactivos que no solo calculen indicadores financieros, sino que también interpreten los resultados en lenguaje natural, generen informes automáticos y asistan al usuario en la comprensión de los factores de riesgo. La integración de estas capacidades en una interfaz web accesible, desarrollada con </w:t>
      </w:r>
      <w:proofErr w:type="spellStart"/>
      <w:r>
        <w:t>frameworks</w:t>
      </w:r>
      <w:proofErr w:type="spellEnd"/>
      <w:r>
        <w:t xml:space="preserve"> como </w:t>
      </w:r>
      <w:proofErr w:type="spellStart"/>
      <w:r>
        <w:t>Streamlit</w:t>
      </w:r>
      <w:proofErr w:type="spellEnd"/>
      <w:r>
        <w:t>, constituye una aportación relevante tanto desde el punto de vista académico como profesional.</w:t>
      </w:r>
    </w:p>
    <w:p w14:paraId="6187F1A9" w14:textId="145FCCA9" w:rsidR="004F2D2C" w:rsidRDefault="004F2D2C" w:rsidP="003959D1">
      <w:r>
        <w:t>En consecuencia, este trabajo se justifica por la existencia de una necesidad real no cubierta suficientemente por las herramientas existentes: la de disponer de un simulador de decisiones de inversión en VUT que combine rigor financiero, capacidades predictivas basadas en inteligencia artificial e interpretabilidad de resultados, en un entorno interactivo y accesible para usuarios con diferentes perfiles de conocimiento técnico.</w:t>
      </w:r>
    </w:p>
    <w:p w14:paraId="0B4AE474" w14:textId="77777777" w:rsidR="00C932F5" w:rsidRDefault="00C932F5" w:rsidP="003959D1"/>
    <w:p w14:paraId="374EDB5A" w14:textId="77777777" w:rsidR="004F2D2C" w:rsidRDefault="004F2D2C" w:rsidP="003959D1">
      <w:pPr>
        <w:pStyle w:val="Ttulo2"/>
        <w:numPr>
          <w:ilvl w:val="0"/>
          <w:numId w:val="0"/>
        </w:numPr>
        <w:ind w:left="578" w:hanging="578"/>
      </w:pPr>
      <w:bookmarkStart w:id="5" w:name="_Toc231829967"/>
      <w:r>
        <w:lastRenderedPageBreak/>
        <w:t>1.3. Objetivos del trabajo</w:t>
      </w:r>
      <w:bookmarkEnd w:id="5"/>
    </w:p>
    <w:p w14:paraId="6741E84E" w14:textId="77777777" w:rsidR="004F2D2C" w:rsidRDefault="004F2D2C" w:rsidP="003959D1">
      <w:pPr>
        <w:pStyle w:val="Ttulo3"/>
        <w:numPr>
          <w:ilvl w:val="0"/>
          <w:numId w:val="0"/>
        </w:numPr>
      </w:pPr>
      <w:bookmarkStart w:id="6" w:name="_Toc231829968"/>
      <w:r>
        <w:t>1.3.1. Objetivo general</w:t>
      </w:r>
      <w:bookmarkEnd w:id="6"/>
    </w:p>
    <w:p w14:paraId="6679E5A7" w14:textId="77777777" w:rsidR="004F2D2C" w:rsidRDefault="004F2D2C" w:rsidP="003959D1">
      <w:r>
        <w:t>El objetivo general del presente trabajo es diseñar y desarrollar un simulador interactivo de decisiones de inversión en viviendas de uso turístico que integre modelos predictivos basados en inteligencia artificial, indicadores económico-financieros y análisis de escenarios, con el fin de facilitar la evaluación de la viabilidad y rentabilidad de este tipo de inversiones en el mercado español, con especial referencia a los mercados de Madrid y Barcelona.</w:t>
      </w:r>
    </w:p>
    <w:p w14:paraId="6D6C3864" w14:textId="77777777" w:rsidR="004F2D2C" w:rsidRDefault="004F2D2C" w:rsidP="003959D1">
      <w:pPr>
        <w:pStyle w:val="Ttulo3"/>
        <w:numPr>
          <w:ilvl w:val="0"/>
          <w:numId w:val="0"/>
        </w:numPr>
      </w:pPr>
      <w:bookmarkStart w:id="7" w:name="_Toc231829969"/>
      <w:r>
        <w:t>1.3.2. Objetivos específicos</w:t>
      </w:r>
      <w:bookmarkEnd w:id="7"/>
    </w:p>
    <w:p w14:paraId="6BBC56C7" w14:textId="77777777" w:rsidR="004F2D2C" w:rsidRDefault="004F2D2C" w:rsidP="003959D1">
      <w:r>
        <w:t>Para la consecución del objetivo general, se plantean los siguientes objetivos específicos:</w:t>
      </w:r>
    </w:p>
    <w:p w14:paraId="3359F346" w14:textId="77777777" w:rsidR="004F2D2C" w:rsidRDefault="004F2D2C" w:rsidP="003959D1">
      <w:r>
        <w:t>Revisar el estado del arte en materia de viviendas de uso turístico, regulación aplicable, modelos de predicción de precios y ocupación, e inteligencia artificial aplicada a la inversión inmobiliaria.</w:t>
      </w:r>
    </w:p>
    <w:p w14:paraId="1CD69C53" w14:textId="77777777" w:rsidR="004F2D2C" w:rsidRDefault="004F2D2C" w:rsidP="003959D1">
      <w:r>
        <w:t>Identificar y definir las variables económico-financieras, operativas y de riesgo que determinan la rentabilidad de una vivienda de uso turístico, estableciendo un modelo de cálculo coherente y replicable.</w:t>
      </w:r>
    </w:p>
    <w:p w14:paraId="7037D219" w14:textId="77777777" w:rsidR="004F2D2C" w:rsidRDefault="004F2D2C" w:rsidP="003959D1">
      <w:r>
        <w:t>Seleccionar, entrenar y evaluar modelos de inteligencia artificial para la predicción de la tasa de ocupación, el precio óptimo por noche y la estacionalidad de la demanda en las ciudades de Madrid y Barcelona.</w:t>
      </w:r>
    </w:p>
    <w:p w14:paraId="288400E5" w14:textId="77777777" w:rsidR="004F2D2C" w:rsidRDefault="004F2D2C" w:rsidP="003959D1">
      <w:r>
        <w:t>Diseñar e implementar un motor de escenarios financieros —optimista, neutro y pesimista— que permita evaluar la sensibilidad de los indicadores de rentabilidad ante variaciones en las principales variables del modelo.</w:t>
      </w:r>
    </w:p>
    <w:p w14:paraId="6B2315C0" w14:textId="77777777" w:rsidR="004F2D2C" w:rsidRDefault="004F2D2C" w:rsidP="003959D1">
      <w:r>
        <w:t>Desarrollar una interfaz web interactiva que integre los modelos predictivos, el motor financiero y un módulo de generación de informes automatizados mediante inteligencia artificial generativa, facilitando su uso por parte de inversores, gestores y analistas.</w:t>
      </w:r>
    </w:p>
    <w:p w14:paraId="3C06484F" w14:textId="77777777" w:rsidR="004F2D2C" w:rsidRDefault="004F2D2C" w:rsidP="003959D1">
      <w:r>
        <w:lastRenderedPageBreak/>
        <w:t>Validar el funcionamiento del simulador mediante casos de uso representativos de los mercados de Madrid y Barcelona, analizando la comparativa de viabilidad entre ambas ciudades y contrastando los resultados con referencias del mercado.</w:t>
      </w:r>
    </w:p>
    <w:p w14:paraId="5810C535" w14:textId="64E50861" w:rsidR="004F2D2C" w:rsidRDefault="004F2D2C" w:rsidP="003959D1">
      <w:pPr>
        <w:ind w:firstLine="0"/>
      </w:pPr>
    </w:p>
    <w:p w14:paraId="166A592C" w14:textId="77777777" w:rsidR="004F2D2C" w:rsidRPr="004F2D2C" w:rsidRDefault="004F2D2C" w:rsidP="003959D1">
      <w:pPr>
        <w:pStyle w:val="Ttulo2"/>
        <w:numPr>
          <w:ilvl w:val="0"/>
          <w:numId w:val="0"/>
        </w:numPr>
        <w:ind w:left="578" w:hanging="578"/>
      </w:pPr>
      <w:bookmarkStart w:id="8" w:name="_Toc231829970"/>
      <w:r w:rsidRPr="004F2D2C">
        <w:t>1.4. Estructura del documento</w:t>
      </w:r>
      <w:bookmarkEnd w:id="8"/>
    </w:p>
    <w:p w14:paraId="08EBBB70" w14:textId="7B54CAD1" w:rsidR="004F2D2C" w:rsidRDefault="004F2D2C" w:rsidP="003959D1">
      <w:r>
        <w:t>Con el fin de facilitar la lectura y comprensión del presente trabajo, a continuación, se describe brevemente el contenido de cada uno de los capítulos que lo integran.</w:t>
      </w:r>
    </w:p>
    <w:p w14:paraId="568271FB" w14:textId="77777777" w:rsidR="004F2D2C" w:rsidRDefault="004F2D2C" w:rsidP="003959D1">
      <w:r>
        <w:t>El Capítulo 2 recoge el Marco Teórico. En él se analiza el mercado de viviendas de uso turístico en España, con especial atención a la regulación normativa vigente y su evolución reciente. Asimismo, se revisa la literatura académica sobre la aplicación de la inteligencia artificial a la inversión inmobiliaria, los modelos de predicción de precios y ocupación, y los fundamentos del análisis de rentabilidad y riesgo en el alquiler turístico.</w:t>
      </w:r>
    </w:p>
    <w:p w14:paraId="655B9029" w14:textId="77777777" w:rsidR="004F2D2C" w:rsidRDefault="004F2D2C" w:rsidP="003959D1">
      <w:r>
        <w:t xml:space="preserve">El Capítulo 3 describe la Metodología del trabajo. Se detallan las fuentes de datos utilizadas, el proceso de obtención y limpieza de la información, la definición de las variables e indicadores económico-financieros del modelo —incluyendo los indicadores VAN, TIR y </w:t>
      </w:r>
      <w:proofErr w:type="spellStart"/>
      <w:r>
        <w:t>payback</w:t>
      </w:r>
      <w:proofErr w:type="spellEnd"/>
      <w:r>
        <w:t>—, la selección y justificación de los modelos de inteligencia artificial empleados y la arquitectura general del sistema.</w:t>
      </w:r>
    </w:p>
    <w:p w14:paraId="04B656E8" w14:textId="77777777" w:rsidR="004F2D2C" w:rsidRDefault="004F2D2C" w:rsidP="003959D1">
      <w:r>
        <w:t xml:space="preserve">El Capítulo 4 aborda el Desarrollo del Simulador. Se describen los modelos predictivos implementados —predicción de ocupación mediante </w:t>
      </w:r>
      <w:proofErr w:type="spellStart"/>
      <w:r>
        <w:t>XGBoost</w:t>
      </w:r>
      <w:proofErr w:type="spellEnd"/>
      <w:r>
        <w:t xml:space="preserve">, estimación de precio óptimo por noche mediante </w:t>
      </w:r>
      <w:proofErr w:type="spellStart"/>
      <w:r>
        <w:t>Random</w:t>
      </w:r>
      <w:proofErr w:type="spellEnd"/>
      <w:r>
        <w:t xml:space="preserve"> Forest y proyección de estacionalidad mediante </w:t>
      </w:r>
      <w:proofErr w:type="spellStart"/>
      <w:r>
        <w:t>Prophet</w:t>
      </w:r>
      <w:proofErr w:type="spellEnd"/>
      <w:r>
        <w:t xml:space="preserve">—, el motor de escenarios financieros, la interfaz web interactiva desarrollada con </w:t>
      </w:r>
      <w:proofErr w:type="spellStart"/>
      <w:r>
        <w:t>Streamlit</w:t>
      </w:r>
      <w:proofErr w:type="spellEnd"/>
      <w:r>
        <w:t>, el análisis de interpretabilidad mediante SHAP y el módulo de generación de informes automatizados mediante IA generativa.</w:t>
      </w:r>
    </w:p>
    <w:p w14:paraId="6230A5DF" w14:textId="77777777" w:rsidR="004F2D2C" w:rsidRDefault="004F2D2C" w:rsidP="003959D1">
      <w:r>
        <w:t xml:space="preserve">El Capítulo 5 presenta los Resultados y la Discusión. Se evalúa el rendimiento de los modelos de machine </w:t>
      </w:r>
      <w:proofErr w:type="spellStart"/>
      <w:r>
        <w:t>learning</w:t>
      </w:r>
      <w:proofErr w:type="spellEnd"/>
      <w:r>
        <w:t>, se analizan casos de uso representativos del simulador, se realiza un análisis de sensibilidad de los indicadores financieros y se lleva a cabo una comparativa de viabilidad entre los mercados de Madrid y Barcelona.</w:t>
      </w:r>
    </w:p>
    <w:p w14:paraId="7F584090" w14:textId="77777777" w:rsidR="004F2D2C" w:rsidRDefault="004F2D2C" w:rsidP="003959D1">
      <w:r>
        <w:lastRenderedPageBreak/>
        <w:t>El Capítulo 6 recoge las Conclusiones del trabajo, incluyendo las principales aportaciones, las limitaciones identificadas y las líneas de investigación futura que se desprenden de los resultados obtenidos.</w:t>
      </w:r>
    </w:p>
    <w:p w14:paraId="77B1CB5F" w14:textId="7A5FDDB4" w:rsidR="006B4DDF" w:rsidRDefault="004F2D2C" w:rsidP="003959D1">
      <w:r>
        <w:t>El documento concluye con las Referencias bibliográficas y los Anexos, que incluyen el código fuente del simulador, las fuentes de datos y licencias utilizadas, y el detalle del uso de inteligencia artificial generativa en la elaboración del trabajo.</w:t>
      </w:r>
    </w:p>
    <w:p w14:paraId="4AC9454A" w14:textId="77777777" w:rsidR="006B4DDF" w:rsidRDefault="006B4DDF" w:rsidP="003959D1">
      <w:r>
        <w:br w:type="page"/>
      </w:r>
    </w:p>
    <w:p w14:paraId="5E7FC508" w14:textId="77777777" w:rsidR="006B4DDF" w:rsidRPr="006B4DDF" w:rsidRDefault="006B4DDF" w:rsidP="003959D1">
      <w:pPr>
        <w:pStyle w:val="Ttulo1"/>
        <w:numPr>
          <w:ilvl w:val="0"/>
          <w:numId w:val="0"/>
        </w:numPr>
        <w:ind w:left="431" w:hanging="431"/>
      </w:pPr>
      <w:bookmarkStart w:id="9" w:name="_Toc231829971"/>
      <w:r w:rsidRPr="006B4DDF">
        <w:lastRenderedPageBreak/>
        <w:t>3. METODOLOGÍA</w:t>
      </w:r>
      <w:bookmarkEnd w:id="9"/>
    </w:p>
    <w:p w14:paraId="66B69EA4" w14:textId="77777777" w:rsidR="006B4DDF" w:rsidRPr="006B4DDF" w:rsidRDefault="006B4DDF" w:rsidP="003959D1">
      <w:r w:rsidRPr="006B4DDF">
        <w:t>El presente capítulo describe el proceso metodológico seguido para el diseño y desarrollo del simulador interactivo de decisiones de inversión en viviendas de uso turístico. La metodología adoptada es de carácter aplicado y combina la explotación de fuentes de datos públicas y gratuitas, el diseño de un modelo económico-financiero estructurado, la selección y entrenamiento de modelos de inteligencia artificial y el desarrollo de una interfaz interactiva orientada al soporte a la decisión.</w:t>
      </w:r>
    </w:p>
    <w:p w14:paraId="657A6186" w14:textId="52D176BD" w:rsidR="006B4DDF" w:rsidRDefault="006B4DDF" w:rsidP="003959D1">
      <w:r w:rsidRPr="006B4DDF">
        <w:t>El enfoque metodológico responde directamente a los objetivos específicos formulados en el Capítulo 1 y se articula en cinco fases secuenciales: obtención y preparación de los datos, definición de variables e indicadores, selección y justificación de los modelos de IA, diseño del motor financiero de escenarios y definición de la arquitectura general del sistema. Todo el desarrollo se ha realizado íntegramente con herramientas de código abierto y sin coste de infraestructura, con el fin de garantizar la replicabilidad del trabajo y su transferibilidad a otros contextos de análisis.</w:t>
      </w:r>
    </w:p>
    <w:p w14:paraId="4DD9B803" w14:textId="77777777" w:rsidR="006B4DDF" w:rsidRPr="006B4DDF" w:rsidRDefault="006B4DDF" w:rsidP="003959D1"/>
    <w:p w14:paraId="22FC4AC4" w14:textId="77777777" w:rsidR="006B4DDF" w:rsidRPr="006B4DDF" w:rsidRDefault="006B4DDF" w:rsidP="003959D1">
      <w:pPr>
        <w:pStyle w:val="Ttulo2"/>
        <w:numPr>
          <w:ilvl w:val="0"/>
          <w:numId w:val="0"/>
        </w:numPr>
      </w:pPr>
      <w:bookmarkStart w:id="10" w:name="_Toc231829972"/>
      <w:r w:rsidRPr="006B4DDF">
        <w:t>3.1. Fuentes de datos utilizadas y delimitación geográfica</w:t>
      </w:r>
      <w:bookmarkEnd w:id="10"/>
    </w:p>
    <w:p w14:paraId="43CD090F" w14:textId="77777777" w:rsidR="006B4DDF" w:rsidRPr="006B4DDF" w:rsidRDefault="006B4DDF" w:rsidP="003959D1">
      <w:r w:rsidRPr="006B4DDF">
        <w:t>El ámbito geográfico del presente trabajo queda delimitado a las ciudades de Madrid y Barcelona. Estas dos ciudades constituyen los mercados de viviendas de uso turístico de mayor dimensión y dinamismo en España, y presentan características diferenciadas en términos de oferta, precio medio por noche, tasa de ocupación y marco regulatorio local, lo que permite enriquecer el análisis comparativo y evaluar la robustez del simulador ante entornos con distintos niveles de competencia, densidad de oferta y restricción normativa.</w:t>
      </w:r>
    </w:p>
    <w:p w14:paraId="2BE165B5" w14:textId="77777777" w:rsidR="006B4DDF" w:rsidRPr="006B4DDF" w:rsidRDefault="006B4DDF" w:rsidP="003959D1">
      <w:r w:rsidRPr="006B4DDF">
        <w:t>La delimitación a dos ciudades responde también a criterios de viabilidad del proyecto en el plazo de ejecución disponible. El mayor volumen de datos y la mayor profundidad analítica obtenida con dos mercados bien caracterizados resulta preferible a una cobertura geográfica más amplia pero menos rigurosa.</w:t>
      </w:r>
    </w:p>
    <w:p w14:paraId="0107A1C1" w14:textId="77777777" w:rsidR="006B4DDF" w:rsidRPr="006B4DDF" w:rsidRDefault="006B4DDF" w:rsidP="003959D1">
      <w:proofErr w:type="spellStart"/>
      <w:r w:rsidRPr="006B4DDF">
        <w:t>Inside</w:t>
      </w:r>
      <w:proofErr w:type="spellEnd"/>
      <w:r w:rsidRPr="006B4DDF">
        <w:t xml:space="preserve"> Airbnb constituye la fuente principal de datos para el entrenamiento y la validación de los modelos predictivos. Esta plataforma de acceso público publica </w:t>
      </w:r>
      <w:r w:rsidRPr="006B4DDF">
        <w:lastRenderedPageBreak/>
        <w:t>periódicamente conjuntos de datos detallados sobre los anuncios activos en las principales ciudades del mundo, incluyendo Madrid y Barcelona. Los archivos disponibles contienen información a nivel de anuncio individual sobre el tipo de propiedad, número de habitaciones y baños, capacidad máxima de huéspedes, localización por barrio y coordenadas geográficas, precio por noche, disponibilidad anual, número de reseñas y puntuación media. A partir de estas variables se derivan estimaciones de tasa de ocupación e ingreso mensual. Los datos son de carácter observacional y reflejan la oferta real activa en la plataforma en el momento de su extracción.</w:t>
      </w:r>
    </w:p>
    <w:p w14:paraId="1CD52A27" w14:textId="77777777" w:rsidR="006B4DDF" w:rsidRPr="006B4DDF" w:rsidRDefault="006B4DDF" w:rsidP="003959D1">
      <w:r w:rsidRPr="006B4DDF">
        <w:t>De forma complementaria, se utilizan las siguientes fuentes secundarias para enriquecer las variables del modelo y contextualizar el análisis:</w:t>
      </w:r>
    </w:p>
    <w:p w14:paraId="38BEE71F" w14:textId="77777777" w:rsidR="006B4DDF" w:rsidRPr="006B4DDF" w:rsidRDefault="006B4DDF" w:rsidP="003959D1">
      <w:r w:rsidRPr="006B4DDF">
        <w:t>Instituto Nacional de Estadística (INE). Proporciona datos de población, renta media por hogar y movimientos demográficos a escala municipal y de distrito, así como la Encuesta de Ocupación en Apartamentos Turísticos (EOAT), que aporta datos agregados sobre ocupación y precios medios en el sector del alquiler turístico a escala nacional y provincial.</w:t>
      </w:r>
    </w:p>
    <w:p w14:paraId="0EB56426" w14:textId="77777777" w:rsidR="006B4DDF" w:rsidRPr="006B4DDF" w:rsidRDefault="006B4DDF" w:rsidP="003959D1">
      <w:r w:rsidRPr="006B4DDF">
        <w:t>Catastro. Ofrece información sobre superficie construida, año de construcción y referencia catastral de los inmuebles, variables relevantes para caracterizar la calidad y antigüedad del parque de viviendas disponible en cada ciudad.</w:t>
      </w:r>
    </w:p>
    <w:p w14:paraId="5FCFB36F" w14:textId="77777777" w:rsidR="006B4DDF" w:rsidRPr="006B4DDF" w:rsidRDefault="006B4DDF" w:rsidP="003959D1">
      <w:proofErr w:type="spellStart"/>
      <w:r w:rsidRPr="006B4DDF">
        <w:t>OpenStreetMap</w:t>
      </w:r>
      <w:proofErr w:type="spellEnd"/>
      <w:r w:rsidRPr="006B4DDF">
        <w:t>. Permite incorporar variables de localización y entorno mediante la extracción de puntos de interés (</w:t>
      </w:r>
      <w:proofErr w:type="spellStart"/>
      <w:r w:rsidRPr="006B4DDF">
        <w:t>POIs</w:t>
      </w:r>
      <w:proofErr w:type="spellEnd"/>
      <w:r w:rsidRPr="006B4DDF">
        <w:t>), accesibilidad al transporte público, proximidad a servicios y densidad de equipamientos por zona. Estas variables tienen una influencia documentada en el precio y la demanda de alojamiento turístico (Pérez-Sánchez et al., 2018).</w:t>
      </w:r>
    </w:p>
    <w:p w14:paraId="3E239AEA" w14:textId="77777777" w:rsidR="006B4DDF" w:rsidRPr="006B4DDF" w:rsidRDefault="006B4DDF" w:rsidP="003959D1">
      <w:r w:rsidRPr="006B4DDF">
        <w:t>Banco de España. Aporta series históricas de tipos de interés hipotecarios e índices de precio de la vivienda, necesarios para calibrar los parámetros del módulo de financiación del simulador y para contextualizar macroeconómicamente el análisis de rentabilidad.</w:t>
      </w:r>
    </w:p>
    <w:p w14:paraId="76FAEAEE" w14:textId="77777777" w:rsidR="006B4DDF" w:rsidRPr="006B4DDF" w:rsidRDefault="006B4DDF" w:rsidP="003959D1">
      <w:r w:rsidRPr="006B4DDF">
        <w:t>Informe PwC-</w:t>
      </w:r>
      <w:proofErr w:type="spellStart"/>
      <w:r w:rsidRPr="006B4DDF">
        <w:t>Strategy</w:t>
      </w:r>
      <w:proofErr w:type="spellEnd"/>
      <w:r w:rsidRPr="006B4DDF">
        <w:t xml:space="preserve">&amp; sobre el impacto del alquiler de corta duración en España (2024). Proporciona referencias sobre la dinámica de los alojamientos de corta duración, </w:t>
      </w:r>
      <w:r w:rsidRPr="006B4DDF">
        <w:lastRenderedPageBreak/>
        <w:t>su relación con los precios de la vivienda y su caracterización en los mercados de Madrid y Barcelona, incluyendo estimaciones sobre el volumen de oferta y el perfil del inversor.</w:t>
      </w:r>
    </w:p>
    <w:p w14:paraId="1313AA32" w14:textId="77777777" w:rsidR="006B4DDF" w:rsidRPr="006B4DDF" w:rsidRDefault="006B4DDF" w:rsidP="003959D1">
      <w:r w:rsidRPr="006B4DDF">
        <w:t xml:space="preserve">Real Estate </w:t>
      </w:r>
      <w:proofErr w:type="spellStart"/>
      <w:r w:rsidRPr="006B4DDF">
        <w:t>Market</w:t>
      </w:r>
      <w:proofErr w:type="spellEnd"/>
      <w:r w:rsidRPr="006B4DDF">
        <w:t xml:space="preserve"> Outlook </w:t>
      </w:r>
      <w:proofErr w:type="spellStart"/>
      <w:r w:rsidRPr="006B4DDF">
        <w:t>Spain</w:t>
      </w:r>
      <w:proofErr w:type="spellEnd"/>
      <w:r w:rsidRPr="006B4DDF">
        <w:t xml:space="preserve"> 2025 (CBRE). Ofrece perspectivas actualizadas sobre la evolución del mercado inmobiliario español, las expectativas de rentabilidad en el segmento turístico y las tendencias de inversión previstas para el año en curso.</w:t>
      </w:r>
    </w:p>
    <w:p w14:paraId="7474EBB2" w14:textId="77777777" w:rsidR="006B4DDF" w:rsidRPr="006B4DDF" w:rsidRDefault="006B4DDF" w:rsidP="003959D1">
      <w:r w:rsidRPr="006B4DDF">
        <w:t>Informe Colliers 5 Claves Madrid vs Barcelona (2025). Aporta datos comparativos sobre ambos mercados en términos de oferta, demanda, rentabilidad y perspectivas de crecimiento, facilitando la calibración de los parámetros del motor de escenarios financieros.</w:t>
      </w:r>
    </w:p>
    <w:p w14:paraId="4482F9F5" w14:textId="77777777" w:rsidR="006B4DDF" w:rsidRPr="006B4DDF" w:rsidRDefault="006B4DDF" w:rsidP="003959D1">
      <w:r w:rsidRPr="006B4DDF">
        <w:t xml:space="preserve">Todas las fuentes utilizadas son de acceso público y su uso se realiza con fines exclusivamente académicos, respetando las condiciones de licencia establecidas por cada proveedor. Los datos procedentes de </w:t>
      </w:r>
      <w:proofErr w:type="spellStart"/>
      <w:r w:rsidRPr="006B4DDF">
        <w:t>Inside</w:t>
      </w:r>
      <w:proofErr w:type="spellEnd"/>
      <w:r w:rsidRPr="006B4DDF">
        <w:t xml:space="preserve"> Airbnb se obtienen en formato CSV. Las fuentes complementarias se utilizan en su modalidad de consulta y descarga de estadísticas agregadas, sin tratamiento automatizado adicional.</w:t>
      </w:r>
    </w:p>
    <w:p w14:paraId="6FBC143A" w14:textId="347523BB" w:rsidR="006B4DDF" w:rsidRPr="006B4DDF" w:rsidRDefault="006B4DDF" w:rsidP="003959D1">
      <w:pPr>
        <w:ind w:firstLine="0"/>
      </w:pPr>
    </w:p>
    <w:p w14:paraId="1D60E850" w14:textId="77777777" w:rsidR="006B4DDF" w:rsidRPr="006B4DDF" w:rsidRDefault="006B4DDF" w:rsidP="003959D1">
      <w:pPr>
        <w:pStyle w:val="Ttulo2"/>
        <w:numPr>
          <w:ilvl w:val="0"/>
          <w:numId w:val="0"/>
        </w:numPr>
        <w:ind w:left="578" w:hanging="578"/>
      </w:pPr>
      <w:bookmarkStart w:id="11" w:name="_Toc231829973"/>
      <w:r w:rsidRPr="006B4DDF">
        <w:t>3.2. Proceso de obtención y limpieza de datos</w:t>
      </w:r>
      <w:bookmarkEnd w:id="11"/>
    </w:p>
    <w:p w14:paraId="29BD067A" w14:textId="77777777" w:rsidR="006B4DDF" w:rsidRPr="006B4DDF" w:rsidRDefault="006B4DDF" w:rsidP="003959D1">
      <w:r w:rsidRPr="006B4DDF">
        <w:t xml:space="preserve">Los datos procedentes de </w:t>
      </w:r>
      <w:proofErr w:type="spellStart"/>
      <w:r w:rsidRPr="006B4DDF">
        <w:t>Inside</w:t>
      </w:r>
      <w:proofErr w:type="spellEnd"/>
      <w:r w:rsidRPr="006B4DDF">
        <w:t xml:space="preserve"> Airbnb constituyen el insumo principal del proceso de preparación. El tratamiento de estos datos se estructura en las siguientes etapas, implementadas en Python mediante las librerías pandas y </w:t>
      </w:r>
      <w:proofErr w:type="spellStart"/>
      <w:r w:rsidRPr="006B4DDF">
        <w:t>numpy</w:t>
      </w:r>
      <w:proofErr w:type="spellEnd"/>
      <w:r w:rsidRPr="006B4DDF">
        <w:t>.</w:t>
      </w:r>
    </w:p>
    <w:p w14:paraId="53AE3FC0" w14:textId="77777777" w:rsidR="006B4DDF" w:rsidRPr="006B4DDF" w:rsidRDefault="006B4DDF" w:rsidP="003959D1">
      <w:r w:rsidRPr="006B4DDF">
        <w:t xml:space="preserve">Descarga y carga de datos. Se descargan los archivos de </w:t>
      </w:r>
      <w:proofErr w:type="spellStart"/>
      <w:r w:rsidRPr="006B4DDF">
        <w:t>listings</w:t>
      </w:r>
      <w:proofErr w:type="spellEnd"/>
      <w:r w:rsidRPr="006B4DDF">
        <w:t xml:space="preserve"> correspondientes a Madrid y Barcelona en su versión más reciente disponible en el momento de la realización del trabajo. Cada archivo contiene información de varios centenares de variables por anuncio, de las cuales se seleccionan únicamente aquellas relevantes para los objetivos del modelo.</w:t>
      </w:r>
    </w:p>
    <w:p w14:paraId="5ED082E3" w14:textId="77777777" w:rsidR="006B4DDF" w:rsidRPr="006B4DDF" w:rsidRDefault="006B4DDF" w:rsidP="003959D1">
      <w:r w:rsidRPr="006B4DDF">
        <w:t xml:space="preserve">Selección de variables. A partir del conjunto de variables disponibles, se realiza una selección basada en su relevancia teórica y en su disponibilidad efectiva en ambas ciudades. Las variables seleccionadas se agrupan en tres categorías: variables de caracterización del inmueble (tipo de propiedad, número de habitaciones, número de </w:t>
      </w:r>
      <w:r w:rsidRPr="006B4DDF">
        <w:lastRenderedPageBreak/>
        <w:t>baños, capacidad máxima de huéspedes, localización por barrio y coordenadas geográficas), variables de mercado (precio por noche, disponibilidad anual, número de reseñas, puntuación media, tiempo como anfitrión) y variables derivadas (tasa de ocupación estimada, ingreso mensual estimado).</w:t>
      </w:r>
    </w:p>
    <w:p w14:paraId="003A2C04" w14:textId="77777777" w:rsidR="006B4DDF" w:rsidRPr="006B4DDF" w:rsidRDefault="006B4DDF" w:rsidP="003959D1">
      <w:r w:rsidRPr="006B4DDF">
        <w:t>Tratamiento de valores ausentes. Se identifican y tratan los registros con valores ausentes en las variables seleccionadas. En función del porcentaje de ausencia y de la naturaleza de cada variable, se aplican estrategias de eliminación del registro cuando la ausencia supera un umbral definido, imputación por la mediana para variables numéricas continuas asimétricas, e imputación por la moda para variables categóricas.</w:t>
      </w:r>
    </w:p>
    <w:p w14:paraId="52B737FF" w14:textId="77777777" w:rsidR="006B4DDF" w:rsidRPr="006B4DDF" w:rsidRDefault="006B4DDF" w:rsidP="003959D1">
      <w:r w:rsidRPr="006B4DDF">
        <w:t xml:space="preserve">Detección y tratamiento de valores atípicos. Se aplica un análisis de valores atípicos sobre las variables de precio por noche e ingreso estimado, que habitualmente presentan distribuciones con colas largas y valores extremos no representativos del mercado estándar. Los registros con valores extremos no justificables se eliminan o acotan mediante técnicas de </w:t>
      </w:r>
      <w:proofErr w:type="spellStart"/>
      <w:r w:rsidRPr="006B4DDF">
        <w:t>winsorización</w:t>
      </w:r>
      <w:proofErr w:type="spellEnd"/>
      <w:r w:rsidRPr="006B4DDF">
        <w:t xml:space="preserve"> en los percentiles 1 y 99.</w:t>
      </w:r>
    </w:p>
    <w:p w14:paraId="59EC015C" w14:textId="77777777" w:rsidR="006B4DDF" w:rsidRPr="006B4DDF" w:rsidRDefault="006B4DDF" w:rsidP="003959D1">
      <w:r w:rsidRPr="006B4DDF">
        <w:t xml:space="preserve">Codificación de variables categóricas. Las variables categóricas, como el tipo de propiedad o el barrio de localización, se codifican mediante técnicas de codificación ordinal o </w:t>
      </w:r>
      <w:proofErr w:type="spellStart"/>
      <w:r w:rsidRPr="006B4DDF">
        <w:t>one-hot</w:t>
      </w:r>
      <w:proofErr w:type="spellEnd"/>
      <w:r w:rsidRPr="006B4DDF">
        <w:t xml:space="preserve"> </w:t>
      </w:r>
      <w:proofErr w:type="spellStart"/>
      <w:r w:rsidRPr="006B4DDF">
        <w:t>encoding</w:t>
      </w:r>
      <w:proofErr w:type="spellEnd"/>
      <w:r w:rsidRPr="006B4DDF">
        <w:t xml:space="preserve"> según el requerimiento de cada modelo. Para variables con alta cardinalidad, como el barrio, se aplica codificación por frecuencia o codificación </w:t>
      </w:r>
      <w:proofErr w:type="gramStart"/>
      <w:r w:rsidRPr="006B4DDF">
        <w:t>objetivo supervisada</w:t>
      </w:r>
      <w:proofErr w:type="gramEnd"/>
      <w:r w:rsidRPr="006B4DDF">
        <w:t xml:space="preserve"> con validación cruzada para evitar fugas de información.</w:t>
      </w:r>
    </w:p>
    <w:p w14:paraId="4DFD18D6" w14:textId="77777777" w:rsidR="006B4DDF" w:rsidRPr="006B4DDF" w:rsidRDefault="006B4DDF" w:rsidP="003959D1">
      <w:r w:rsidRPr="006B4DDF">
        <w:t>Normalización y estandarización. Las variables numéricas continuas se normalizan o estandarizan según los requisitos de cada algoritmo. Los modelos basados en árboles de decisión (</w:t>
      </w:r>
      <w:proofErr w:type="spellStart"/>
      <w:r w:rsidRPr="006B4DDF">
        <w:t>XGBoost</w:t>
      </w:r>
      <w:proofErr w:type="spellEnd"/>
      <w:r w:rsidRPr="006B4DDF">
        <w:t xml:space="preserve"> y </w:t>
      </w:r>
      <w:proofErr w:type="spellStart"/>
      <w:r w:rsidRPr="006B4DDF">
        <w:t>Random</w:t>
      </w:r>
      <w:proofErr w:type="spellEnd"/>
      <w:r w:rsidRPr="006B4DDF">
        <w:t xml:space="preserve"> Forest) no requieren normalización, mientras que otros componentes del sistema que utilicen métricas de distancia sí la precisan.</w:t>
      </w:r>
    </w:p>
    <w:p w14:paraId="01AEB199" w14:textId="77777777" w:rsidR="006B4DDF" w:rsidRPr="006B4DDF" w:rsidRDefault="006B4DDF" w:rsidP="003959D1">
      <w:r w:rsidRPr="006B4DDF">
        <w:t>División del conjunto de datos. El conjunto de datos preparado se divide en subconjuntos de entrenamiento y prueba aplicando una proporción de 80/20, con estratificación por ciudad para garantizar la representatividad de ambos mercados en cada subconjunto y evitar sesgos debidos al desbalance en el número de anuncios entre Madrid y Barcelona.</w:t>
      </w:r>
    </w:p>
    <w:p w14:paraId="25DFE49E" w14:textId="01FC0018" w:rsidR="006B4DDF" w:rsidRPr="006B4DDF" w:rsidRDefault="006B4DDF" w:rsidP="003959D1"/>
    <w:p w14:paraId="1952576C" w14:textId="77777777" w:rsidR="006B4DDF" w:rsidRPr="006B4DDF" w:rsidRDefault="006B4DDF" w:rsidP="003959D1">
      <w:pPr>
        <w:pStyle w:val="Ttulo2"/>
        <w:numPr>
          <w:ilvl w:val="0"/>
          <w:numId w:val="0"/>
        </w:numPr>
      </w:pPr>
      <w:bookmarkStart w:id="12" w:name="_Toc231829974"/>
      <w:r w:rsidRPr="006B4DDF">
        <w:lastRenderedPageBreak/>
        <w:t>3.3. Definición de variables e indicadores económico-financieros</w:t>
      </w:r>
      <w:bookmarkEnd w:id="12"/>
    </w:p>
    <w:p w14:paraId="06F0826F" w14:textId="77777777" w:rsidR="006B4DDF" w:rsidRPr="006B4DDF" w:rsidRDefault="006B4DDF" w:rsidP="003959D1">
      <w:r w:rsidRPr="006B4DDF">
        <w:t>El modelo económico-financiero del simulador se construye a partir de un conjunto estructurado de variables organizadas en bloques funcionales. Su definición responde tanto a los fundamentos del análisis de inversiones inmobiliarias como a los indicadores habitualmente utilizados en la literatura sobre rentabilidad de viviendas de uso turístico (</w:t>
      </w:r>
      <w:proofErr w:type="spellStart"/>
      <w:r w:rsidRPr="006B4DDF">
        <w:t>Jiao</w:t>
      </w:r>
      <w:proofErr w:type="spellEnd"/>
      <w:r w:rsidRPr="006B4DDF">
        <w:t xml:space="preserve"> &amp; Bai, 2020; Gibbs et al., 2018).</w:t>
      </w:r>
    </w:p>
    <w:p w14:paraId="53C898A4" w14:textId="77777777" w:rsidR="006B4DDF" w:rsidRPr="006B4DDF" w:rsidRDefault="006B4DDF" w:rsidP="003959D1">
      <w:pPr>
        <w:pStyle w:val="Ttulo3"/>
        <w:numPr>
          <w:ilvl w:val="0"/>
          <w:numId w:val="0"/>
        </w:numPr>
      </w:pPr>
      <w:bookmarkStart w:id="13" w:name="_Toc231829975"/>
      <w:r w:rsidRPr="006B4DDF">
        <w:t>3.3.1. Inversión inicial y estructura de financiación</w:t>
      </w:r>
      <w:bookmarkEnd w:id="13"/>
    </w:p>
    <w:p w14:paraId="5194ADE2" w14:textId="77777777" w:rsidR="006B4DDF" w:rsidRPr="006B4DDF" w:rsidRDefault="006B4DDF" w:rsidP="003959D1">
      <w:r w:rsidRPr="006B4DDF">
        <w:t>La inversión inicial comprende la totalidad de los desembolsos necesarios para adquirir y poner en explotación la vivienda de uso turístico. Se compone de los siguientes conceptos:</w:t>
      </w:r>
    </w:p>
    <w:p w14:paraId="4FDF9CEE" w14:textId="77777777" w:rsidR="006B4DDF" w:rsidRPr="006B4DDF" w:rsidRDefault="006B4DDF" w:rsidP="003959D1">
      <w:pPr>
        <w:numPr>
          <w:ilvl w:val="0"/>
          <w:numId w:val="9"/>
        </w:numPr>
      </w:pPr>
      <w:r w:rsidRPr="006B4DDF">
        <w:t>Precio de adquisición del inmueble: valor de compra del activo, expresado en euros, introducido directamente por el usuario como parámetro de entrada del simulador.</w:t>
      </w:r>
    </w:p>
    <w:p w14:paraId="50942A88" w14:textId="77777777" w:rsidR="006B4DDF" w:rsidRPr="006B4DDF" w:rsidRDefault="006B4DDF" w:rsidP="003959D1">
      <w:pPr>
        <w:numPr>
          <w:ilvl w:val="0"/>
          <w:numId w:val="9"/>
        </w:numPr>
      </w:pPr>
      <w:r w:rsidRPr="006B4DDF">
        <w:t>Gastos de compraventa: impuestos y costes asociados a la transmisión del inmueble, incluyendo el Impuesto sobre Transmisiones Patrimoniales (ITP) en el caso de vivienda de segunda mano o el Impuesto sobre el Valor Añadido (IVA) en obra nueva, más gastos notariales, registrales y de gestoría. Se estiman habitualmente entre el 8% y el 12% del precio de adquisición en función de la comunidad autónoma.</w:t>
      </w:r>
    </w:p>
    <w:p w14:paraId="5F30759A" w14:textId="77777777" w:rsidR="006B4DDF" w:rsidRPr="006B4DDF" w:rsidRDefault="006B4DDF" w:rsidP="003959D1">
      <w:pPr>
        <w:numPr>
          <w:ilvl w:val="0"/>
          <w:numId w:val="9"/>
        </w:numPr>
      </w:pPr>
      <w:r w:rsidRPr="006B4DDF">
        <w:t>Reforma y adecuación: costes de obras necesarias para adaptar el inmueble al uso turístico, variables en función del estado del inmueble en el momento de la compra.</w:t>
      </w:r>
    </w:p>
    <w:p w14:paraId="611C78C0" w14:textId="77777777" w:rsidR="006B4DDF" w:rsidRPr="006B4DDF" w:rsidRDefault="006B4DDF" w:rsidP="003959D1">
      <w:pPr>
        <w:numPr>
          <w:ilvl w:val="0"/>
          <w:numId w:val="9"/>
        </w:numPr>
      </w:pPr>
      <w:r w:rsidRPr="006B4DDF">
        <w:t>Mobiliario y equipamiento: inversión en el equipamiento necesario para la explotación turística, incluyendo mobiliario, electrodomésticos, menaje y elementos decorativos.</w:t>
      </w:r>
    </w:p>
    <w:p w14:paraId="1C51357E" w14:textId="77777777" w:rsidR="006B4DDF" w:rsidRPr="006B4DDF" w:rsidRDefault="006B4DDF" w:rsidP="003959D1">
      <w:pPr>
        <w:numPr>
          <w:ilvl w:val="0"/>
          <w:numId w:val="9"/>
        </w:numPr>
      </w:pPr>
      <w:r w:rsidRPr="006B4DDF">
        <w:t>Licencias y trámites: coste de obtención de la licencia o título habilitante de vivienda de uso turístico y de las demás gestiones administrativas asociadas.</w:t>
      </w:r>
    </w:p>
    <w:p w14:paraId="727DF125" w14:textId="77777777" w:rsidR="006B4DDF" w:rsidRPr="006B4DDF" w:rsidRDefault="006B4DDF" w:rsidP="003959D1">
      <w:pPr>
        <w:numPr>
          <w:ilvl w:val="0"/>
          <w:numId w:val="9"/>
        </w:numPr>
      </w:pPr>
      <w:r w:rsidRPr="006B4DDF">
        <w:lastRenderedPageBreak/>
        <w:t>Inversión total inicial (I₀): suma de todos los conceptos anteriores, que constituye la base de cálculo de los indicadores de rentabilidad.</w:t>
      </w:r>
    </w:p>
    <w:p w14:paraId="6499187E" w14:textId="77777777" w:rsidR="006B4DDF" w:rsidRPr="006B4DDF" w:rsidRDefault="006B4DDF" w:rsidP="003959D1">
      <w:r w:rsidRPr="006B4DDF">
        <w:t>La estructura de financiación contempla la distinción entre capital propio aportado por el inversor y capital ajeno obtenido mediante préstamo hipotecario. Los parámetros de financiación incluyen el porcentaje financiado sobre el precio de adquisición, el tipo de interés nominal aplicable, el plazo de amortización en años y la cuota mensual resultante, calculada mediante el sistema de amortización francés (cuota constante). El coste financiero total acumulado a lo largo del horizonte de análisis se incorpora como componente de los costes del modelo.</w:t>
      </w:r>
    </w:p>
    <w:p w14:paraId="604D83F2" w14:textId="77777777" w:rsidR="006B4DDF" w:rsidRPr="006B4DDF" w:rsidRDefault="006B4DDF" w:rsidP="003959D1">
      <w:pPr>
        <w:pStyle w:val="Ttulo3"/>
        <w:numPr>
          <w:ilvl w:val="0"/>
          <w:numId w:val="0"/>
        </w:numPr>
      </w:pPr>
      <w:bookmarkStart w:id="14" w:name="_Toc231829976"/>
      <w:r w:rsidRPr="006B4DDF">
        <w:t>3.3.2. Ingresos, costes fijos y costes variables</w:t>
      </w:r>
      <w:bookmarkEnd w:id="14"/>
    </w:p>
    <w:p w14:paraId="18CBC384" w14:textId="77777777" w:rsidR="006B4DDF" w:rsidRPr="006B4DDF" w:rsidRDefault="006B4DDF" w:rsidP="003959D1">
      <w:r w:rsidRPr="006B4DDF">
        <w:t>Los ingresos brutos anuales (IBA) se calculan mediante la siguiente expresión:</w:t>
      </w:r>
    </w:p>
    <w:p w14:paraId="5C18684E" w14:textId="77777777" w:rsidR="006B4DDF" w:rsidRPr="006B4DDF" w:rsidRDefault="006B4DDF" w:rsidP="003959D1">
      <w:r w:rsidRPr="006B4DDF">
        <w:t>IBA = Precio medio por noche × Tasa de ocupación × Noches disponibles al año</w:t>
      </w:r>
    </w:p>
    <w:p w14:paraId="2F6671DF" w14:textId="77777777" w:rsidR="006B4DDF" w:rsidRPr="006B4DDF" w:rsidRDefault="006B4DDF" w:rsidP="003959D1">
      <w:r w:rsidRPr="006B4DDF">
        <w:t xml:space="preserve">El precio medio por noche es estimado por el modelo </w:t>
      </w:r>
      <w:proofErr w:type="spellStart"/>
      <w:r w:rsidRPr="006B4DDF">
        <w:t>Random</w:t>
      </w:r>
      <w:proofErr w:type="spellEnd"/>
      <w:r w:rsidRPr="006B4DDF">
        <w:t xml:space="preserve"> Forest a partir de las características del inmueble y del mercado. La tasa de ocupación es estimada por el modelo </w:t>
      </w:r>
      <w:proofErr w:type="spellStart"/>
      <w:r w:rsidRPr="006B4DDF">
        <w:t>XGBoost</w:t>
      </w:r>
      <w:proofErr w:type="spellEnd"/>
      <w:r w:rsidRPr="006B4DDF">
        <w:t xml:space="preserve">. Las noches disponibles al año se fijan en función de los parámetros operativos introducidos por el usuario. La proyección mensual de ingresos incorpora los ajustes de estacionalidad derivados del modelo </w:t>
      </w:r>
      <w:proofErr w:type="spellStart"/>
      <w:r w:rsidRPr="006B4DDF">
        <w:t>Prophet</w:t>
      </w:r>
      <w:proofErr w:type="spellEnd"/>
      <w:r w:rsidRPr="006B4DDF">
        <w:t>, que diferencia entre temporada alta, media y baja para cada ciudad. Se considera adicionalmente un factor de crecimiento interanual de los ingresos parametrizable por el usuario.</w:t>
      </w:r>
    </w:p>
    <w:p w14:paraId="082B4352" w14:textId="77777777" w:rsidR="006B4DDF" w:rsidRPr="006B4DDF" w:rsidRDefault="006B4DDF" w:rsidP="003959D1">
      <w:r w:rsidRPr="006B4DDF">
        <w:t>Los costes operativos se clasifican en dos categorías:</w:t>
      </w:r>
    </w:p>
    <w:p w14:paraId="7EC242F4" w14:textId="77777777" w:rsidR="006B4DDF" w:rsidRPr="006B4DDF" w:rsidRDefault="006B4DDF" w:rsidP="003959D1">
      <w:r w:rsidRPr="006B4DDF">
        <w:t>Costes fijos: aquellos que no varían en función del nivel de ocupación, entre los que se incluyen la cuota de la comunidad de propietarios, el seguro del hogar, el IBI y otros tributos municipales, los suministros en periodos de baja o nula ocupación, y la eventual cuota de una empresa de gestión externa.</w:t>
      </w:r>
    </w:p>
    <w:p w14:paraId="7D8F843F" w14:textId="77777777" w:rsidR="006B4DDF" w:rsidRPr="006B4DDF" w:rsidRDefault="006B4DDF" w:rsidP="003959D1">
      <w:r w:rsidRPr="006B4DDF">
        <w:t>Costes variables: aquellos que escalan con el nivel de ocupación o con el número de estancias, entre los que se incluyen los gastos de limpieza por rotación de huéspedes, el mantenimiento correctivo, las comisiones de las plataformas digitales de alquiler (habitualmente entre el 3% y el 15% de los ingresos brutos según la plataforma), y los costes de reposición de consumibles y pequeños equipos.</w:t>
      </w:r>
    </w:p>
    <w:p w14:paraId="05D15D9A" w14:textId="77777777" w:rsidR="006B4DDF" w:rsidRPr="006B4DDF" w:rsidRDefault="006B4DDF" w:rsidP="003959D1">
      <w:r w:rsidRPr="006B4DDF">
        <w:lastRenderedPageBreak/>
        <w:t>Adicionalmente, se incluyen los costes financieros derivados del servicio de la deuda hipotecaria y la carga fiscal correspondiente al rendimiento neto de la actividad, calculada conforme al régimen aplicable al rendimiento del capital inmobiliario en el Impuesto sobre la Renta de las Personas Físicas (IRPF), con la posibilidad de incorporar el régimen de actividad económica cuando el usuario así lo determine.</w:t>
      </w:r>
    </w:p>
    <w:p w14:paraId="4C008209" w14:textId="77777777" w:rsidR="006B4DDF" w:rsidRPr="006B4DDF" w:rsidRDefault="006B4DDF" w:rsidP="003959D1">
      <w:pPr>
        <w:pStyle w:val="Ttulo3"/>
        <w:numPr>
          <w:ilvl w:val="0"/>
          <w:numId w:val="0"/>
        </w:numPr>
      </w:pPr>
      <w:bookmarkStart w:id="15" w:name="_Toc231829977"/>
      <w:r w:rsidRPr="006B4DDF">
        <w:t>3.3.3. Flujo de caja neto</w:t>
      </w:r>
      <w:bookmarkEnd w:id="15"/>
    </w:p>
    <w:p w14:paraId="4A8969BD" w14:textId="77777777" w:rsidR="006B4DDF" w:rsidRPr="006B4DDF" w:rsidRDefault="006B4DDF" w:rsidP="003959D1">
      <w:r w:rsidRPr="006B4DDF">
        <w:t>El flujo de caja neto anual (FCN) se obtiene como diferencia entre los ingresos brutos y la totalidad de los costes operativos, financieros y fiscales del ejercicio:</w:t>
      </w:r>
    </w:p>
    <w:p w14:paraId="14AA42AB" w14:textId="77777777" w:rsidR="006B4DDF" w:rsidRPr="006B4DDF" w:rsidRDefault="006B4DDF" w:rsidP="003959D1">
      <w:r w:rsidRPr="006B4DDF">
        <w:t>FCN = IBA − Costes fijos − Costes variables − Costes financieros − Impuestos</w:t>
      </w:r>
    </w:p>
    <w:p w14:paraId="62CC46C7" w14:textId="77777777" w:rsidR="006B4DDF" w:rsidRPr="006B4DDF" w:rsidRDefault="006B4DDF" w:rsidP="003959D1">
      <w:r w:rsidRPr="006B4DDF">
        <w:t xml:space="preserve">Este indicador constituye la variable central del modelo financiero y la base sobre la que se calculan los restantes indicadores de rentabilidad. El simulador proyecta el flujo de caja neto para un horizonte temporal de diez años, incorporando las hipótesis de crecimiento de ingresos y evolución de costes definidas para cada escenario de análisis. La serie de flujos de caja proyectados alimenta directamente el cálculo del VAN, la TIR y el </w:t>
      </w:r>
      <w:proofErr w:type="spellStart"/>
      <w:r w:rsidRPr="006B4DDF">
        <w:t>payback</w:t>
      </w:r>
      <w:proofErr w:type="spellEnd"/>
      <w:r w:rsidRPr="006B4DDF">
        <w:t>.</w:t>
      </w:r>
    </w:p>
    <w:p w14:paraId="51C42406" w14:textId="77777777" w:rsidR="006B4DDF" w:rsidRPr="006B4DDF" w:rsidRDefault="006B4DDF" w:rsidP="003959D1">
      <w:pPr>
        <w:pStyle w:val="Ttulo3"/>
        <w:numPr>
          <w:ilvl w:val="0"/>
          <w:numId w:val="0"/>
        </w:numPr>
      </w:pPr>
      <w:bookmarkStart w:id="16" w:name="_Toc231829978"/>
      <w:r w:rsidRPr="006B4DDF">
        <w:t xml:space="preserve">3.3.4. VAN, TIR y </w:t>
      </w:r>
      <w:proofErr w:type="spellStart"/>
      <w:r w:rsidRPr="006B4DDF">
        <w:t>Payback</w:t>
      </w:r>
      <w:bookmarkEnd w:id="16"/>
      <w:proofErr w:type="spellEnd"/>
    </w:p>
    <w:p w14:paraId="6CA6CAF3" w14:textId="77777777" w:rsidR="006B4DDF" w:rsidRPr="006B4DDF" w:rsidRDefault="006B4DDF" w:rsidP="003959D1">
      <w:r w:rsidRPr="006B4DDF">
        <w:t>Los tres indicadores principales de rentabilidad de la inversión se definen del siguiente modo:</w:t>
      </w:r>
    </w:p>
    <w:p w14:paraId="55C4C523" w14:textId="77777777" w:rsidR="006B4DDF" w:rsidRPr="006B4DDF" w:rsidRDefault="006B4DDF" w:rsidP="003959D1">
      <w:r w:rsidRPr="006B4DDF">
        <w:t>El Valor Actual Neto (VAN) se calcula como la suma de los flujos de caja netos anuales descontados a una tasa de descuento k, menos la inversión inicial I₀:</w:t>
      </w:r>
    </w:p>
    <w:p w14:paraId="78CBA91A" w14:textId="77777777" w:rsidR="006B4DDF" w:rsidRPr="006B4DDF" w:rsidRDefault="006B4DDF" w:rsidP="003959D1">
      <w:r w:rsidRPr="006B4DDF">
        <w:t xml:space="preserve">VAN = −I₀ + Σ [FCNₜ / (1 + </w:t>
      </w:r>
      <w:proofErr w:type="gramStart"/>
      <w:r w:rsidRPr="006B4DDF">
        <w:t>k)ᵗ</w:t>
      </w:r>
      <w:proofErr w:type="gramEnd"/>
      <w:r w:rsidRPr="006B4DDF">
        <w:t>] para t = 1, 2, ..., n</w:t>
      </w:r>
    </w:p>
    <w:p w14:paraId="38233F09" w14:textId="77777777" w:rsidR="006B4DDF" w:rsidRPr="006B4DDF" w:rsidRDefault="006B4DDF" w:rsidP="003959D1">
      <w:r w:rsidRPr="006B4DDF">
        <w:t>Un VAN positivo indica que la inversión genera valor por encima del coste de oportunidad del capital. La tasa de descuento k es parametrizable por el usuario y debe reflejar el coste del capital propio o la rentabilidad mínima exigida por el inversor.</w:t>
      </w:r>
    </w:p>
    <w:p w14:paraId="3B360806" w14:textId="77777777" w:rsidR="006B4DDF" w:rsidRPr="006B4DDF" w:rsidRDefault="006B4DDF" w:rsidP="003959D1">
      <w:r w:rsidRPr="006B4DDF">
        <w:t>La Tasa Interna de Retorno (TIR) es la tasa de descuento que hace que el VAN sea igual a cero. Representa la rentabilidad efectiva de la inversión en términos relativos y se compara con la tasa de descuento utilizada para determinar la conveniencia de la operación: si TIR &gt; k, la inversión es financieramente viable.</w:t>
      </w:r>
    </w:p>
    <w:p w14:paraId="22DE9A29" w14:textId="77777777" w:rsidR="006B4DDF" w:rsidRPr="006B4DDF" w:rsidRDefault="006B4DDF" w:rsidP="003959D1">
      <w:r w:rsidRPr="006B4DDF">
        <w:lastRenderedPageBreak/>
        <w:t xml:space="preserve">El </w:t>
      </w:r>
      <w:proofErr w:type="spellStart"/>
      <w:r w:rsidRPr="006B4DDF">
        <w:t>Payback</w:t>
      </w:r>
      <w:proofErr w:type="spellEnd"/>
      <w:r w:rsidRPr="006B4DDF">
        <w:t xml:space="preserve"> o período de recuperación de la inversión indica el número de años necesarios para recuperar el desembolso inicial I₀ a través de los flujos de caja generados. El simulador calcula tanto el </w:t>
      </w:r>
      <w:proofErr w:type="spellStart"/>
      <w:r w:rsidRPr="006B4DDF">
        <w:t>payback</w:t>
      </w:r>
      <w:proofErr w:type="spellEnd"/>
      <w:r w:rsidRPr="006B4DDF">
        <w:t xml:space="preserve"> simple (sin descuento) como el </w:t>
      </w:r>
      <w:proofErr w:type="spellStart"/>
      <w:r w:rsidRPr="006B4DDF">
        <w:t>payback</w:t>
      </w:r>
      <w:proofErr w:type="spellEnd"/>
      <w:r w:rsidRPr="006B4DDF">
        <w:t xml:space="preserve"> descontado, que tiene en cuenta el valor temporal del dinero y resulta más conservador y financieramente riguroso.</w:t>
      </w:r>
    </w:p>
    <w:p w14:paraId="50CCD16A" w14:textId="77777777" w:rsidR="006B4DDF" w:rsidRPr="006B4DDF" w:rsidRDefault="006B4DDF" w:rsidP="003959D1">
      <w:r w:rsidRPr="006B4DDF">
        <w:t>Complementariamente, el modelo calcula los siguientes indicadores de síntesis:</w:t>
      </w:r>
    </w:p>
    <w:p w14:paraId="5C8AA407" w14:textId="77777777" w:rsidR="006B4DDF" w:rsidRPr="006B4DDF" w:rsidRDefault="006B4DDF" w:rsidP="003959D1">
      <w:pPr>
        <w:numPr>
          <w:ilvl w:val="0"/>
          <w:numId w:val="10"/>
        </w:numPr>
      </w:pPr>
      <w:r w:rsidRPr="006B4DDF">
        <w:t>Rentabilidad bruta: cociente entre los ingresos brutos anuales y el precio de adquisición del inmueble, expresado en porcentaje.</w:t>
      </w:r>
    </w:p>
    <w:p w14:paraId="4DC3762F" w14:textId="77777777" w:rsidR="006B4DDF" w:rsidRPr="006B4DDF" w:rsidRDefault="006B4DDF" w:rsidP="003959D1">
      <w:pPr>
        <w:numPr>
          <w:ilvl w:val="0"/>
          <w:numId w:val="10"/>
        </w:numPr>
      </w:pPr>
      <w:r w:rsidRPr="006B4DDF">
        <w:t>Rentabilidad neta: cociente entre el flujo de caja neto y la inversión total inicial, expresado en porcentaje.</w:t>
      </w:r>
    </w:p>
    <w:p w14:paraId="5E99DA84" w14:textId="77777777" w:rsidR="006B4DDF" w:rsidRPr="006B4DDF" w:rsidRDefault="006B4DDF" w:rsidP="003959D1">
      <w:pPr>
        <w:numPr>
          <w:ilvl w:val="0"/>
          <w:numId w:val="10"/>
        </w:numPr>
      </w:pPr>
      <w:r w:rsidRPr="006B4DDF">
        <w:t>Punto muerto de ocupación: tasa de ocupación mínima necesaria para que los ingresos brutos cubran la totalidad de los costes operativos, financieros y fiscales del ejercicio. Constituye un indicador de riesgo operativo de primer orden.</w:t>
      </w:r>
    </w:p>
    <w:p w14:paraId="4F60D3F1" w14:textId="77777777" w:rsidR="006B4DDF" w:rsidRPr="006B4DDF" w:rsidRDefault="006B4DDF" w:rsidP="003959D1">
      <w:pPr>
        <w:numPr>
          <w:ilvl w:val="0"/>
          <w:numId w:val="10"/>
        </w:numPr>
      </w:pPr>
      <w:r w:rsidRPr="006B4DDF">
        <w:t>Rentabilidad sobre capital propio (ROE): cociente entre el flujo de caja neto y el capital propio aportado por el inversor, que refleja el efecto de apalancamiento financiero sobre la rentabilidad del inversor.</w:t>
      </w:r>
    </w:p>
    <w:p w14:paraId="50AFA429" w14:textId="4A8D2038" w:rsidR="006B4DDF" w:rsidRPr="006B4DDF" w:rsidRDefault="006B4DDF" w:rsidP="003959D1"/>
    <w:p w14:paraId="7D398A0A" w14:textId="77777777" w:rsidR="006B4DDF" w:rsidRPr="006B4DDF" w:rsidRDefault="006B4DDF" w:rsidP="003959D1">
      <w:pPr>
        <w:pStyle w:val="Ttulo2"/>
        <w:numPr>
          <w:ilvl w:val="0"/>
          <w:numId w:val="0"/>
        </w:numPr>
        <w:ind w:left="578" w:hanging="578"/>
      </w:pPr>
      <w:bookmarkStart w:id="17" w:name="_Toc231829979"/>
      <w:r w:rsidRPr="006B4DDF">
        <w:t>3.4. Selección y justificación de los modelos de IA</w:t>
      </w:r>
      <w:bookmarkEnd w:id="17"/>
    </w:p>
    <w:p w14:paraId="237196F9" w14:textId="77777777" w:rsidR="006B4DDF" w:rsidRPr="006B4DDF" w:rsidRDefault="006B4DDF" w:rsidP="003959D1">
      <w:r w:rsidRPr="006B4DDF">
        <w:t>La selección de los modelos de inteligencia artificial utilizados en el simulador responde a criterios de adecuación al tipo de problema, rendimiento predictivo contrastado en la literatura académica y viabilidad de implementación con las herramientas disponibles. Los tres modelos seleccionados trabajan en secuencia para proporcionar las estimaciones que alimentan el motor financiero.</w:t>
      </w:r>
    </w:p>
    <w:p w14:paraId="57B9932A" w14:textId="77777777" w:rsidR="006B4DDF" w:rsidRPr="006B4DDF" w:rsidRDefault="006B4DDF" w:rsidP="003959D1">
      <w:proofErr w:type="spellStart"/>
      <w:r w:rsidRPr="006B4DDF">
        <w:t>XGBoost</w:t>
      </w:r>
      <w:proofErr w:type="spellEnd"/>
      <w:r w:rsidRPr="006B4DDF">
        <w:t xml:space="preserve"> para la predicción de ocupación. El algoritmo </w:t>
      </w:r>
      <w:proofErr w:type="spellStart"/>
      <w:r w:rsidRPr="006B4DDF">
        <w:t>XGBoost</w:t>
      </w:r>
      <w:proofErr w:type="spellEnd"/>
      <w:r w:rsidRPr="006B4DDF">
        <w:t xml:space="preserve"> (Extreme </w:t>
      </w:r>
      <w:proofErr w:type="spellStart"/>
      <w:r w:rsidRPr="006B4DDF">
        <w:t>Gradient</w:t>
      </w:r>
      <w:proofErr w:type="spellEnd"/>
      <w:r w:rsidRPr="006B4DDF">
        <w:t xml:space="preserve"> </w:t>
      </w:r>
      <w:proofErr w:type="spellStart"/>
      <w:r w:rsidRPr="006B4DDF">
        <w:t>Boosting</w:t>
      </w:r>
      <w:proofErr w:type="spellEnd"/>
      <w:r w:rsidRPr="006B4DDF">
        <w:t xml:space="preserve">) es un método de aprendizaje automático supervisado basado en el ensamblado secuencial de árboles de decisión mediante </w:t>
      </w:r>
      <w:proofErr w:type="spellStart"/>
      <w:r w:rsidRPr="006B4DDF">
        <w:t>boosting</w:t>
      </w:r>
      <w:proofErr w:type="spellEnd"/>
      <w:r w:rsidRPr="006B4DDF">
        <w:t xml:space="preserve"> por gradiente. Ha demostrado un rendimiento superior en problemas de regresión y clasificación con variables tabulares de naturaleza heterogénea, características propias del conjunto de datos de </w:t>
      </w:r>
      <w:proofErr w:type="spellStart"/>
      <w:r w:rsidRPr="006B4DDF">
        <w:t>Inside</w:t>
      </w:r>
      <w:proofErr w:type="spellEnd"/>
      <w:r w:rsidRPr="006B4DDF">
        <w:t xml:space="preserve"> Airbnb. Su capacidad para gestionar valores ausentes de forma nativa, su </w:t>
      </w:r>
      <w:r w:rsidRPr="006B4DDF">
        <w:lastRenderedPageBreak/>
        <w:t>robustez frente al sobreajuste mediante regularización L1 y L2, y su eficiencia computacional lo convierten en una opción idónea para la predicción de la tasa de ocupación a partir de las características del inmueble, el barrio, la época del año y las métricas de reputación del anuncio (Choy &amp; Ho, 2023).</w:t>
      </w:r>
    </w:p>
    <w:p w14:paraId="054FA1C1" w14:textId="77777777" w:rsidR="006B4DDF" w:rsidRPr="006B4DDF" w:rsidRDefault="006B4DDF" w:rsidP="003959D1">
      <w:proofErr w:type="spellStart"/>
      <w:r w:rsidRPr="006B4DDF">
        <w:t>Random</w:t>
      </w:r>
      <w:proofErr w:type="spellEnd"/>
      <w:r w:rsidRPr="006B4DDF">
        <w:t xml:space="preserve"> Forest para la estimación del precio óptimo por noche. El algoritmo </w:t>
      </w:r>
      <w:proofErr w:type="spellStart"/>
      <w:r w:rsidRPr="006B4DDF">
        <w:t>Random</w:t>
      </w:r>
      <w:proofErr w:type="spellEnd"/>
      <w:r w:rsidRPr="006B4DDF">
        <w:t xml:space="preserve"> Forest, basado en el ensamblado de árboles de decisión mediante </w:t>
      </w:r>
      <w:proofErr w:type="spellStart"/>
      <w:r w:rsidRPr="006B4DDF">
        <w:t>bagging</w:t>
      </w:r>
      <w:proofErr w:type="spellEnd"/>
      <w:r w:rsidRPr="006B4DDF">
        <w:t xml:space="preserve"> con selección aleatoria de variables, ha sido ampliamente utilizado en la literatura para la predicción de precios en el mercado de alquiler de corta duración (Pérez-Sánchez et al., 2018; Choy &amp; Ho, 2023). Su robustez frente al ruido en los datos, su capacidad para capturar relaciones no lineales entre las características del inmueble y el precio de mercado, y la facilidad de interpretación de la importancia de variables hacen de este algoritmo la elección más adecuada para el módulo de estimación del precio por noche. El modelo se entrena con validación cruzada temporal para preservar la dependencia cronológica de los datos (Magno et al., 2018).</w:t>
      </w:r>
    </w:p>
    <w:p w14:paraId="5AFD2761" w14:textId="77777777" w:rsidR="006B4DDF" w:rsidRPr="006B4DDF" w:rsidRDefault="006B4DDF" w:rsidP="003959D1">
      <w:proofErr w:type="spellStart"/>
      <w:r w:rsidRPr="006B4DDF">
        <w:t>Prophet</w:t>
      </w:r>
      <w:proofErr w:type="spellEnd"/>
      <w:r w:rsidRPr="006B4DDF">
        <w:t xml:space="preserve"> para la proyección de estacionalidad. </w:t>
      </w:r>
      <w:proofErr w:type="spellStart"/>
      <w:r w:rsidRPr="006B4DDF">
        <w:t>Prophet</w:t>
      </w:r>
      <w:proofErr w:type="spellEnd"/>
      <w:r w:rsidRPr="006B4DDF">
        <w:t xml:space="preserve"> es un modelo de predicción de series temporales desarrollado por Meta, diseñado específicamente para series con patrones de estacionalidad múltiple marcada y efectos de calendario. Su arquitectura descompone la serie en tendencia, estacionalidad anual, estacionalidad semanal y efectos de días festivos, siendo especialmente adecuado para modelar la variabilidad estacional del mercado turístico. Su aplicación a la proyección mensual de la ocupación esperada y los ingresos estimados permite incorporar al motor financiero la heterogeneidad temporal de los flujos de caja, diferenciando entre temporada alta, media y baja para cada ciudad (Gibbs et al., 2018).</w:t>
      </w:r>
    </w:p>
    <w:p w14:paraId="3CDC8BE8" w14:textId="77777777" w:rsidR="006B4DDF" w:rsidRPr="006B4DDF" w:rsidRDefault="006B4DDF" w:rsidP="003959D1">
      <w:r w:rsidRPr="006B4DDF">
        <w:t xml:space="preserve">La interpretabilidad de los modelos </w:t>
      </w:r>
      <w:proofErr w:type="spellStart"/>
      <w:r w:rsidRPr="006B4DDF">
        <w:t>XGBoost</w:t>
      </w:r>
      <w:proofErr w:type="spellEnd"/>
      <w:r w:rsidRPr="006B4DDF">
        <w:t xml:space="preserve"> y </w:t>
      </w:r>
      <w:proofErr w:type="spellStart"/>
      <w:r w:rsidRPr="006B4DDF">
        <w:t>Random</w:t>
      </w:r>
      <w:proofErr w:type="spellEnd"/>
      <w:r w:rsidRPr="006B4DDF">
        <w:t xml:space="preserve"> Forest se aborda mediante el análisis de valores SHAP (</w:t>
      </w:r>
      <w:proofErr w:type="spellStart"/>
      <w:r w:rsidRPr="006B4DDF">
        <w:t>SHapley</w:t>
      </w:r>
      <w:proofErr w:type="spellEnd"/>
      <w:r w:rsidRPr="006B4DDF">
        <w:t xml:space="preserve"> </w:t>
      </w:r>
      <w:proofErr w:type="spellStart"/>
      <w:r w:rsidRPr="006B4DDF">
        <w:t>Additive</w:t>
      </w:r>
      <w:proofErr w:type="spellEnd"/>
      <w:r w:rsidRPr="006B4DDF">
        <w:t xml:space="preserve"> </w:t>
      </w:r>
      <w:proofErr w:type="spellStart"/>
      <w:r w:rsidRPr="006B4DDF">
        <w:t>exPlanations</w:t>
      </w:r>
      <w:proofErr w:type="spellEnd"/>
      <w:r w:rsidRPr="006B4DDF">
        <w:t>), que cuantifican la contribución de cada variable predictora a la predicción individual de cada observación y a la importancia global del modelo. Este enfoque permite al usuario del simulador comprender qué características del inmueble o del mercado determinan en mayor medida las estimaciones de ocupación y precio, incrementando la transparencia y la confianza en los resultados (</w:t>
      </w:r>
      <w:proofErr w:type="spellStart"/>
      <w:r w:rsidRPr="006B4DDF">
        <w:t>Lundberg</w:t>
      </w:r>
      <w:proofErr w:type="spellEnd"/>
      <w:r w:rsidRPr="006B4DDF">
        <w:t xml:space="preserve"> &amp; Lee, 2017).</w:t>
      </w:r>
    </w:p>
    <w:p w14:paraId="73F00AAF" w14:textId="77777777" w:rsidR="006B4DDF" w:rsidRPr="006B4DDF" w:rsidRDefault="003959D1" w:rsidP="003959D1">
      <w:r>
        <w:rPr>
          <w:noProof/>
        </w:rPr>
      </w:r>
      <w:r w:rsidR="003959D1">
        <w:rPr>
          <w:noProof/>
        </w:rPr>
        <w:pict w14:anchorId="79401089">
          <v:rect id="_x0000_i1030" alt="" style="width:425.2pt;height:.05pt;mso-width-percent:0;mso-height-percent:0;mso-width-percent:0;mso-height-percent:0" o:hralign="center" o:hrstd="t" o:hr="t" fillcolor="#a0a0a0" stroked="f"/>
        </w:pict>
      </w:r>
    </w:p>
    <w:p w14:paraId="5AD6DFBF" w14:textId="77777777" w:rsidR="006B4DDF" w:rsidRPr="006B4DDF" w:rsidRDefault="006B4DDF" w:rsidP="003959D1">
      <w:pPr>
        <w:pStyle w:val="Ttulo2"/>
        <w:numPr>
          <w:ilvl w:val="0"/>
          <w:numId w:val="0"/>
        </w:numPr>
        <w:ind w:left="578" w:hanging="578"/>
      </w:pPr>
      <w:bookmarkStart w:id="18" w:name="_Toc231829980"/>
      <w:r w:rsidRPr="006B4DDF">
        <w:lastRenderedPageBreak/>
        <w:t>3.5. Arquitectura del sistema</w:t>
      </w:r>
      <w:bookmarkEnd w:id="18"/>
    </w:p>
    <w:p w14:paraId="00528C1D" w14:textId="77777777" w:rsidR="006B4DDF" w:rsidRPr="006B4DDF" w:rsidRDefault="006B4DDF" w:rsidP="003959D1">
      <w:r w:rsidRPr="006B4DDF">
        <w:t xml:space="preserve">El simulador se concibe como un sistema modular compuesto por cuatro componentes principales que interactúan de forma secuencial, implementados íntegramente en Python y desplegados localmente mediante </w:t>
      </w:r>
      <w:proofErr w:type="spellStart"/>
      <w:r w:rsidRPr="006B4DDF">
        <w:t>Streamlit</w:t>
      </w:r>
      <w:proofErr w:type="spellEnd"/>
      <w:r w:rsidRPr="006B4DDF">
        <w:t xml:space="preserve"> sin necesidad de infraestructura en la nube.</w:t>
      </w:r>
    </w:p>
    <w:p w14:paraId="79D5F352" w14:textId="77777777" w:rsidR="006B4DDF" w:rsidRPr="006B4DDF" w:rsidRDefault="006B4DDF" w:rsidP="003959D1">
      <w:r w:rsidRPr="006B4DDF">
        <w:t xml:space="preserve">Módulo de datos. Responsable de la carga, limpieza y preprocesado de los datos de </w:t>
      </w:r>
      <w:proofErr w:type="spellStart"/>
      <w:r w:rsidRPr="006B4DDF">
        <w:t>Inside</w:t>
      </w:r>
      <w:proofErr w:type="spellEnd"/>
      <w:r w:rsidRPr="006B4DDF">
        <w:t xml:space="preserve"> Airbnb y de las fuentes complementarias. Genera los conjuntos de datos preparados que alimentan los modelos predictivos. Implementado con pandas y </w:t>
      </w:r>
      <w:proofErr w:type="spellStart"/>
      <w:r w:rsidRPr="006B4DDF">
        <w:t>numpy</w:t>
      </w:r>
      <w:proofErr w:type="spellEnd"/>
      <w:r w:rsidRPr="006B4DDF">
        <w:t>, incluye todos los procedimientos descritos en el apartado 3.2.</w:t>
      </w:r>
    </w:p>
    <w:p w14:paraId="1FE4993D" w14:textId="77777777" w:rsidR="006B4DDF" w:rsidRPr="006B4DDF" w:rsidRDefault="006B4DDF" w:rsidP="003959D1">
      <w:r w:rsidRPr="006B4DDF">
        <w:t>Módulo de modelos predictivos. Contiene los tres modelos entrenados —</w:t>
      </w:r>
      <w:proofErr w:type="spellStart"/>
      <w:r w:rsidRPr="006B4DDF">
        <w:t>XGBoost</w:t>
      </w:r>
      <w:proofErr w:type="spellEnd"/>
      <w:r w:rsidRPr="006B4DDF">
        <w:t xml:space="preserve">, </w:t>
      </w:r>
      <w:proofErr w:type="spellStart"/>
      <w:r w:rsidRPr="006B4DDF">
        <w:t>Random</w:t>
      </w:r>
      <w:proofErr w:type="spellEnd"/>
      <w:r w:rsidRPr="006B4DDF">
        <w:t xml:space="preserve"> Forest y </w:t>
      </w:r>
      <w:proofErr w:type="spellStart"/>
      <w:r w:rsidRPr="006B4DDF">
        <w:t>Prophet</w:t>
      </w:r>
      <w:proofErr w:type="spellEnd"/>
      <w:r w:rsidRPr="006B4DDF">
        <w:t xml:space="preserve">— y expone sus predicciones como entradas parametrizadas para el motor financiero. Implementado con </w:t>
      </w:r>
      <w:proofErr w:type="spellStart"/>
      <w:r w:rsidRPr="006B4DDF">
        <w:t>scikit-learn</w:t>
      </w:r>
      <w:proofErr w:type="spellEnd"/>
      <w:r w:rsidRPr="006B4DDF">
        <w:t xml:space="preserve">, </w:t>
      </w:r>
      <w:proofErr w:type="spellStart"/>
      <w:r w:rsidRPr="006B4DDF">
        <w:t>xgboost</w:t>
      </w:r>
      <w:proofErr w:type="spellEnd"/>
      <w:r w:rsidRPr="006B4DDF">
        <w:t xml:space="preserve"> y </w:t>
      </w:r>
      <w:proofErr w:type="spellStart"/>
      <w:r w:rsidRPr="006B4DDF">
        <w:t>prophet</w:t>
      </w:r>
      <w:proofErr w:type="spellEnd"/>
      <w:r w:rsidRPr="006B4DDF">
        <w:t xml:space="preserve">. Incluye el análisis de interpretabilidad mediante la librería </w:t>
      </w:r>
      <w:proofErr w:type="spellStart"/>
      <w:r w:rsidRPr="006B4DDF">
        <w:t>shap</w:t>
      </w:r>
      <w:proofErr w:type="spellEnd"/>
      <w:r w:rsidRPr="006B4DDF">
        <w:t>. Los modelos se serializan una vez entrenados y se cargan en tiempo de ejecución para garantizar tiempos de respuesta adecuados en la interfaz interactiva.</w:t>
      </w:r>
    </w:p>
    <w:p w14:paraId="1FD77208" w14:textId="77777777" w:rsidR="006B4DDF" w:rsidRPr="006B4DDF" w:rsidRDefault="006B4DDF" w:rsidP="0022380D">
      <w:r w:rsidRPr="006B4DDF">
        <w:t>Motor financiero de escenarios. Recibe las predicciones de los modelos y los parámetros de inversión introducidos por el usuario, y calcula los indicadores económico-financieros descritos en el apartado 3.3 para tres escenarios simultáneos: optimista, neutro y pesimista. Los escenarios se definen aplicando variaciones porcentuales parametrizadas sobre las variables clave de ingresos y costes. Genera asimismo el análisis de sensibilidad de los indicadores de rentabilidad ante variaciones en las variables críticas del modelo.</w:t>
      </w:r>
    </w:p>
    <w:p w14:paraId="273E7194" w14:textId="77777777" w:rsidR="006B4DDF" w:rsidRPr="006B4DDF" w:rsidRDefault="006B4DDF" w:rsidP="0022380D">
      <w:pPr>
        <w:ind w:firstLine="720"/>
      </w:pPr>
      <w:r w:rsidRPr="006B4DDF">
        <w:t xml:space="preserve">Interfaz web interactiva. Desarrollada con </w:t>
      </w:r>
      <w:proofErr w:type="spellStart"/>
      <w:r w:rsidRPr="006B4DDF">
        <w:t>Streamlit</w:t>
      </w:r>
      <w:proofErr w:type="spellEnd"/>
      <w:r w:rsidRPr="006B4DDF">
        <w:t xml:space="preserve">, permite al usuario introducir los parámetros de la inversión —precio del inmueble, características del activo, estructura de financiación, costes operativos y tasa de descuento—, seleccionar la ciudad y visualizar los resultados en forma de indicadores, gráficos interactivos generados con </w:t>
      </w:r>
      <w:proofErr w:type="spellStart"/>
      <w:r w:rsidRPr="006B4DDF">
        <w:t>Plotly</w:t>
      </w:r>
      <w:proofErr w:type="spellEnd"/>
      <w:r w:rsidRPr="006B4DDF">
        <w:t xml:space="preserve"> y tablas comparativas de escenarios. Incorpora adicionalmente un módulo de generación de informes automatizados mediante un modelo de lenguaje de gran escala (LLM) que interpreta los resultados del simulador en lenguaje natural y genera un resumen ejecutivo personalizado de la inversión analizada.</w:t>
      </w:r>
    </w:p>
    <w:p w14:paraId="084A6E36" w14:textId="7ED7316D" w:rsidR="00450C09" w:rsidRDefault="006B4DDF" w:rsidP="003959D1">
      <w:pPr>
        <w:ind w:firstLine="0"/>
      </w:pPr>
      <w:r w:rsidRPr="006B4DDF">
        <w:lastRenderedPageBreak/>
        <w:t>La comunicación entre módulos se realiza mediante estructuras de datos nativas de Python (</w:t>
      </w:r>
      <w:proofErr w:type="spellStart"/>
      <w:r w:rsidRPr="006B4DDF">
        <w:t>dataframes</w:t>
      </w:r>
      <w:proofErr w:type="spellEnd"/>
      <w:r w:rsidRPr="006B4DDF">
        <w:t xml:space="preserve"> de pandas y diccionarios), sin necesidad de arquitectura de microservicios ni dependencias externas de red, lo que simplifica el despliegue, garantiza la reproducibilidad del entorno y facilita la portabilidad del sistema entre equipos de desarrollo.</w:t>
      </w:r>
    </w:p>
    <w:p w14:paraId="209023ED" w14:textId="77777777" w:rsidR="00450C09" w:rsidRDefault="00450C09" w:rsidP="003959D1">
      <w:r>
        <w:br w:type="page"/>
      </w:r>
    </w:p>
    <w:p w14:paraId="7A71AE76" w14:textId="77777777" w:rsidR="00450C09" w:rsidRPr="00450C09" w:rsidRDefault="00450C09" w:rsidP="003959D1">
      <w:pPr>
        <w:pStyle w:val="Ttulo1"/>
        <w:numPr>
          <w:ilvl w:val="0"/>
          <w:numId w:val="0"/>
        </w:numPr>
        <w:ind w:left="431" w:hanging="431"/>
      </w:pPr>
      <w:bookmarkStart w:id="19" w:name="_Toc231829981"/>
      <w:r w:rsidRPr="00450C09">
        <w:lastRenderedPageBreak/>
        <w:t>4. DESARROLLO DEL SIMULADOR</w:t>
      </w:r>
      <w:bookmarkEnd w:id="19"/>
    </w:p>
    <w:p w14:paraId="763EE823" w14:textId="77777777" w:rsidR="00450C09" w:rsidRDefault="00450C09" w:rsidP="0022380D">
      <w:pPr>
        <w:pStyle w:val="NormalWeb"/>
        <w:spacing w:line="360" w:lineRule="auto"/>
        <w:ind w:firstLine="431"/>
        <w:jc w:val="both"/>
      </w:pPr>
      <w:r w:rsidRPr="00450C09">
        <w:t>El presente capítulo describe el proceso de desarrollo técnico del simulador interactivo de decisiones de inversión en viviendas de uso turístico. El sistema se ha construido de forma modular e iterativa, siguiendo la arquitectura definida en el capítulo anterior, e integrando tres modelos predictivos de inteligencia artificial, un motor de cálculo económico-financiero y una interfaz web interactiva de acceso público. Todo el desarrollo se ha realizado íntegramente en Python utilizando herramientas de código abierto y datos de acceso público, sin coste de infraestructura, con el fin de garantizar la reproducibilidad del trabajo y su transferibilidad a otros contextos de análisis.</w:t>
      </w:r>
    </w:p>
    <w:p w14:paraId="03A1A8AF" w14:textId="77777777" w:rsidR="00877031" w:rsidRPr="00450C09" w:rsidRDefault="00877031" w:rsidP="0022380D">
      <w:pPr>
        <w:pStyle w:val="NormalWeb"/>
        <w:spacing w:line="360" w:lineRule="auto"/>
        <w:ind w:firstLine="431"/>
        <w:jc w:val="both"/>
      </w:pPr>
    </w:p>
    <w:p w14:paraId="665C8FE8" w14:textId="77777777" w:rsidR="00450C09" w:rsidRPr="00450C09" w:rsidRDefault="00450C09" w:rsidP="003959D1">
      <w:pPr>
        <w:pStyle w:val="Ttulo2"/>
        <w:numPr>
          <w:ilvl w:val="0"/>
          <w:numId w:val="0"/>
        </w:numPr>
        <w:ind w:left="578" w:hanging="578"/>
      </w:pPr>
      <w:bookmarkStart w:id="20" w:name="_Toc231829982"/>
      <w:r w:rsidRPr="00450C09">
        <w:t>4.1. Modelos predictivos</w:t>
      </w:r>
      <w:bookmarkEnd w:id="20"/>
    </w:p>
    <w:p w14:paraId="0809A79A" w14:textId="77777777" w:rsidR="00450C09" w:rsidRPr="00450C09" w:rsidRDefault="00450C09" w:rsidP="0022380D">
      <w:pPr>
        <w:pStyle w:val="NormalWeb"/>
        <w:spacing w:line="360" w:lineRule="auto"/>
        <w:ind w:firstLine="578"/>
        <w:jc w:val="both"/>
      </w:pPr>
      <w:r w:rsidRPr="00450C09">
        <w:t xml:space="preserve">El núcleo analítico del simulador está compuesto por tres modelos de machine </w:t>
      </w:r>
      <w:proofErr w:type="spellStart"/>
      <w:r w:rsidRPr="00450C09">
        <w:t>learning</w:t>
      </w:r>
      <w:proofErr w:type="spellEnd"/>
      <w:r w:rsidRPr="00450C09">
        <w:t xml:space="preserve"> que trabajan en secuencia para estimar las variables críticas de demanda que alimentan el motor financiero: la tasa de ocupación esperada, el precio óptimo por noche y la proyección estacional de los ingresos. Los tres modelos han sido entrenados con datos reales procedentes de </w:t>
      </w:r>
      <w:proofErr w:type="spellStart"/>
      <w:r w:rsidRPr="00450C09">
        <w:t>Inside</w:t>
      </w:r>
      <w:proofErr w:type="spellEnd"/>
      <w:r w:rsidRPr="00450C09">
        <w:t xml:space="preserve"> Airbnb para las ciudades de Madrid y Barcelona, fuente consolidada como estándar observacional en la literatura académica sobre alquiler turístico de corta duración (</w:t>
      </w:r>
      <w:proofErr w:type="spellStart"/>
      <w:r w:rsidRPr="00450C09">
        <w:t>Jiao</w:t>
      </w:r>
      <w:proofErr w:type="spellEnd"/>
      <w:r w:rsidRPr="00450C09">
        <w:t xml:space="preserve"> &amp; Bai, 2020).</w:t>
      </w:r>
    </w:p>
    <w:p w14:paraId="756F7D22" w14:textId="77777777" w:rsidR="00450C09" w:rsidRPr="00450C09" w:rsidRDefault="00450C09" w:rsidP="0022380D">
      <w:pPr>
        <w:pStyle w:val="NormalWeb"/>
        <w:spacing w:line="360" w:lineRule="auto"/>
        <w:ind w:firstLine="720"/>
        <w:jc w:val="both"/>
      </w:pPr>
      <w:r w:rsidRPr="00450C09">
        <w:t xml:space="preserve">Se utilizaron las extracciones de junio y septiembre de 2025 para ambas ciudades. La combinación de dos fechas distintas del mismo año se justifica metodológicamente con el objetivo de capturar la variabilidad de la oferta entre el inicio de la temporada alta estival y el cierre de </w:t>
      </w:r>
      <w:proofErr w:type="gramStart"/>
      <w:r w:rsidRPr="00450C09">
        <w:t>la misma</w:t>
      </w:r>
      <w:proofErr w:type="gramEnd"/>
      <w:r w:rsidRPr="00450C09">
        <w:t>, consolidando un conjunto de entrenamiento más robusto y representativo que el que ofrecería una única extracción puntual. Tras el proceso de limpieza y preprocesado descrito en el Capítulo 3, el conjunto de datos definitivo comprende 69 142 anuncios activos distribuidos entre ambas ciudades.</w:t>
      </w:r>
    </w:p>
    <w:p w14:paraId="51207869" w14:textId="77777777" w:rsidR="00450C09" w:rsidRPr="00450C09" w:rsidRDefault="00450C09" w:rsidP="003959D1">
      <w:pPr>
        <w:pStyle w:val="Ttulo3"/>
        <w:numPr>
          <w:ilvl w:val="0"/>
          <w:numId w:val="0"/>
        </w:numPr>
      </w:pPr>
      <w:bookmarkStart w:id="21" w:name="_Toc231829983"/>
      <w:r w:rsidRPr="00450C09">
        <w:lastRenderedPageBreak/>
        <w:t>4.1.1. Predicción de ocupación (</w:t>
      </w:r>
      <w:proofErr w:type="spellStart"/>
      <w:r w:rsidRPr="00450C09">
        <w:t>XGBoost</w:t>
      </w:r>
      <w:proofErr w:type="spellEnd"/>
      <w:r w:rsidRPr="00450C09">
        <w:t>)</w:t>
      </w:r>
      <w:bookmarkEnd w:id="21"/>
    </w:p>
    <w:p w14:paraId="65B8461C" w14:textId="69819A26" w:rsidR="00450C09" w:rsidRPr="00450C09" w:rsidRDefault="00450C09" w:rsidP="0022380D">
      <w:pPr>
        <w:pStyle w:val="NormalWeb"/>
        <w:spacing w:line="360" w:lineRule="auto"/>
        <w:ind w:firstLine="720"/>
        <w:jc w:val="both"/>
      </w:pPr>
      <w:r w:rsidRPr="00450C09">
        <w:t>El primer modelo tiene como objetivo predecir la tasa de ocupación anual de un inmueble de uso turístico a partir de sus características observables en el momento de la inversión.</w:t>
      </w:r>
      <w:r w:rsidR="0022380D">
        <w:t xml:space="preserve"> </w:t>
      </w:r>
      <w:r w:rsidRPr="00450C09">
        <w:t xml:space="preserve">Se seleccionó el algoritmo </w:t>
      </w:r>
      <w:proofErr w:type="spellStart"/>
      <w:r w:rsidRPr="00450C09">
        <w:t>XGBoost</w:t>
      </w:r>
      <w:proofErr w:type="spellEnd"/>
      <w:r w:rsidRPr="00450C09">
        <w:t xml:space="preserve"> (Extreme </w:t>
      </w:r>
      <w:proofErr w:type="spellStart"/>
      <w:r w:rsidRPr="00450C09">
        <w:t>Gradient</w:t>
      </w:r>
      <w:proofErr w:type="spellEnd"/>
      <w:r w:rsidRPr="00450C09">
        <w:t xml:space="preserve"> </w:t>
      </w:r>
      <w:proofErr w:type="spellStart"/>
      <w:r w:rsidRPr="00450C09">
        <w:t>Boosting</w:t>
      </w:r>
      <w:proofErr w:type="spellEnd"/>
      <w:r w:rsidRPr="00450C09">
        <w:t>) por su robustez empírica contrastada para modelar relaciones no lineales en datos inmobiliarios tabulares de naturaleza heterogénea, su capacidad para gestionar valores ausentes de forma nativa y su mecanismo de regularización L1 y L2 que previene el sobreajuste (Choy &amp; Ho, 2023).</w:t>
      </w:r>
    </w:p>
    <w:p w14:paraId="69668493" w14:textId="77777777" w:rsidR="00450C09" w:rsidRPr="00450C09" w:rsidRDefault="00450C09" w:rsidP="003959D1">
      <w:pPr>
        <w:pStyle w:val="NormalWeb"/>
        <w:spacing w:line="360" w:lineRule="auto"/>
        <w:ind w:firstLine="720"/>
        <w:jc w:val="both"/>
      </w:pPr>
      <w:r w:rsidRPr="00450C09">
        <w:t xml:space="preserve">Durante la fase de preparación de los datos se detectó un problema crítico de data </w:t>
      </w:r>
      <w:proofErr w:type="spellStart"/>
      <w:r w:rsidRPr="00450C09">
        <w:t>leakage</w:t>
      </w:r>
      <w:proofErr w:type="spellEnd"/>
      <w:r w:rsidRPr="00450C09">
        <w:t xml:space="preserve"> (fuga de información). Las variables correspondientes al volumen de reseñas mensuales y anuales concentraban el 76 % de la importancia predictiva del modelo en su primera versión. Este resultado no refleja capacidad predictiva genuina sino una contaminación metodológica: </w:t>
      </w:r>
      <w:proofErr w:type="spellStart"/>
      <w:r w:rsidRPr="00450C09">
        <w:t>Inside</w:t>
      </w:r>
      <w:proofErr w:type="spellEnd"/>
      <w:r w:rsidRPr="00450C09">
        <w:t xml:space="preserve"> Airbnb estima la ocupación de cada anuncio mediante el denominado Modelo de San Francisco, que multiplica el número de reseñas recibidas por un factor corrector. Incluir las reseñas como variables predictoras equivale a introducir indirectamente la variable objetivo en el modelo, invalidando su utilidad como herramienta de evaluación previa a la inversión. Una vez identificado y corregido este problema, el conjunto de </w:t>
      </w:r>
      <w:proofErr w:type="spellStart"/>
      <w:r w:rsidRPr="00450C09">
        <w:t>features</w:t>
      </w:r>
      <w:proofErr w:type="spellEnd"/>
      <w:r w:rsidRPr="00450C09">
        <w:t xml:space="preserve"> definitivo quedó compuesto exclusivamente por características del inmueble conocidas con anterioridad al inicio de la explotación comercial: ciudad, barrio, tipo de alojamiento, número de huéspedes, habitaciones, baños, camas, precio por noche, noches mínimas requeridas, disponibilidad anual, condición de </w:t>
      </w:r>
      <w:proofErr w:type="spellStart"/>
      <w:r w:rsidRPr="00450C09">
        <w:t>superhost</w:t>
      </w:r>
      <w:proofErr w:type="spellEnd"/>
      <w:r w:rsidRPr="00450C09">
        <w:t>, número de anuncios del host, modalidad de reserva instantánea y puntuaciones de valoración. Esta decisión metodológica es coherente con el objetivo del simulador: predecir el comportamiento esperado del activo a partir de información disponible en el momento de la decisión de compra, no de resultados históricos de explotación.</w:t>
      </w:r>
    </w:p>
    <w:p w14:paraId="1CF8E487" w14:textId="77777777" w:rsidR="00450C09" w:rsidRPr="00450C09" w:rsidRDefault="00450C09" w:rsidP="003959D1">
      <w:pPr>
        <w:pStyle w:val="NormalWeb"/>
        <w:spacing w:line="360" w:lineRule="auto"/>
        <w:ind w:firstLine="720"/>
        <w:jc w:val="both"/>
      </w:pPr>
      <w:r w:rsidRPr="00450C09">
        <w:t>El modelo fue entrenado con 42 462 registros y evaluado sobre 10 616, obteniendo los resultados que se recogen en la Tabla 1.</w:t>
      </w:r>
    </w:p>
    <w:p w14:paraId="1363E2D1" w14:textId="77777777" w:rsidR="00450C09" w:rsidRPr="00450C09" w:rsidRDefault="00450C09" w:rsidP="003959D1">
      <w:pPr>
        <w:pStyle w:val="NormalWeb"/>
        <w:spacing w:line="360" w:lineRule="auto"/>
        <w:jc w:val="both"/>
      </w:pPr>
      <w:r w:rsidRPr="00450C09">
        <w:t xml:space="preserve">Tabla 1. Métricas de evaluación del modelo </w:t>
      </w:r>
      <w:proofErr w:type="spellStart"/>
      <w:r w:rsidRPr="00450C09">
        <w:t>XGBoost</w:t>
      </w:r>
      <w:proofErr w:type="spellEnd"/>
      <w:r w:rsidRPr="00450C09">
        <w:t xml:space="preserve"> de predicción de ocupación.</w:t>
      </w:r>
    </w:p>
    <w:tbl>
      <w:tblPr>
        <w:tblStyle w:val="Tablaconcuadrcula"/>
        <w:tblW w:w="0" w:type="auto"/>
        <w:jc w:val="center"/>
        <w:tblLook w:val="04A0" w:firstRow="1" w:lastRow="0" w:firstColumn="1" w:lastColumn="0" w:noHBand="0" w:noVBand="1"/>
      </w:tblPr>
      <w:tblGrid>
        <w:gridCol w:w="3913"/>
        <w:gridCol w:w="3326"/>
      </w:tblGrid>
      <w:tr w:rsidR="00450C09" w:rsidRPr="00450C09" w14:paraId="4431F797" w14:textId="77777777" w:rsidTr="00450C09">
        <w:trPr>
          <w:jc w:val="center"/>
        </w:trPr>
        <w:tc>
          <w:tcPr>
            <w:tcW w:w="0" w:type="auto"/>
            <w:hideMark/>
          </w:tcPr>
          <w:p w14:paraId="7A01223F" w14:textId="77777777" w:rsidR="00450C09" w:rsidRPr="00450C09" w:rsidRDefault="00450C09" w:rsidP="003959D1">
            <w:pPr>
              <w:spacing w:line="360" w:lineRule="auto"/>
              <w:ind w:firstLine="0"/>
              <w:jc w:val="center"/>
              <w:rPr>
                <w:rFonts w:cs="Times New Roman"/>
                <w:b/>
                <w:bCs/>
                <w:sz w:val="22"/>
                <w:szCs w:val="22"/>
              </w:rPr>
            </w:pPr>
            <w:r w:rsidRPr="00450C09">
              <w:rPr>
                <w:rFonts w:cs="Times New Roman"/>
                <w:b/>
                <w:bCs/>
                <w:sz w:val="22"/>
                <w:szCs w:val="22"/>
              </w:rPr>
              <w:lastRenderedPageBreak/>
              <w:t>Métrica</w:t>
            </w:r>
          </w:p>
        </w:tc>
        <w:tc>
          <w:tcPr>
            <w:tcW w:w="0" w:type="auto"/>
            <w:hideMark/>
          </w:tcPr>
          <w:p w14:paraId="188BBF2E" w14:textId="77777777" w:rsidR="00450C09" w:rsidRPr="00450C09" w:rsidRDefault="00450C09" w:rsidP="003959D1">
            <w:pPr>
              <w:spacing w:line="360" w:lineRule="auto"/>
              <w:ind w:firstLine="0"/>
              <w:jc w:val="center"/>
              <w:rPr>
                <w:rFonts w:cs="Times New Roman"/>
                <w:b/>
                <w:bCs/>
                <w:sz w:val="22"/>
                <w:szCs w:val="22"/>
              </w:rPr>
            </w:pPr>
            <w:r w:rsidRPr="00450C09">
              <w:rPr>
                <w:rFonts w:cs="Times New Roman"/>
                <w:b/>
                <w:bCs/>
                <w:sz w:val="22"/>
                <w:szCs w:val="22"/>
              </w:rPr>
              <w:t>Valor</w:t>
            </w:r>
          </w:p>
        </w:tc>
      </w:tr>
      <w:tr w:rsidR="00450C09" w:rsidRPr="00450C09" w14:paraId="61A599CE" w14:textId="77777777" w:rsidTr="00450C09">
        <w:trPr>
          <w:jc w:val="center"/>
        </w:trPr>
        <w:tc>
          <w:tcPr>
            <w:tcW w:w="0" w:type="auto"/>
            <w:hideMark/>
          </w:tcPr>
          <w:p w14:paraId="4BF43851"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MAE (Error Absoluto Medio)</w:t>
            </w:r>
          </w:p>
        </w:tc>
        <w:tc>
          <w:tcPr>
            <w:tcW w:w="0" w:type="auto"/>
            <w:hideMark/>
          </w:tcPr>
          <w:p w14:paraId="73215ACF"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0,1298 (12,98 puntos porcentuales)</w:t>
            </w:r>
          </w:p>
        </w:tc>
      </w:tr>
      <w:tr w:rsidR="00450C09" w:rsidRPr="00450C09" w14:paraId="1CD78886" w14:textId="77777777" w:rsidTr="00450C09">
        <w:trPr>
          <w:jc w:val="center"/>
        </w:trPr>
        <w:tc>
          <w:tcPr>
            <w:tcW w:w="0" w:type="auto"/>
            <w:hideMark/>
          </w:tcPr>
          <w:p w14:paraId="290A4F2D"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RMSE (Raíz del Error Cuadrático Medio)</w:t>
            </w:r>
          </w:p>
        </w:tc>
        <w:tc>
          <w:tcPr>
            <w:tcW w:w="0" w:type="auto"/>
            <w:hideMark/>
          </w:tcPr>
          <w:p w14:paraId="0B8C34F0"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0,1662</w:t>
            </w:r>
          </w:p>
        </w:tc>
      </w:tr>
      <w:tr w:rsidR="00450C09" w:rsidRPr="00450C09" w14:paraId="4D84244B" w14:textId="77777777" w:rsidTr="00450C09">
        <w:trPr>
          <w:jc w:val="center"/>
        </w:trPr>
        <w:tc>
          <w:tcPr>
            <w:tcW w:w="0" w:type="auto"/>
            <w:hideMark/>
          </w:tcPr>
          <w:p w14:paraId="139D2C0A"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R² (Coeficiente de determinación)</w:t>
            </w:r>
          </w:p>
        </w:tc>
        <w:tc>
          <w:tcPr>
            <w:tcW w:w="0" w:type="auto"/>
            <w:hideMark/>
          </w:tcPr>
          <w:p w14:paraId="0FAF2752"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0,597</w:t>
            </w:r>
          </w:p>
        </w:tc>
      </w:tr>
    </w:tbl>
    <w:p w14:paraId="6171313A" w14:textId="77777777" w:rsidR="00450C09" w:rsidRPr="00450C09" w:rsidRDefault="00450C09" w:rsidP="003959D1">
      <w:pPr>
        <w:pStyle w:val="NormalWeb"/>
        <w:spacing w:line="360" w:lineRule="auto"/>
        <w:jc w:val="both"/>
      </w:pPr>
      <w:r w:rsidRPr="00450C09">
        <w:rPr>
          <w:rStyle w:val="nfasis"/>
        </w:rPr>
        <w:t xml:space="preserve">Fuente: elaboración propia a partir de datos de </w:t>
      </w:r>
      <w:proofErr w:type="spellStart"/>
      <w:r w:rsidRPr="00450C09">
        <w:rPr>
          <w:rStyle w:val="nfasis"/>
        </w:rPr>
        <w:t>Inside</w:t>
      </w:r>
      <w:proofErr w:type="spellEnd"/>
      <w:r w:rsidRPr="00450C09">
        <w:rPr>
          <w:rStyle w:val="nfasis"/>
        </w:rPr>
        <w:t xml:space="preserve"> Airbnb (2025).</w:t>
      </w:r>
    </w:p>
    <w:p w14:paraId="4E7A720F" w14:textId="77777777" w:rsidR="00450C09" w:rsidRPr="00450C09" w:rsidRDefault="00450C09" w:rsidP="003959D1">
      <w:pPr>
        <w:pStyle w:val="NormalWeb"/>
        <w:spacing w:line="360" w:lineRule="auto"/>
        <w:ind w:firstLine="720"/>
        <w:jc w:val="both"/>
      </w:pPr>
      <w:r w:rsidRPr="00450C09">
        <w:t xml:space="preserve">El modelo explica el 59,7 % de la variabilidad de la tasa de ocupación a partir de las características observables del inmueble. El error medio de 13 puntos porcentuales es razonable dado que la ocupación depende también de factores no observables en el </w:t>
      </w:r>
      <w:proofErr w:type="spellStart"/>
      <w:r w:rsidRPr="00450C09">
        <w:t>dataset</w:t>
      </w:r>
      <w:proofErr w:type="spellEnd"/>
      <w:r w:rsidRPr="00450C09">
        <w:t xml:space="preserve">, como la calidad fotográfica del anuncio, el algoritmo de posicionamiento de la plataforma o la estrategia de precios dinámica del propietario. Las variables con mayor importancia resultaron ser la condición de </w:t>
      </w:r>
      <w:proofErr w:type="spellStart"/>
      <w:r w:rsidRPr="00450C09">
        <w:t>superhost</w:t>
      </w:r>
      <w:proofErr w:type="spellEnd"/>
      <w:r w:rsidRPr="00450C09">
        <w:t xml:space="preserve"> (36,5 %), la puntuación de ubicación (10,9 %) y la valoración general del anuncio (6,9 %), resultados coherentes con la literatura sobre determinantes de la demanda en el mercado de alquiler turístico (Magno et al., 2018).</w:t>
      </w:r>
    </w:p>
    <w:p w14:paraId="4A768A2E" w14:textId="77777777" w:rsidR="00450C09" w:rsidRPr="00450C09" w:rsidRDefault="00450C09" w:rsidP="003959D1">
      <w:pPr>
        <w:pStyle w:val="Ttulo3"/>
        <w:numPr>
          <w:ilvl w:val="0"/>
          <w:numId w:val="0"/>
        </w:numPr>
      </w:pPr>
      <w:bookmarkStart w:id="22" w:name="_Toc231829984"/>
      <w:r w:rsidRPr="00450C09">
        <w:t>4.1.2. Predicción de precio óptimo por noche (</w:t>
      </w:r>
      <w:proofErr w:type="spellStart"/>
      <w:r w:rsidRPr="00450C09">
        <w:t>Random</w:t>
      </w:r>
      <w:proofErr w:type="spellEnd"/>
      <w:r w:rsidRPr="00450C09">
        <w:t xml:space="preserve"> Forest)</w:t>
      </w:r>
      <w:bookmarkEnd w:id="22"/>
    </w:p>
    <w:p w14:paraId="409FF3A8" w14:textId="77777777" w:rsidR="00450C09" w:rsidRPr="00450C09" w:rsidRDefault="00450C09" w:rsidP="003959D1">
      <w:pPr>
        <w:pStyle w:val="NormalWeb"/>
        <w:spacing w:line="360" w:lineRule="auto"/>
        <w:ind w:firstLine="720"/>
        <w:jc w:val="both"/>
      </w:pPr>
      <w:r w:rsidRPr="00450C09">
        <w:t xml:space="preserve">El segundo modelo tiene como objetivo estimar el precio óptimo por noche para un inmueble dado, entendido como el precio que el mercado soporta para activos con características similares en la misma zona geográfica. Se implementó el algoritmo </w:t>
      </w:r>
      <w:proofErr w:type="spellStart"/>
      <w:r w:rsidRPr="00450C09">
        <w:t>Random</w:t>
      </w:r>
      <w:proofErr w:type="spellEnd"/>
      <w:r w:rsidRPr="00450C09">
        <w:t xml:space="preserve"> Forest, basado en el ensamblado de árboles de decisión mediante </w:t>
      </w:r>
      <w:proofErr w:type="spellStart"/>
      <w:r w:rsidRPr="00450C09">
        <w:t>bagging</w:t>
      </w:r>
      <w:proofErr w:type="spellEnd"/>
      <w:r w:rsidRPr="00450C09">
        <w:t xml:space="preserve"> con selección aleatoria de variables en cada nodo. Su elección se justifica por su robustez frente a valores atípicos y su capacidad para capturar relaciones no lineales entre las características del inmueble y el precio de mercado, propiedades ampliamente documentadas en la literatura sobre valoración de activos turísticos (Pérez-Sánchez et al., 2018; Choy &amp; Ho, 2023).</w:t>
      </w:r>
    </w:p>
    <w:p w14:paraId="535351EA" w14:textId="77777777" w:rsidR="00450C09" w:rsidRPr="00450C09" w:rsidRDefault="00450C09" w:rsidP="003959D1">
      <w:pPr>
        <w:pStyle w:val="NormalWeb"/>
        <w:spacing w:line="360" w:lineRule="auto"/>
        <w:ind w:firstLine="720"/>
        <w:jc w:val="both"/>
      </w:pPr>
      <w:r w:rsidRPr="00450C09">
        <w:t xml:space="preserve">Previo al entrenamiento, se aplicó un filtro de exclusión para los inmuebles cuyo precio superaba el percentil 99 de la distribución, equivalente a 719 EUR por noche. Esta decisión se justifica para eliminar el segmento de alojamiento de lujo extremo o registros anómalos cuya presencia distorsionaría la estimación del precio de un VUT estándar de inversión residencial, que constituye el perfil objetivo del simulador. El conjunto de </w:t>
      </w:r>
      <w:r w:rsidRPr="00450C09">
        <w:lastRenderedPageBreak/>
        <w:t>entrenamiento quedó compuesto por 42 037 registros y el de evaluación por 10 510. Los resultados se presentan en la Tabla 2.</w:t>
      </w:r>
    </w:p>
    <w:p w14:paraId="3E7A6EB3" w14:textId="77777777" w:rsidR="00450C09" w:rsidRPr="00450C09" w:rsidRDefault="00450C09" w:rsidP="003959D1">
      <w:pPr>
        <w:pStyle w:val="NormalWeb"/>
        <w:spacing w:line="360" w:lineRule="auto"/>
        <w:jc w:val="both"/>
      </w:pPr>
      <w:r w:rsidRPr="00450C09">
        <w:t xml:space="preserve">Tabla 2. Métricas de evaluación del modelo </w:t>
      </w:r>
      <w:proofErr w:type="spellStart"/>
      <w:r w:rsidRPr="00450C09">
        <w:t>Random</w:t>
      </w:r>
      <w:proofErr w:type="spellEnd"/>
      <w:r w:rsidRPr="00450C09">
        <w:t xml:space="preserve"> Forest de predicción de precio por noche.</w:t>
      </w:r>
    </w:p>
    <w:tbl>
      <w:tblPr>
        <w:tblStyle w:val="Tablaconcuadrcula"/>
        <w:tblW w:w="0" w:type="auto"/>
        <w:jc w:val="center"/>
        <w:tblLook w:val="04A0" w:firstRow="1" w:lastRow="0" w:firstColumn="1" w:lastColumn="0" w:noHBand="0" w:noVBand="1"/>
      </w:tblPr>
      <w:tblGrid>
        <w:gridCol w:w="961"/>
        <w:gridCol w:w="1206"/>
      </w:tblGrid>
      <w:tr w:rsidR="00450C09" w:rsidRPr="00450C09" w14:paraId="24F908AF" w14:textId="77777777" w:rsidTr="00450C09">
        <w:trPr>
          <w:jc w:val="center"/>
        </w:trPr>
        <w:tc>
          <w:tcPr>
            <w:tcW w:w="0" w:type="auto"/>
            <w:hideMark/>
          </w:tcPr>
          <w:p w14:paraId="79F5AA0E" w14:textId="77777777" w:rsidR="00450C09" w:rsidRPr="00450C09" w:rsidRDefault="00450C09" w:rsidP="003959D1">
            <w:pPr>
              <w:spacing w:line="360" w:lineRule="auto"/>
              <w:ind w:firstLine="0"/>
              <w:rPr>
                <w:rFonts w:cs="Times New Roman"/>
                <w:b/>
                <w:bCs/>
                <w:sz w:val="22"/>
                <w:szCs w:val="22"/>
              </w:rPr>
            </w:pPr>
            <w:r w:rsidRPr="00450C09">
              <w:rPr>
                <w:rFonts w:cs="Times New Roman"/>
                <w:b/>
                <w:bCs/>
                <w:sz w:val="22"/>
                <w:szCs w:val="22"/>
              </w:rPr>
              <w:t>Métrica</w:t>
            </w:r>
          </w:p>
        </w:tc>
        <w:tc>
          <w:tcPr>
            <w:tcW w:w="0" w:type="auto"/>
            <w:hideMark/>
          </w:tcPr>
          <w:p w14:paraId="6089E3E7" w14:textId="77777777" w:rsidR="00450C09" w:rsidRPr="00450C09" w:rsidRDefault="00450C09" w:rsidP="003959D1">
            <w:pPr>
              <w:spacing w:line="360" w:lineRule="auto"/>
              <w:ind w:firstLine="0"/>
              <w:rPr>
                <w:rFonts w:cs="Times New Roman"/>
                <w:b/>
                <w:bCs/>
                <w:sz w:val="22"/>
                <w:szCs w:val="22"/>
              </w:rPr>
            </w:pPr>
            <w:r w:rsidRPr="00450C09">
              <w:rPr>
                <w:rFonts w:cs="Times New Roman"/>
                <w:b/>
                <w:bCs/>
                <w:sz w:val="22"/>
                <w:szCs w:val="22"/>
              </w:rPr>
              <w:t>Valor</w:t>
            </w:r>
          </w:p>
        </w:tc>
      </w:tr>
      <w:tr w:rsidR="00450C09" w:rsidRPr="00450C09" w14:paraId="609BDB8C" w14:textId="77777777" w:rsidTr="00450C09">
        <w:trPr>
          <w:jc w:val="center"/>
        </w:trPr>
        <w:tc>
          <w:tcPr>
            <w:tcW w:w="0" w:type="auto"/>
            <w:hideMark/>
          </w:tcPr>
          <w:p w14:paraId="00CEED68"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MAE</w:t>
            </w:r>
          </w:p>
        </w:tc>
        <w:tc>
          <w:tcPr>
            <w:tcW w:w="0" w:type="auto"/>
            <w:hideMark/>
          </w:tcPr>
          <w:p w14:paraId="1D765B5E"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37,85 EUR</w:t>
            </w:r>
          </w:p>
        </w:tc>
      </w:tr>
      <w:tr w:rsidR="00450C09" w:rsidRPr="00450C09" w14:paraId="262F9CC9" w14:textId="77777777" w:rsidTr="00450C09">
        <w:trPr>
          <w:jc w:val="center"/>
        </w:trPr>
        <w:tc>
          <w:tcPr>
            <w:tcW w:w="0" w:type="auto"/>
            <w:hideMark/>
          </w:tcPr>
          <w:p w14:paraId="56426A41"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RMSE</w:t>
            </w:r>
          </w:p>
        </w:tc>
        <w:tc>
          <w:tcPr>
            <w:tcW w:w="0" w:type="auto"/>
            <w:hideMark/>
          </w:tcPr>
          <w:p w14:paraId="4CF3206C"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59,54 EUR</w:t>
            </w:r>
          </w:p>
        </w:tc>
      </w:tr>
      <w:tr w:rsidR="00450C09" w:rsidRPr="00450C09" w14:paraId="72F7FFB7" w14:textId="77777777" w:rsidTr="00450C09">
        <w:trPr>
          <w:jc w:val="center"/>
        </w:trPr>
        <w:tc>
          <w:tcPr>
            <w:tcW w:w="0" w:type="auto"/>
            <w:hideMark/>
          </w:tcPr>
          <w:p w14:paraId="0B9EA4CA"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R²</w:t>
            </w:r>
          </w:p>
        </w:tc>
        <w:tc>
          <w:tcPr>
            <w:tcW w:w="0" w:type="auto"/>
            <w:hideMark/>
          </w:tcPr>
          <w:p w14:paraId="60247DB9" w14:textId="77777777" w:rsidR="00450C09" w:rsidRPr="00450C09" w:rsidRDefault="00450C09" w:rsidP="003959D1">
            <w:pPr>
              <w:spacing w:line="360" w:lineRule="auto"/>
              <w:ind w:firstLine="0"/>
              <w:rPr>
                <w:rFonts w:cs="Times New Roman"/>
                <w:sz w:val="22"/>
                <w:szCs w:val="22"/>
              </w:rPr>
            </w:pPr>
            <w:r w:rsidRPr="00450C09">
              <w:rPr>
                <w:rFonts w:cs="Times New Roman"/>
                <w:sz w:val="22"/>
                <w:szCs w:val="22"/>
              </w:rPr>
              <w:t>0,696</w:t>
            </w:r>
          </w:p>
        </w:tc>
      </w:tr>
    </w:tbl>
    <w:p w14:paraId="2F1A03B2" w14:textId="77777777" w:rsidR="00450C09" w:rsidRPr="00450C09" w:rsidRDefault="00450C09" w:rsidP="003959D1">
      <w:pPr>
        <w:pStyle w:val="NormalWeb"/>
        <w:spacing w:line="360" w:lineRule="auto"/>
        <w:jc w:val="both"/>
      </w:pPr>
      <w:r w:rsidRPr="00450C09">
        <w:rPr>
          <w:rStyle w:val="nfasis"/>
        </w:rPr>
        <w:t xml:space="preserve">Fuente: elaboración propia a partir de datos de </w:t>
      </w:r>
      <w:proofErr w:type="spellStart"/>
      <w:r w:rsidRPr="00450C09">
        <w:rPr>
          <w:rStyle w:val="nfasis"/>
        </w:rPr>
        <w:t>Inside</w:t>
      </w:r>
      <w:proofErr w:type="spellEnd"/>
      <w:r w:rsidRPr="00450C09">
        <w:rPr>
          <w:rStyle w:val="nfasis"/>
        </w:rPr>
        <w:t xml:space="preserve"> Airbnb (2025).</w:t>
      </w:r>
    </w:p>
    <w:p w14:paraId="140C9304" w14:textId="77777777" w:rsidR="00450C09" w:rsidRPr="00450C09" w:rsidRDefault="00450C09" w:rsidP="003959D1">
      <w:pPr>
        <w:pStyle w:val="NormalWeb"/>
        <w:spacing w:line="360" w:lineRule="auto"/>
        <w:ind w:firstLine="720"/>
        <w:jc w:val="both"/>
      </w:pPr>
      <w:r w:rsidRPr="00450C09">
        <w:t xml:space="preserve">El modelo explica el 69,6 % de la variabilidad del precio por noche a partir de las características observables del inmueble. El error medio de 37,85 EUR sobre un precio mediano de mercado de 117 EUR representa un error relativo del 32 %, razonable dado que el precio depende también de factores no capturados por el modelo, como la estrategia de </w:t>
      </w:r>
      <w:proofErr w:type="spellStart"/>
      <w:r w:rsidRPr="00450C09">
        <w:t>pricing</w:t>
      </w:r>
      <w:proofErr w:type="spellEnd"/>
      <w:r w:rsidRPr="00450C09">
        <w:t xml:space="preserve"> dinámico del propietario o la calidad del contenido visual del anuncio. El análisis de importancia de variables confirmó que el tamaño del inmueble es el </w:t>
      </w:r>
      <w:proofErr w:type="gramStart"/>
      <w:r w:rsidRPr="00450C09">
        <w:t>predictor dominante</w:t>
      </w:r>
      <w:proofErr w:type="gramEnd"/>
      <w:r w:rsidRPr="00450C09">
        <w:t>: el número de huéspedes (18,7 %), habitaciones (13,6 %) y camas (9,6 %) acumulan conjuntamente más del 42 % de la importancia total, en línea con los hallazgos de Pérez-Sánchez et al. (2018).</w:t>
      </w:r>
    </w:p>
    <w:p w14:paraId="4170C1A4" w14:textId="77777777" w:rsidR="00450C09" w:rsidRPr="00450C09" w:rsidRDefault="00450C09" w:rsidP="003959D1">
      <w:pPr>
        <w:pStyle w:val="Ttulo3"/>
        <w:numPr>
          <w:ilvl w:val="0"/>
          <w:numId w:val="0"/>
        </w:numPr>
      </w:pPr>
      <w:bookmarkStart w:id="23" w:name="_Toc231829985"/>
      <w:r w:rsidRPr="00450C09">
        <w:t>4.1.3. Proyección de estacionalidad (</w:t>
      </w:r>
      <w:proofErr w:type="spellStart"/>
      <w:r w:rsidRPr="00450C09">
        <w:t>Prophet</w:t>
      </w:r>
      <w:proofErr w:type="spellEnd"/>
      <w:r w:rsidRPr="00450C09">
        <w:t>)</w:t>
      </w:r>
      <w:bookmarkEnd w:id="23"/>
    </w:p>
    <w:p w14:paraId="1DC18B78" w14:textId="77777777" w:rsidR="00450C09" w:rsidRPr="00450C09" w:rsidRDefault="00450C09" w:rsidP="003959D1">
      <w:pPr>
        <w:pStyle w:val="NormalWeb"/>
        <w:spacing w:line="360" w:lineRule="auto"/>
        <w:ind w:firstLine="578"/>
        <w:jc w:val="both"/>
      </w:pPr>
      <w:r w:rsidRPr="00450C09">
        <w:t xml:space="preserve">El tercer modelo aborda la dimensión temporal de los ingresos, incorporando al simulador la variabilidad estacional característica del mercado turístico. Se utilizó </w:t>
      </w:r>
      <w:proofErr w:type="spellStart"/>
      <w:r w:rsidRPr="00450C09">
        <w:t>Prophet</w:t>
      </w:r>
      <w:proofErr w:type="spellEnd"/>
      <w:r w:rsidRPr="00450C09">
        <w:t xml:space="preserve">, un modelo de predicción de series temporales desarrollado por Meta </w:t>
      </w:r>
      <w:proofErr w:type="spellStart"/>
      <w:r w:rsidRPr="00450C09">
        <w:t>Research</w:t>
      </w:r>
      <w:proofErr w:type="spellEnd"/>
      <w:r w:rsidRPr="00450C09">
        <w:t xml:space="preserve">, diseñado específicamente para series con patrones de estacionalidad múltiple y efectos de calendario (Taylor &amp; </w:t>
      </w:r>
      <w:proofErr w:type="spellStart"/>
      <w:r w:rsidRPr="00450C09">
        <w:t>Letham</w:t>
      </w:r>
      <w:proofErr w:type="spellEnd"/>
      <w:r w:rsidRPr="00450C09">
        <w:t>, 2018). Su elección frente a modelos clásicos como ARIMA se fundamenta en su capacidad nativa para modelar simultáneamente la estacionalidad anual y semanal, y para integrar de forma aditiva los efectos de días festivos nacionales, aspecto crítico para el sector turístico.</w:t>
      </w:r>
    </w:p>
    <w:p w14:paraId="25103ABC" w14:textId="77777777" w:rsidR="00450C09" w:rsidRDefault="00450C09" w:rsidP="003959D1">
      <w:pPr>
        <w:pStyle w:val="NormalWeb"/>
        <w:spacing w:line="360" w:lineRule="auto"/>
        <w:ind w:firstLine="578"/>
        <w:jc w:val="both"/>
      </w:pPr>
      <w:r w:rsidRPr="00450C09">
        <w:lastRenderedPageBreak/>
        <w:t xml:space="preserve">Los datos de entrenamiento se obtuvieron de los archivos de calendario de </w:t>
      </w:r>
      <w:proofErr w:type="spellStart"/>
      <w:r w:rsidRPr="00450C09">
        <w:t>Inside</w:t>
      </w:r>
      <w:proofErr w:type="spellEnd"/>
      <w:r w:rsidRPr="00450C09">
        <w:t xml:space="preserve"> Airbnb para Madrid y Barcelona, que registran la disponibilidad diaria de cada anuncio. A partir de 28 millones de registros de disponibilidad diaria, se construyeron series temporales de ocupación media diaria para cada ciudad, filtrando fechas desde enero de 2024. Las series resultantes comprenden 447 días para Madrid y 449 días para Barcelona. El modelo se configuró con estacionalidad anual y semanal en modo multiplicativo, incorporando los festivos nacionales de España mediante la función nativa de </w:t>
      </w:r>
      <w:proofErr w:type="spellStart"/>
      <w:r w:rsidRPr="00450C09">
        <w:t>Prophet</w:t>
      </w:r>
      <w:proofErr w:type="spellEnd"/>
      <w:r w:rsidRPr="00450C09">
        <w:t>. Evaluado sobre los últimos 60 días de cada serie, el modelo obtuvo un MAE de 11,4 puntos porcentuales para Madrid y de 12,1 puntos porcentuales para Barcelona. La proyección cubre un horizonte de 12 meses hacia adelante y es utilizada en el simulador para mostrar al usuario la evolución esperada de la ocupación a lo largo del año, diferenciando los periodos de temporada alta y baja mediante un gráfico interactivo con intervalo de confianza estadístico.</w:t>
      </w:r>
    </w:p>
    <w:p w14:paraId="4A19681C" w14:textId="77777777" w:rsidR="00877031" w:rsidRPr="00450C09" w:rsidRDefault="00877031" w:rsidP="003959D1">
      <w:pPr>
        <w:pStyle w:val="NormalWeb"/>
        <w:spacing w:line="360" w:lineRule="auto"/>
        <w:ind w:firstLine="578"/>
        <w:jc w:val="both"/>
      </w:pPr>
    </w:p>
    <w:p w14:paraId="7AAA045A" w14:textId="77777777" w:rsidR="00450C09" w:rsidRPr="00450C09" w:rsidRDefault="00450C09" w:rsidP="003959D1">
      <w:pPr>
        <w:pStyle w:val="Ttulo2"/>
        <w:numPr>
          <w:ilvl w:val="0"/>
          <w:numId w:val="0"/>
        </w:numPr>
        <w:ind w:left="578" w:hanging="578"/>
      </w:pPr>
      <w:bookmarkStart w:id="24" w:name="_Toc231829986"/>
      <w:r w:rsidRPr="00450C09">
        <w:t>4.2. Motor de escenarios financieros</w:t>
      </w:r>
      <w:bookmarkEnd w:id="24"/>
    </w:p>
    <w:p w14:paraId="6775EA87" w14:textId="77777777" w:rsidR="00450C09" w:rsidRPr="00450C09" w:rsidRDefault="00450C09" w:rsidP="003959D1">
      <w:pPr>
        <w:pStyle w:val="NormalWeb"/>
        <w:spacing w:line="360" w:lineRule="auto"/>
        <w:ind w:firstLine="578"/>
        <w:jc w:val="both"/>
      </w:pPr>
      <w:r w:rsidRPr="00450C09">
        <w:t xml:space="preserve">El motor de escenarios financieros es el componente central del simulador desde el punto de vista de la toma de decisiones de inversión. Su función es transformar las predicciones de los modelos de machine </w:t>
      </w:r>
      <w:proofErr w:type="spellStart"/>
      <w:r w:rsidRPr="00450C09">
        <w:t>learning</w:t>
      </w:r>
      <w:proofErr w:type="spellEnd"/>
      <w:r w:rsidRPr="00450C09">
        <w:t xml:space="preserve"> y los parámetros introducidos por el usuario en un conjunto estructurado de indicadores económico-financieros que permitan evaluar la viabilidad de la inversión bajo diferentes hipótesis de mercado.</w:t>
      </w:r>
    </w:p>
    <w:p w14:paraId="31B32438" w14:textId="77777777" w:rsidR="00450C09" w:rsidRPr="00450C09" w:rsidRDefault="00450C09" w:rsidP="003959D1">
      <w:pPr>
        <w:pStyle w:val="NormalWeb"/>
        <w:spacing w:line="360" w:lineRule="auto"/>
        <w:ind w:firstLine="720"/>
        <w:jc w:val="both"/>
      </w:pPr>
      <w:r w:rsidRPr="00450C09">
        <w:t>Para dotar al sistema de capacidad de stress-</w:t>
      </w:r>
      <w:proofErr w:type="spellStart"/>
      <w:r w:rsidRPr="00450C09">
        <w:t>testing</w:t>
      </w:r>
      <w:proofErr w:type="spellEnd"/>
      <w:r w:rsidRPr="00450C09">
        <w:t>, el motor calcula simultáneamente tres escenarios aplicando factores de ajuste sobre las variables de ingresos, costes y ocupación respecto al escenario base o neutro, tal y como se recoge en la Tabla 3.</w:t>
      </w:r>
    </w:p>
    <w:p w14:paraId="408156C1" w14:textId="77777777" w:rsidR="00450C09" w:rsidRPr="00450C09" w:rsidRDefault="00450C09" w:rsidP="003959D1">
      <w:pPr>
        <w:pStyle w:val="NormalWeb"/>
        <w:spacing w:line="360" w:lineRule="auto"/>
        <w:jc w:val="both"/>
      </w:pPr>
      <w:r w:rsidRPr="00450C09">
        <w:t>Tabla 3. Factores de ajuste por escenario financiero.</w:t>
      </w:r>
    </w:p>
    <w:tbl>
      <w:tblPr>
        <w:tblStyle w:val="Tablaconcuadrcula"/>
        <w:tblW w:w="0" w:type="auto"/>
        <w:jc w:val="center"/>
        <w:tblLook w:val="04A0" w:firstRow="1" w:lastRow="0" w:firstColumn="1" w:lastColumn="0" w:noHBand="0" w:noVBand="1"/>
      </w:tblPr>
      <w:tblGrid>
        <w:gridCol w:w="1230"/>
        <w:gridCol w:w="1796"/>
        <w:gridCol w:w="1556"/>
        <w:gridCol w:w="1996"/>
      </w:tblGrid>
      <w:tr w:rsidR="00450C09" w:rsidRPr="00450C09" w14:paraId="18C25FAF" w14:textId="77777777" w:rsidTr="00450C09">
        <w:trPr>
          <w:jc w:val="center"/>
        </w:trPr>
        <w:tc>
          <w:tcPr>
            <w:tcW w:w="0" w:type="auto"/>
            <w:hideMark/>
          </w:tcPr>
          <w:p w14:paraId="3CE9FEDC" w14:textId="77777777" w:rsidR="00450C09" w:rsidRPr="00450C09" w:rsidRDefault="00450C09" w:rsidP="003959D1">
            <w:pPr>
              <w:spacing w:line="360" w:lineRule="auto"/>
              <w:ind w:firstLine="0"/>
              <w:rPr>
                <w:rFonts w:cs="Times New Roman"/>
                <w:b/>
                <w:bCs/>
              </w:rPr>
            </w:pPr>
            <w:r w:rsidRPr="00450C09">
              <w:rPr>
                <w:rFonts w:cs="Times New Roman"/>
                <w:b/>
                <w:bCs/>
              </w:rPr>
              <w:t>Escenario</w:t>
            </w:r>
          </w:p>
        </w:tc>
        <w:tc>
          <w:tcPr>
            <w:tcW w:w="0" w:type="auto"/>
            <w:hideMark/>
          </w:tcPr>
          <w:p w14:paraId="77E3021B" w14:textId="77777777" w:rsidR="00450C09" w:rsidRPr="00450C09" w:rsidRDefault="00450C09" w:rsidP="003959D1">
            <w:pPr>
              <w:spacing w:line="360" w:lineRule="auto"/>
              <w:ind w:firstLine="0"/>
              <w:rPr>
                <w:rFonts w:cs="Times New Roman"/>
                <w:b/>
                <w:bCs/>
              </w:rPr>
            </w:pPr>
            <w:r w:rsidRPr="00450C09">
              <w:rPr>
                <w:rFonts w:cs="Times New Roman"/>
                <w:b/>
                <w:bCs/>
              </w:rPr>
              <w:t>Factor ingresos</w:t>
            </w:r>
          </w:p>
        </w:tc>
        <w:tc>
          <w:tcPr>
            <w:tcW w:w="0" w:type="auto"/>
            <w:hideMark/>
          </w:tcPr>
          <w:p w14:paraId="5AD4AAE3" w14:textId="77777777" w:rsidR="00450C09" w:rsidRPr="00450C09" w:rsidRDefault="00450C09" w:rsidP="003959D1">
            <w:pPr>
              <w:spacing w:line="360" w:lineRule="auto"/>
              <w:ind w:firstLine="0"/>
              <w:rPr>
                <w:rFonts w:cs="Times New Roman"/>
                <w:b/>
                <w:bCs/>
              </w:rPr>
            </w:pPr>
            <w:r w:rsidRPr="00450C09">
              <w:rPr>
                <w:rFonts w:cs="Times New Roman"/>
                <w:b/>
                <w:bCs/>
              </w:rPr>
              <w:t>Factor costes</w:t>
            </w:r>
          </w:p>
        </w:tc>
        <w:tc>
          <w:tcPr>
            <w:tcW w:w="0" w:type="auto"/>
            <w:hideMark/>
          </w:tcPr>
          <w:p w14:paraId="2BACA1A7" w14:textId="77777777" w:rsidR="00450C09" w:rsidRPr="00450C09" w:rsidRDefault="00450C09" w:rsidP="003959D1">
            <w:pPr>
              <w:spacing w:line="360" w:lineRule="auto"/>
              <w:ind w:firstLine="0"/>
              <w:rPr>
                <w:rFonts w:cs="Times New Roman"/>
                <w:b/>
                <w:bCs/>
              </w:rPr>
            </w:pPr>
            <w:r w:rsidRPr="00450C09">
              <w:rPr>
                <w:rFonts w:cs="Times New Roman"/>
                <w:b/>
                <w:bCs/>
              </w:rPr>
              <w:t>Factor ocupación</w:t>
            </w:r>
          </w:p>
        </w:tc>
      </w:tr>
      <w:tr w:rsidR="00450C09" w:rsidRPr="00450C09" w14:paraId="49E992A5" w14:textId="77777777" w:rsidTr="00450C09">
        <w:trPr>
          <w:jc w:val="center"/>
        </w:trPr>
        <w:tc>
          <w:tcPr>
            <w:tcW w:w="0" w:type="auto"/>
            <w:hideMark/>
          </w:tcPr>
          <w:p w14:paraId="73DD7225" w14:textId="77777777" w:rsidR="00450C09" w:rsidRPr="00450C09" w:rsidRDefault="00450C09" w:rsidP="003959D1">
            <w:pPr>
              <w:spacing w:line="360" w:lineRule="auto"/>
              <w:ind w:firstLine="0"/>
              <w:rPr>
                <w:rFonts w:cs="Times New Roman"/>
              </w:rPr>
            </w:pPr>
            <w:r w:rsidRPr="00450C09">
              <w:rPr>
                <w:rFonts w:cs="Times New Roman"/>
              </w:rPr>
              <w:t>Optimista</w:t>
            </w:r>
          </w:p>
        </w:tc>
        <w:tc>
          <w:tcPr>
            <w:tcW w:w="0" w:type="auto"/>
            <w:hideMark/>
          </w:tcPr>
          <w:p w14:paraId="1170F0C7" w14:textId="77777777" w:rsidR="00450C09" w:rsidRPr="00450C09" w:rsidRDefault="00450C09" w:rsidP="003959D1">
            <w:pPr>
              <w:spacing w:line="360" w:lineRule="auto"/>
              <w:ind w:firstLine="0"/>
              <w:rPr>
                <w:rFonts w:cs="Times New Roman"/>
              </w:rPr>
            </w:pPr>
            <w:r w:rsidRPr="00450C09">
              <w:rPr>
                <w:rFonts w:cs="Times New Roman"/>
              </w:rPr>
              <w:t>+20 %</w:t>
            </w:r>
          </w:p>
        </w:tc>
        <w:tc>
          <w:tcPr>
            <w:tcW w:w="0" w:type="auto"/>
            <w:hideMark/>
          </w:tcPr>
          <w:p w14:paraId="34D1B505" w14:textId="77777777" w:rsidR="00450C09" w:rsidRPr="00450C09" w:rsidRDefault="00450C09" w:rsidP="003959D1">
            <w:pPr>
              <w:spacing w:line="360" w:lineRule="auto"/>
              <w:ind w:firstLine="0"/>
              <w:rPr>
                <w:rFonts w:cs="Times New Roman"/>
              </w:rPr>
            </w:pPr>
            <w:r w:rsidRPr="00450C09">
              <w:rPr>
                <w:rFonts w:cs="Times New Roman"/>
              </w:rPr>
              <w:t>−10 %</w:t>
            </w:r>
          </w:p>
        </w:tc>
        <w:tc>
          <w:tcPr>
            <w:tcW w:w="0" w:type="auto"/>
            <w:hideMark/>
          </w:tcPr>
          <w:p w14:paraId="6C1A5987" w14:textId="77777777" w:rsidR="00450C09" w:rsidRPr="00450C09" w:rsidRDefault="00450C09" w:rsidP="003959D1">
            <w:pPr>
              <w:spacing w:line="360" w:lineRule="auto"/>
              <w:ind w:firstLine="0"/>
              <w:rPr>
                <w:rFonts w:cs="Times New Roman"/>
              </w:rPr>
            </w:pPr>
            <w:r w:rsidRPr="00450C09">
              <w:rPr>
                <w:rFonts w:cs="Times New Roman"/>
              </w:rPr>
              <w:t>+15 %</w:t>
            </w:r>
          </w:p>
        </w:tc>
      </w:tr>
      <w:tr w:rsidR="00450C09" w:rsidRPr="00450C09" w14:paraId="6DC2D7A6" w14:textId="77777777" w:rsidTr="00450C09">
        <w:trPr>
          <w:jc w:val="center"/>
        </w:trPr>
        <w:tc>
          <w:tcPr>
            <w:tcW w:w="0" w:type="auto"/>
            <w:hideMark/>
          </w:tcPr>
          <w:p w14:paraId="20AB8E7F" w14:textId="77777777" w:rsidR="00450C09" w:rsidRPr="00450C09" w:rsidRDefault="00450C09" w:rsidP="003959D1">
            <w:pPr>
              <w:spacing w:line="360" w:lineRule="auto"/>
              <w:ind w:firstLine="0"/>
              <w:rPr>
                <w:rFonts w:cs="Times New Roman"/>
              </w:rPr>
            </w:pPr>
            <w:r w:rsidRPr="00450C09">
              <w:rPr>
                <w:rFonts w:cs="Times New Roman"/>
              </w:rPr>
              <w:lastRenderedPageBreak/>
              <w:t>Neutro</w:t>
            </w:r>
          </w:p>
        </w:tc>
        <w:tc>
          <w:tcPr>
            <w:tcW w:w="0" w:type="auto"/>
            <w:hideMark/>
          </w:tcPr>
          <w:p w14:paraId="70866DB5" w14:textId="77777777" w:rsidR="00450C09" w:rsidRPr="00450C09" w:rsidRDefault="00450C09" w:rsidP="003959D1">
            <w:pPr>
              <w:spacing w:line="360" w:lineRule="auto"/>
              <w:ind w:firstLine="0"/>
              <w:rPr>
                <w:rFonts w:cs="Times New Roman"/>
              </w:rPr>
            </w:pPr>
            <w:r w:rsidRPr="00450C09">
              <w:rPr>
                <w:rFonts w:cs="Times New Roman"/>
              </w:rPr>
              <w:t>Base</w:t>
            </w:r>
          </w:p>
        </w:tc>
        <w:tc>
          <w:tcPr>
            <w:tcW w:w="0" w:type="auto"/>
            <w:hideMark/>
          </w:tcPr>
          <w:p w14:paraId="702BB535" w14:textId="77777777" w:rsidR="00450C09" w:rsidRPr="00450C09" w:rsidRDefault="00450C09" w:rsidP="003959D1">
            <w:pPr>
              <w:spacing w:line="360" w:lineRule="auto"/>
              <w:ind w:firstLine="0"/>
              <w:rPr>
                <w:rFonts w:cs="Times New Roman"/>
              </w:rPr>
            </w:pPr>
            <w:r w:rsidRPr="00450C09">
              <w:rPr>
                <w:rFonts w:cs="Times New Roman"/>
              </w:rPr>
              <w:t>Base</w:t>
            </w:r>
          </w:p>
        </w:tc>
        <w:tc>
          <w:tcPr>
            <w:tcW w:w="0" w:type="auto"/>
            <w:hideMark/>
          </w:tcPr>
          <w:p w14:paraId="57D3A737" w14:textId="77777777" w:rsidR="00450C09" w:rsidRPr="00450C09" w:rsidRDefault="00450C09" w:rsidP="003959D1">
            <w:pPr>
              <w:spacing w:line="360" w:lineRule="auto"/>
              <w:ind w:firstLine="0"/>
              <w:rPr>
                <w:rFonts w:cs="Times New Roman"/>
              </w:rPr>
            </w:pPr>
            <w:r w:rsidRPr="00450C09">
              <w:rPr>
                <w:rFonts w:cs="Times New Roman"/>
              </w:rPr>
              <w:t>Base</w:t>
            </w:r>
          </w:p>
        </w:tc>
      </w:tr>
      <w:tr w:rsidR="00450C09" w:rsidRPr="00450C09" w14:paraId="5D854869" w14:textId="77777777" w:rsidTr="00450C09">
        <w:trPr>
          <w:jc w:val="center"/>
        </w:trPr>
        <w:tc>
          <w:tcPr>
            <w:tcW w:w="0" w:type="auto"/>
            <w:hideMark/>
          </w:tcPr>
          <w:p w14:paraId="66D7E002" w14:textId="77777777" w:rsidR="00450C09" w:rsidRPr="00450C09" w:rsidRDefault="00450C09" w:rsidP="003959D1">
            <w:pPr>
              <w:spacing w:line="360" w:lineRule="auto"/>
              <w:ind w:firstLine="0"/>
              <w:rPr>
                <w:rFonts w:cs="Times New Roman"/>
              </w:rPr>
            </w:pPr>
            <w:r w:rsidRPr="00450C09">
              <w:rPr>
                <w:rFonts w:cs="Times New Roman"/>
              </w:rPr>
              <w:t>Pesimista</w:t>
            </w:r>
          </w:p>
        </w:tc>
        <w:tc>
          <w:tcPr>
            <w:tcW w:w="0" w:type="auto"/>
            <w:hideMark/>
          </w:tcPr>
          <w:p w14:paraId="02B98B5D" w14:textId="77777777" w:rsidR="00450C09" w:rsidRPr="00450C09" w:rsidRDefault="00450C09" w:rsidP="003959D1">
            <w:pPr>
              <w:spacing w:line="360" w:lineRule="auto"/>
              <w:ind w:firstLine="0"/>
              <w:rPr>
                <w:rFonts w:cs="Times New Roman"/>
              </w:rPr>
            </w:pPr>
            <w:r w:rsidRPr="00450C09">
              <w:rPr>
                <w:rFonts w:cs="Times New Roman"/>
              </w:rPr>
              <w:t>−20 %</w:t>
            </w:r>
          </w:p>
        </w:tc>
        <w:tc>
          <w:tcPr>
            <w:tcW w:w="0" w:type="auto"/>
            <w:hideMark/>
          </w:tcPr>
          <w:p w14:paraId="23243213" w14:textId="77777777" w:rsidR="00450C09" w:rsidRPr="00450C09" w:rsidRDefault="00450C09" w:rsidP="003959D1">
            <w:pPr>
              <w:spacing w:line="360" w:lineRule="auto"/>
              <w:ind w:firstLine="0"/>
              <w:rPr>
                <w:rFonts w:cs="Times New Roman"/>
              </w:rPr>
            </w:pPr>
            <w:r w:rsidRPr="00450C09">
              <w:rPr>
                <w:rFonts w:cs="Times New Roman"/>
              </w:rPr>
              <w:t>+15 %</w:t>
            </w:r>
          </w:p>
        </w:tc>
        <w:tc>
          <w:tcPr>
            <w:tcW w:w="0" w:type="auto"/>
            <w:hideMark/>
          </w:tcPr>
          <w:p w14:paraId="3EA1BABA" w14:textId="77777777" w:rsidR="00450C09" w:rsidRPr="00450C09" w:rsidRDefault="00450C09" w:rsidP="003959D1">
            <w:pPr>
              <w:spacing w:line="360" w:lineRule="auto"/>
              <w:ind w:firstLine="0"/>
              <w:rPr>
                <w:rFonts w:cs="Times New Roman"/>
              </w:rPr>
            </w:pPr>
            <w:r w:rsidRPr="00450C09">
              <w:rPr>
                <w:rFonts w:cs="Times New Roman"/>
              </w:rPr>
              <w:t>−20 %</w:t>
            </w:r>
          </w:p>
        </w:tc>
      </w:tr>
    </w:tbl>
    <w:p w14:paraId="5D37D1FD" w14:textId="77777777" w:rsidR="00450C09" w:rsidRPr="00450C09" w:rsidRDefault="00450C09" w:rsidP="003959D1">
      <w:pPr>
        <w:pStyle w:val="NormalWeb"/>
        <w:spacing w:line="360" w:lineRule="auto"/>
        <w:jc w:val="both"/>
      </w:pPr>
      <w:r w:rsidRPr="00450C09">
        <w:rPr>
          <w:rStyle w:val="nfasis"/>
        </w:rPr>
        <w:t>Fuente: elaboración propia.</w:t>
      </w:r>
    </w:p>
    <w:p w14:paraId="417FBBB0" w14:textId="77777777" w:rsidR="00450C09" w:rsidRPr="00450C09" w:rsidRDefault="00450C09" w:rsidP="003959D1">
      <w:pPr>
        <w:pStyle w:val="NormalWeb"/>
        <w:spacing w:line="360" w:lineRule="auto"/>
        <w:ind w:firstLine="720"/>
        <w:jc w:val="both"/>
      </w:pPr>
      <w:r w:rsidRPr="00450C09">
        <w:t>Para cada escenario, el motor proyecta el flujo de caja neto anual durante el horizonte de análisis definido por el usuario, de entre cinco y veinte años, calculando los ingresos brutos como producto del precio por noche, la tasa de ocupación ajustada y el número de noches disponibles, con un factor de crecimiento interanual parametrizable. Los costes operativos se desglosan en costes fijos —comunidad de propietarios, seguro del hogar, IBI, suministros y mantenimiento— y costes variables —limpieza por rotación de huéspedes, comisiones de la plataforma digital de alquiler y gestión externa—, a los que se añaden los costes financieros derivados del servicio de la deuda hipotecaria, calculada mediante el sistema de amortización francés de cuota constante, y la carga fiscal sobre el rendimiento neto en concepto de IRPF.</w:t>
      </w:r>
    </w:p>
    <w:p w14:paraId="5C50348A" w14:textId="77777777" w:rsidR="00450C09" w:rsidRDefault="00450C09" w:rsidP="003959D1">
      <w:pPr>
        <w:pStyle w:val="NormalWeb"/>
        <w:spacing w:line="360" w:lineRule="auto"/>
        <w:ind w:firstLine="578"/>
        <w:jc w:val="both"/>
      </w:pPr>
      <w:r w:rsidRPr="00450C09">
        <w:t xml:space="preserve">A partir de la serie de flujos de caja proyectados, el motor calcula los siguientes indicadores de rentabilidad para cada escenario: el Valor Actual Neto (VAN), definido como la suma de los flujos de caja descontados a la tasa establecida por el usuario menos la inversión inicial; la Tasa Interna de Retorno (TIR), cuyo cálculo se implementó mediante el método iterativo de Brent disponible en la librería </w:t>
      </w:r>
      <w:proofErr w:type="spellStart"/>
      <w:r w:rsidRPr="00450C09">
        <w:t>SciPy</w:t>
      </w:r>
      <w:proofErr w:type="spellEnd"/>
      <w:r w:rsidRPr="00450C09">
        <w:t xml:space="preserve">, cuya convergencia matemática está garantizada frente al método de Newton-Raphson; el </w:t>
      </w:r>
      <w:proofErr w:type="spellStart"/>
      <w:r w:rsidRPr="00450C09">
        <w:t>payback</w:t>
      </w:r>
      <w:proofErr w:type="spellEnd"/>
      <w:r w:rsidRPr="00450C09">
        <w:t xml:space="preserve"> simple y el </w:t>
      </w:r>
      <w:proofErr w:type="spellStart"/>
      <w:r w:rsidRPr="00450C09">
        <w:t>payback</w:t>
      </w:r>
      <w:proofErr w:type="spellEnd"/>
      <w:r w:rsidRPr="00450C09">
        <w:t xml:space="preserve"> descontado, que cuantifican el número de años necesarios para recuperar el capital propio invertido en términos nominales y descontados respectivamente; la rentabilidad bruta, la rentabilidad neta, la rentabilidad sobre capital propio (ROE) y el punto muerto de ocupación, definido como la tasa mínima de ocupación necesaria para cubrir la totalidad de los costes operativos y financieros del ejercicio.</w:t>
      </w:r>
    </w:p>
    <w:p w14:paraId="59B4C1ED" w14:textId="77777777" w:rsidR="00877031" w:rsidRPr="00450C09" w:rsidRDefault="00877031" w:rsidP="003959D1">
      <w:pPr>
        <w:pStyle w:val="NormalWeb"/>
        <w:spacing w:line="360" w:lineRule="auto"/>
        <w:ind w:firstLine="578"/>
        <w:jc w:val="both"/>
      </w:pPr>
    </w:p>
    <w:p w14:paraId="0BFC77AA" w14:textId="77777777" w:rsidR="00450C09" w:rsidRPr="00450C09" w:rsidRDefault="00450C09" w:rsidP="003959D1">
      <w:pPr>
        <w:pStyle w:val="Ttulo2"/>
        <w:numPr>
          <w:ilvl w:val="0"/>
          <w:numId w:val="0"/>
        </w:numPr>
        <w:ind w:left="578" w:hanging="578"/>
      </w:pPr>
      <w:bookmarkStart w:id="25" w:name="_Toc231829987"/>
      <w:r w:rsidRPr="00450C09">
        <w:t xml:space="preserve">4.3. Interfaz web interactiva con </w:t>
      </w:r>
      <w:proofErr w:type="spellStart"/>
      <w:r w:rsidRPr="00450C09">
        <w:t>Streamlit</w:t>
      </w:r>
      <w:bookmarkEnd w:id="25"/>
      <w:proofErr w:type="spellEnd"/>
    </w:p>
    <w:p w14:paraId="6F876CF4" w14:textId="3C5B79A6" w:rsidR="00450C09" w:rsidRPr="00450C09" w:rsidRDefault="00450C09" w:rsidP="003959D1">
      <w:pPr>
        <w:pStyle w:val="NormalWeb"/>
        <w:spacing w:line="360" w:lineRule="auto"/>
        <w:ind w:firstLine="578"/>
        <w:jc w:val="both"/>
      </w:pPr>
      <w:r w:rsidRPr="00450C09">
        <w:t xml:space="preserve">La interfaz web del simulador ha sido desarrollada con </w:t>
      </w:r>
      <w:proofErr w:type="spellStart"/>
      <w:r w:rsidRPr="00450C09">
        <w:t>Streamlit</w:t>
      </w:r>
      <w:proofErr w:type="spellEnd"/>
      <w:r w:rsidRPr="00450C09">
        <w:t xml:space="preserve">, un </w:t>
      </w:r>
      <w:proofErr w:type="spellStart"/>
      <w:r w:rsidRPr="00450C09">
        <w:t>framework</w:t>
      </w:r>
      <w:proofErr w:type="spellEnd"/>
      <w:r w:rsidRPr="00450C09">
        <w:t xml:space="preserve"> de Python que permite construir aplicaciones web interactivas sin necesidad de código </w:t>
      </w:r>
      <w:r w:rsidRPr="00450C09">
        <w:lastRenderedPageBreak/>
        <w:t xml:space="preserve">adicional en HTML, CSS o JavaScript. Su elección frente a alternativas como </w:t>
      </w:r>
      <w:proofErr w:type="spellStart"/>
      <w:r w:rsidRPr="00450C09">
        <w:t>Dash</w:t>
      </w:r>
      <w:proofErr w:type="spellEnd"/>
      <w:r w:rsidRPr="00450C09">
        <w:t xml:space="preserve"> o </w:t>
      </w:r>
      <w:proofErr w:type="spellStart"/>
      <w:r w:rsidRPr="00450C09">
        <w:t>Flask</w:t>
      </w:r>
      <w:proofErr w:type="spellEnd"/>
      <w:r w:rsidRPr="00450C09">
        <w:t xml:space="preserve"> se justifica por la integración nativa con el ecosistema científico de Python, la eliminación de latencias entre la inferencia de los modelos y la visualización de resultados —aspecto crítico para simulaciones paramétricas en tiempo real— y la facilidad de despliegue en entornos de producción sin infraestructura de servidor propia.</w:t>
      </w:r>
    </w:p>
    <w:p w14:paraId="396BAF52" w14:textId="77777777" w:rsidR="00450C09" w:rsidRPr="00450C09" w:rsidRDefault="00450C09" w:rsidP="003959D1">
      <w:pPr>
        <w:pStyle w:val="NormalWeb"/>
        <w:spacing w:line="360" w:lineRule="auto"/>
        <w:ind w:firstLine="578"/>
        <w:jc w:val="both"/>
      </w:pPr>
      <w:r w:rsidRPr="00450C09">
        <w:t>La interfaz se estructura en las siguientes secciones, accesibles mediante desplazamiento vertical desde la página principal. El panel lateral izquierdo recoge los parámetros de caracterización del activo: ciudad, barrio, tipo de alojamiento, número de huéspedes, habitaciones, baños, camas, noches mínimas, días disponibles al año, puntuaciones esperadas de valoración y perfil del anfitrión. Estos parámetros alimentan directamente los modelos predictivos y se actualizan en tiempo real ante cualquier modificación por parte del usuario.</w:t>
      </w:r>
    </w:p>
    <w:p w14:paraId="7331BF2B" w14:textId="77777777" w:rsidR="00450C09" w:rsidRPr="00450C09" w:rsidRDefault="00450C09" w:rsidP="003959D1">
      <w:pPr>
        <w:pStyle w:val="NormalWeb"/>
        <w:spacing w:line="360" w:lineRule="auto"/>
        <w:ind w:firstLine="578"/>
        <w:jc w:val="both"/>
      </w:pPr>
      <w:r w:rsidRPr="00450C09">
        <w:t xml:space="preserve">La sección de predicciones de los modelos de IA muestra los tres indicadores predictivos principales: ocupación estimada por </w:t>
      </w:r>
      <w:proofErr w:type="spellStart"/>
      <w:r w:rsidRPr="00450C09">
        <w:t>XGBoost</w:t>
      </w:r>
      <w:proofErr w:type="spellEnd"/>
      <w:r w:rsidRPr="00450C09">
        <w:t xml:space="preserve">, precio óptimo por noche estimado por </w:t>
      </w:r>
      <w:proofErr w:type="spellStart"/>
      <w:r w:rsidRPr="00450C09">
        <w:t>Random</w:t>
      </w:r>
      <w:proofErr w:type="spellEnd"/>
      <w:r w:rsidRPr="00450C09">
        <w:t xml:space="preserve"> Forest e ingresos brutos anuales calculados como producto de ambas estimaciones. El usuario puede optar por utilizar las predicciones de los modelos o introducir manualmente sus propias hipótesis, lo que permite comparar el escenario de mercado con supuestos personalizados del inversor.</w:t>
      </w:r>
    </w:p>
    <w:p w14:paraId="567FC16A" w14:textId="77777777" w:rsidR="00450C09" w:rsidRPr="00450C09" w:rsidRDefault="00450C09" w:rsidP="003959D1">
      <w:pPr>
        <w:pStyle w:val="NormalWeb"/>
        <w:spacing w:line="360" w:lineRule="auto"/>
        <w:ind w:firstLine="578"/>
        <w:jc w:val="both"/>
      </w:pPr>
      <w:r w:rsidRPr="00450C09">
        <w:t xml:space="preserve">La proyección de estacionalidad presenta un gráfico interactivo elaborado con la librería </w:t>
      </w:r>
      <w:proofErr w:type="spellStart"/>
      <w:r w:rsidRPr="00450C09">
        <w:t>Plotly</w:t>
      </w:r>
      <w:proofErr w:type="spellEnd"/>
      <w:r w:rsidRPr="00450C09">
        <w:t xml:space="preserve"> que muestra la evolución esperada de la ocupación para los próximos doce meses según el modelo </w:t>
      </w:r>
      <w:proofErr w:type="spellStart"/>
      <w:r w:rsidRPr="00450C09">
        <w:t>Prophet</w:t>
      </w:r>
      <w:proofErr w:type="spellEnd"/>
      <w:r w:rsidRPr="00450C09">
        <w:t>, incluyendo el intervalo de confianza estadístico para la ciudad seleccionada. La sección de parámetros de inversión, organizada en tres columnas, recoge la inversión inicial, la estructura de financiación y los costes operativos, así como los parámetros fiscales y el horizonte de análisis. Los resultados financieros presentan los indicadores clave del motor para los tres escenarios simultáneamente: inversión total, capital propio, VAN, TIR, rentabilidad neta y punto muerto de ocupación.</w:t>
      </w:r>
    </w:p>
    <w:p w14:paraId="7E2BF5D1" w14:textId="77777777" w:rsidR="00450C09" w:rsidRPr="00450C09" w:rsidRDefault="00450C09" w:rsidP="003959D1">
      <w:pPr>
        <w:pStyle w:val="NormalWeb"/>
        <w:spacing w:line="360" w:lineRule="auto"/>
        <w:ind w:firstLine="578"/>
        <w:jc w:val="both"/>
      </w:pPr>
      <w:r w:rsidRPr="00450C09">
        <w:t xml:space="preserve">Los flujos de caja proyectados se visualizan mediante un gráfico de barras agrupadas que muestra el flujo de caja neto anual para cada escenario durante el horizonte de análisis, acompañado de una tabla detallada con el desglose anual del escenario neutro. </w:t>
      </w:r>
      <w:r w:rsidRPr="00450C09">
        <w:lastRenderedPageBreak/>
        <w:t>El análisis de sensibilidad representa la evolución del VAN ante variaciones en la tasa de ocupación entre el 10 % y el 75 %, permitiendo identificar visualmente el umbral de viabilidad financiera. La sección de interpretabilidad SHAP muestra la contribución individual de cada variable a la predicción de ocupación para el caso concreto analizado. El módulo de informe ejecutivo genera un informe de viabilidad estructurado y personalizado al pulsar un botón, con veredicto codificado en color, análisis de ocupación y precio, indicadores de rentabilidad, evaluación del punto muerto, estructura de financiación y tabla comparativa de escenarios.</w:t>
      </w:r>
    </w:p>
    <w:p w14:paraId="77824BDB" w14:textId="74E21F77" w:rsidR="00450C09" w:rsidRDefault="00450C09" w:rsidP="003959D1">
      <w:pPr>
        <w:pStyle w:val="NormalWeb"/>
        <w:spacing w:line="360" w:lineRule="auto"/>
        <w:ind w:firstLine="578"/>
        <w:jc w:val="both"/>
      </w:pPr>
      <w:r w:rsidRPr="00450C09">
        <w:t xml:space="preserve">El simulador ha sido desplegado en </w:t>
      </w:r>
      <w:proofErr w:type="spellStart"/>
      <w:r w:rsidRPr="00450C09">
        <w:t>Streamlit</w:t>
      </w:r>
      <w:proofErr w:type="spellEnd"/>
      <w:r w:rsidRPr="00450C09">
        <w:t xml:space="preserve"> </w:t>
      </w:r>
      <w:proofErr w:type="spellStart"/>
      <w:r w:rsidRPr="00450C09">
        <w:t>Community</w:t>
      </w:r>
      <w:proofErr w:type="spellEnd"/>
      <w:r w:rsidRPr="00450C09">
        <w:t xml:space="preserve"> Cloud, plataforma de despliegue gratuita integrada con GitHub, lo que permite el acceso público desde cualquier dispositivo con conexión a internet sin necesidad de instalación local. El código fuente completo del proyecto se encuentra disponible en el repositorio público https://github.com/ivannavarros/tfm-simulador-vut. El simulador puede ser consultado en la siguiente dirección web: </w:t>
      </w:r>
      <w:hyperlink r:id="rId12" w:history="1">
        <w:r w:rsidR="00877031" w:rsidRPr="0085651F">
          <w:rPr>
            <w:rStyle w:val="Hipervnculo"/>
          </w:rPr>
          <w:t>https://tfm-simulador-vut-3imkk2yy3exgfxbenqpt4q.streamlit.app/</w:t>
        </w:r>
      </w:hyperlink>
    </w:p>
    <w:p w14:paraId="150BCA77" w14:textId="77777777" w:rsidR="00877031" w:rsidRPr="00450C09" w:rsidRDefault="00877031" w:rsidP="003959D1">
      <w:pPr>
        <w:pStyle w:val="NormalWeb"/>
        <w:spacing w:line="360" w:lineRule="auto"/>
        <w:ind w:firstLine="578"/>
        <w:jc w:val="both"/>
      </w:pPr>
    </w:p>
    <w:p w14:paraId="5CA51734" w14:textId="77777777" w:rsidR="00450C09" w:rsidRPr="00450C09" w:rsidRDefault="00450C09" w:rsidP="003959D1">
      <w:pPr>
        <w:pStyle w:val="Ttulo2"/>
        <w:numPr>
          <w:ilvl w:val="0"/>
          <w:numId w:val="0"/>
        </w:numPr>
        <w:ind w:left="578" w:hanging="578"/>
      </w:pPr>
      <w:bookmarkStart w:id="26" w:name="_Toc231829988"/>
      <w:r w:rsidRPr="00450C09">
        <w:t>4.4. Interpretabilidad de los modelos (SHAP)</w:t>
      </w:r>
      <w:bookmarkEnd w:id="26"/>
    </w:p>
    <w:p w14:paraId="44780F77" w14:textId="77777777" w:rsidR="00450C09" w:rsidRPr="00450C09" w:rsidRDefault="00450C09" w:rsidP="003959D1">
      <w:pPr>
        <w:pStyle w:val="NormalWeb"/>
        <w:spacing w:line="360" w:lineRule="auto"/>
        <w:ind w:firstLine="578"/>
        <w:jc w:val="both"/>
      </w:pPr>
      <w:r w:rsidRPr="00450C09">
        <w:t xml:space="preserve">La interpretabilidad de los modelos de machine </w:t>
      </w:r>
      <w:proofErr w:type="spellStart"/>
      <w:r w:rsidRPr="00450C09">
        <w:t>learning</w:t>
      </w:r>
      <w:proofErr w:type="spellEnd"/>
      <w:r w:rsidRPr="00450C09">
        <w:t xml:space="preserve"> constituye un requisito fundamental en los sistemas de soporte a la decisión aplicados a contextos financieros. Un modelo que opera como caja negra carece de validez práctica en el análisis de inversiones, pues no proporciona al inversor información accionable sobre qué aspectos del activo o de su gestión pueden mejorar el resultado esperado. Para abordar esta dimensión se han implementado valores SHAP (</w:t>
      </w:r>
      <w:proofErr w:type="spellStart"/>
      <w:r w:rsidRPr="00450C09">
        <w:t>SHapley</w:t>
      </w:r>
      <w:proofErr w:type="spellEnd"/>
      <w:r w:rsidRPr="00450C09">
        <w:t xml:space="preserve"> </w:t>
      </w:r>
      <w:proofErr w:type="spellStart"/>
      <w:r w:rsidRPr="00450C09">
        <w:t>Additive</w:t>
      </w:r>
      <w:proofErr w:type="spellEnd"/>
      <w:r w:rsidRPr="00450C09">
        <w:t xml:space="preserve"> </w:t>
      </w:r>
      <w:proofErr w:type="spellStart"/>
      <w:r w:rsidRPr="00450C09">
        <w:t>exPlanations</w:t>
      </w:r>
      <w:proofErr w:type="spellEnd"/>
      <w:r w:rsidRPr="00450C09">
        <w:t>), un método basado en la teoría de juegos cooperativos de Shapley que descompone la predicción de cada observación individual en contribuciones aditivas de cada variable predictora (</w:t>
      </w:r>
      <w:proofErr w:type="spellStart"/>
      <w:r w:rsidRPr="00450C09">
        <w:t>Lundberg</w:t>
      </w:r>
      <w:proofErr w:type="spellEnd"/>
      <w:r w:rsidRPr="00450C09">
        <w:t xml:space="preserve"> &amp; Lee, 2017).</w:t>
      </w:r>
    </w:p>
    <w:p w14:paraId="4CF61F72" w14:textId="77777777" w:rsidR="00450C09" w:rsidRPr="00450C09" w:rsidRDefault="00450C09" w:rsidP="003959D1">
      <w:pPr>
        <w:pStyle w:val="NormalWeb"/>
        <w:spacing w:line="360" w:lineRule="auto"/>
        <w:ind w:firstLine="578"/>
        <w:jc w:val="both"/>
      </w:pPr>
      <w:r w:rsidRPr="00450C09">
        <w:t xml:space="preserve">Los valores SHAP se calculan mediante la clase </w:t>
      </w:r>
      <w:proofErr w:type="spellStart"/>
      <w:r w:rsidRPr="00450C09">
        <w:t>TreeExplainer</w:t>
      </w:r>
      <w:proofErr w:type="spellEnd"/>
      <w:r w:rsidRPr="00450C09">
        <w:t xml:space="preserve"> de la librería </w:t>
      </w:r>
      <w:proofErr w:type="spellStart"/>
      <w:r w:rsidRPr="00450C09">
        <w:t>shap</w:t>
      </w:r>
      <w:proofErr w:type="spellEnd"/>
      <w:r w:rsidRPr="00450C09">
        <w:t xml:space="preserve">, optimizada para modelos basados en árboles de decisión como </w:t>
      </w:r>
      <w:proofErr w:type="spellStart"/>
      <w:r w:rsidRPr="00450C09">
        <w:t>XGBoost</w:t>
      </w:r>
      <w:proofErr w:type="spellEnd"/>
      <w:r w:rsidRPr="00450C09">
        <w:t xml:space="preserve">. Para cada </w:t>
      </w:r>
      <w:r w:rsidRPr="00450C09">
        <w:lastRenderedPageBreak/>
        <w:t>inmueble analizado en el simulador, el sistema calcula en tiempo real los valores SHAP individuales correspondientes a las 17 variables del modelo de ocupación, identificando qué características contribuyen positivamente a la predicción —aumentando la ocupación estimada— y cuáles la penalizan, con su magnitud exacta expresada en las mismas unidades que la variable objetivo.</w:t>
      </w:r>
    </w:p>
    <w:p w14:paraId="192142BD" w14:textId="77777777" w:rsidR="00450C09" w:rsidRDefault="00450C09" w:rsidP="003959D1">
      <w:pPr>
        <w:pStyle w:val="NormalWeb"/>
        <w:spacing w:line="360" w:lineRule="auto"/>
        <w:ind w:firstLine="578"/>
        <w:jc w:val="both"/>
      </w:pPr>
      <w:r w:rsidRPr="00450C09">
        <w:t xml:space="preserve">El análisis global de importancia SHAP, realizado sobre una muestra representativa de 1 000 anuncios, revela que las cinco variables con mayor impacto medio sobre la predicción de ocupación son, por orden de importancia: noches mínimas requeridas (0,0463), puntuación de ubicación (0,0442), condición de </w:t>
      </w:r>
      <w:proofErr w:type="spellStart"/>
      <w:r w:rsidRPr="00450C09">
        <w:t>superhost</w:t>
      </w:r>
      <w:proofErr w:type="spellEnd"/>
      <w:r w:rsidRPr="00450C09">
        <w:t xml:space="preserve"> (0,0373), valoración general (0,0362) y puntuación de calidad-precio (0,0356). Estos resultados son coherentes con la literatura sobre determinantes de la demanda en el mercado de alquiler turístico (Magno et al., 2018; Pérez-Sánchez et al., 2018) y proporcionan al inversor información accionable: reducir las noches mínimas requeridas, mejorar la calidad percibida de la ubicación o alcanzar la condición de </w:t>
      </w:r>
      <w:proofErr w:type="spellStart"/>
      <w:r w:rsidRPr="00450C09">
        <w:t>superhost</w:t>
      </w:r>
      <w:proofErr w:type="spellEnd"/>
      <w:r w:rsidRPr="00450C09">
        <w:t xml:space="preserve"> son las palancas de mayor impacto sobre la ocupación identificadas por el modelo. En el simulador, el análisis SHAP se presenta de forma individual para el caso concreto analizado, mostrando los diez factores con mayor contribución absoluta en un gráfico de barras horizontales con código de color.</w:t>
      </w:r>
    </w:p>
    <w:p w14:paraId="53CB19EC" w14:textId="77777777" w:rsidR="00877031" w:rsidRPr="00450C09" w:rsidRDefault="00877031" w:rsidP="003959D1">
      <w:pPr>
        <w:pStyle w:val="NormalWeb"/>
        <w:spacing w:line="360" w:lineRule="auto"/>
        <w:ind w:firstLine="578"/>
        <w:jc w:val="both"/>
      </w:pPr>
    </w:p>
    <w:p w14:paraId="2C0A1CD6" w14:textId="77777777" w:rsidR="00450C09" w:rsidRPr="00450C09" w:rsidRDefault="00450C09" w:rsidP="003959D1">
      <w:pPr>
        <w:pStyle w:val="Ttulo2"/>
        <w:numPr>
          <w:ilvl w:val="0"/>
          <w:numId w:val="0"/>
        </w:numPr>
        <w:ind w:left="578" w:hanging="578"/>
      </w:pPr>
      <w:bookmarkStart w:id="27" w:name="_Toc231829989"/>
      <w:r w:rsidRPr="00450C09">
        <w:t>4.5. Módulo de reportes mediante IA Generativa</w:t>
      </w:r>
      <w:bookmarkEnd w:id="27"/>
    </w:p>
    <w:p w14:paraId="1B00FEDC" w14:textId="77777777" w:rsidR="00450C09" w:rsidRPr="00450C09" w:rsidRDefault="00450C09" w:rsidP="003959D1">
      <w:pPr>
        <w:pStyle w:val="NormalWeb"/>
        <w:spacing w:line="360" w:lineRule="auto"/>
        <w:ind w:firstLine="578"/>
        <w:jc w:val="both"/>
      </w:pPr>
      <w:r w:rsidRPr="00450C09">
        <w:t>El módulo de generación de informes ejecutivos constituye el último componente del simulador y tiene como objetivo traducir los resultados numéricos del análisis financiero en un texto estructurado en lenguaje natural, accesible para usuarios con diferentes niveles de conocimiento técnico-financiero, reduciendo así la carga cognitiva asociada a la interpretación simultánea de múltiples métricas.</w:t>
      </w:r>
    </w:p>
    <w:p w14:paraId="103DEB7B" w14:textId="77777777" w:rsidR="00450C09" w:rsidRPr="00450C09" w:rsidRDefault="00450C09" w:rsidP="003959D1">
      <w:pPr>
        <w:pStyle w:val="NormalWeb"/>
        <w:spacing w:line="360" w:lineRule="auto"/>
        <w:ind w:firstLine="720"/>
        <w:jc w:val="both"/>
      </w:pPr>
      <w:r w:rsidRPr="00450C09">
        <w:t xml:space="preserve">El módulo implementa un sistema de Generación de Lenguaje Natural (Natural </w:t>
      </w:r>
      <w:proofErr w:type="spellStart"/>
      <w:r w:rsidRPr="00450C09">
        <w:t>Language</w:t>
      </w:r>
      <w:proofErr w:type="spellEnd"/>
      <w:r w:rsidRPr="00450C09">
        <w:t xml:space="preserve"> </w:t>
      </w:r>
      <w:proofErr w:type="spellStart"/>
      <w:r w:rsidRPr="00450C09">
        <w:t>Generation</w:t>
      </w:r>
      <w:proofErr w:type="spellEnd"/>
      <w:r w:rsidRPr="00450C09">
        <w:t xml:space="preserve">, NLG) basado en árboles de decisión y reglas lógicas deterministas. La decisión de prescindir de llamadas a Modelos de Lenguaje de Gran Escala externos mediante API responde a un requerimiento fundamental en el contexto del análisis </w:t>
      </w:r>
      <w:r w:rsidRPr="00450C09">
        <w:lastRenderedPageBreak/>
        <w:t>financiero: el determinismo. Al estar basado en reglas condicionales rígidas, el módulo elimina el riesgo de alucinaciones estadísticas inherente a los modelos generativos, garantizando que el veredicto expresado en lenguaje natural sea invariablemente coherente con la matemática del flujo de caja descontado calculado por el motor financiero.</w:t>
      </w:r>
    </w:p>
    <w:p w14:paraId="274AE245" w14:textId="7BF117CA" w:rsidR="0022380D" w:rsidRDefault="00450C09" w:rsidP="003959D1">
      <w:pPr>
        <w:pStyle w:val="NormalWeb"/>
        <w:spacing w:line="360" w:lineRule="auto"/>
        <w:ind w:firstLine="720"/>
        <w:jc w:val="both"/>
      </w:pPr>
      <w:r w:rsidRPr="00450C09">
        <w:t xml:space="preserve">El sistema evalúa en primer lugar la viabilidad global de la inversión comparando el VAN del escenario neutro y del optimista con cero, emitiendo un veredicto codificado en tres niveles: inversión viable cuando el VAN neutro es positivo, inversión condicionalmente viable cuando el VAN optimista es positivo pero el neutro es negativo, e inversión no viable en el horizonte analizado cuando el VAN es negativo en todos los escenarios. Este veredicto se presenta con código de color verde, amarillo o rojo respectivamente, proporcionando una señal visual inmediata que complementa el análisis cuantitativo. El informe se estructura en cinco secciones: análisis de ocupación y precio, indicadores de rentabilidad del escenario neutro, evaluación del punto muerto y margen de seguridad operativo, estructura de financiación y tabla comparativa de los tres escenarios. El estado del informe se gestiona mediante el mecanismo de sesión de </w:t>
      </w:r>
      <w:proofErr w:type="spellStart"/>
      <w:r w:rsidRPr="00450C09">
        <w:t>Streamlit</w:t>
      </w:r>
      <w:proofErr w:type="spellEnd"/>
      <w:r w:rsidRPr="00450C09">
        <w:t>, de modo que persiste en pantalla al modificar cualquier parámetro del simulador, permitiendo al usuario comparar el análisis previo con los nuevos resultados.</w:t>
      </w:r>
    </w:p>
    <w:p w14:paraId="6B2A8D67" w14:textId="77777777" w:rsidR="0022380D" w:rsidRDefault="0022380D">
      <w:pPr>
        <w:rPr>
          <w:rFonts w:cs="Times New Roman"/>
          <w:lang w:eastAsia="es-ES_tradnl"/>
        </w:rPr>
      </w:pPr>
      <w:r>
        <w:br w:type="page"/>
      </w:r>
    </w:p>
    <w:p w14:paraId="0A607D7D" w14:textId="77777777" w:rsidR="0022380D" w:rsidRPr="0022380D" w:rsidRDefault="0022380D" w:rsidP="0022380D">
      <w:pPr>
        <w:pStyle w:val="Ttulo1"/>
        <w:numPr>
          <w:ilvl w:val="0"/>
          <w:numId w:val="0"/>
        </w:numPr>
        <w:ind w:left="431" w:hanging="431"/>
      </w:pPr>
      <w:r w:rsidRPr="0022380D">
        <w:lastRenderedPageBreak/>
        <w:t>5. RESULTADOS Y DISCUSIÓN</w:t>
      </w:r>
    </w:p>
    <w:p w14:paraId="32BAD1E5" w14:textId="77777777" w:rsidR="0022380D" w:rsidRDefault="0022380D" w:rsidP="0022380D">
      <w:pPr>
        <w:pStyle w:val="NormalWeb"/>
        <w:jc w:val="both"/>
      </w:pPr>
      <w:r w:rsidRPr="0022380D">
        <w:t xml:space="preserve">El presente capítulo recoge los resultados obtenidos a lo largo del proceso de desarrollo del simulador y los discute en relación con los objetivos planteados en el Capítulo 1. El análisis se organiza en tres bloques: la evaluación del rendimiento predictivo de los modelos de machine </w:t>
      </w:r>
      <w:proofErr w:type="spellStart"/>
      <w:r w:rsidRPr="0022380D">
        <w:t>learning</w:t>
      </w:r>
      <w:proofErr w:type="spellEnd"/>
      <w:r w:rsidRPr="0022380D">
        <w:t xml:space="preserve"> entrenados, la validación funcional del simulador mediante casos de uso representativos, y el análisis de sensibilidad de los indicadores financieros ante variaciones en las variables críticas del modelo.</w:t>
      </w:r>
    </w:p>
    <w:p w14:paraId="0818456E" w14:textId="77777777" w:rsidR="00877031" w:rsidRPr="0022380D" w:rsidRDefault="00877031" w:rsidP="0022380D">
      <w:pPr>
        <w:pStyle w:val="NormalWeb"/>
        <w:jc w:val="both"/>
      </w:pPr>
    </w:p>
    <w:p w14:paraId="4412FB7C" w14:textId="77777777" w:rsidR="0022380D" w:rsidRPr="0022380D" w:rsidRDefault="0022380D" w:rsidP="0022380D">
      <w:pPr>
        <w:pStyle w:val="Ttulo2"/>
        <w:numPr>
          <w:ilvl w:val="0"/>
          <w:numId w:val="0"/>
        </w:numPr>
        <w:ind w:left="578" w:hanging="578"/>
      </w:pPr>
      <w:r w:rsidRPr="0022380D">
        <w:t xml:space="preserve">5.1. Evaluación de los modelos de Machine </w:t>
      </w:r>
      <w:proofErr w:type="spellStart"/>
      <w:r w:rsidRPr="0022380D">
        <w:t>Learning</w:t>
      </w:r>
      <w:proofErr w:type="spellEnd"/>
    </w:p>
    <w:p w14:paraId="27468DDA" w14:textId="77777777" w:rsidR="0022380D" w:rsidRPr="0022380D" w:rsidRDefault="0022380D" w:rsidP="0022380D">
      <w:pPr>
        <w:pStyle w:val="NormalWeb"/>
        <w:ind w:firstLine="578"/>
        <w:jc w:val="both"/>
      </w:pPr>
      <w:r w:rsidRPr="0022380D">
        <w:t xml:space="preserve">La evaluación de los modelos predictivos constituye el primer nivel de validación del simulador. Un sistema de soporte a la decisión basado en inteligencia artificial solo puede considerarse metodológicamente válido si los modelos que lo sustentan han sido evaluados con rigor sobre datos no vistos durante el entrenamiento. En el presente trabajo, los tres modelos han sido entrenados y evaluados mediante una partición estricta 80/20, sin contaminación entre conjuntos, sobre un total de 69 142 anuncios reales procedentes de </w:t>
      </w:r>
      <w:proofErr w:type="spellStart"/>
      <w:r w:rsidRPr="0022380D">
        <w:t>Inside</w:t>
      </w:r>
      <w:proofErr w:type="spellEnd"/>
      <w:r w:rsidRPr="0022380D">
        <w:t xml:space="preserve"> Airbnb para Madrid y Barcelona.</w:t>
      </w:r>
    </w:p>
    <w:p w14:paraId="58BCBAD0" w14:textId="77777777" w:rsidR="0022380D" w:rsidRPr="0022380D" w:rsidRDefault="0022380D" w:rsidP="0022380D">
      <w:pPr>
        <w:pStyle w:val="Ttulo3"/>
        <w:numPr>
          <w:ilvl w:val="0"/>
          <w:numId w:val="0"/>
        </w:numPr>
      </w:pPr>
      <w:r w:rsidRPr="0022380D">
        <w:t xml:space="preserve">5.1.1. Modelo </w:t>
      </w:r>
      <w:proofErr w:type="spellStart"/>
      <w:r w:rsidRPr="0022380D">
        <w:t>XGBoost</w:t>
      </w:r>
      <w:proofErr w:type="spellEnd"/>
      <w:r w:rsidRPr="0022380D">
        <w:t xml:space="preserve"> de predicción de ocupación</w:t>
      </w:r>
    </w:p>
    <w:p w14:paraId="5B579680" w14:textId="77777777" w:rsidR="0022380D" w:rsidRPr="0022380D" w:rsidRDefault="0022380D" w:rsidP="0022380D">
      <w:pPr>
        <w:pStyle w:val="NormalWeb"/>
        <w:ind w:firstLine="720"/>
        <w:jc w:val="both"/>
      </w:pPr>
      <w:r w:rsidRPr="0022380D">
        <w:t xml:space="preserve">El modelo </w:t>
      </w:r>
      <w:proofErr w:type="spellStart"/>
      <w:r w:rsidRPr="0022380D">
        <w:t>XGBoost</w:t>
      </w:r>
      <w:proofErr w:type="spellEnd"/>
      <w:r w:rsidRPr="0022380D">
        <w:t>, entrenado sobre 42 462 registros y evaluado sobre 10 616, obtuvo un coeficiente de determinación R² de 0,597, lo que significa que explica el 59,7 % de la variabilidad de la tasa de ocupación a partir de las características observables del inmueble. El Error Absoluto Medio (MAE) fue de 0,1298, equivalente a 13 puntos porcentuales, con un RMSE de 0,1662.</w:t>
      </w:r>
    </w:p>
    <w:p w14:paraId="4A359DA4" w14:textId="77777777" w:rsidR="0022380D" w:rsidRPr="0022380D" w:rsidRDefault="0022380D" w:rsidP="0022380D">
      <w:pPr>
        <w:pStyle w:val="NormalWeb"/>
        <w:ind w:firstLine="720"/>
        <w:jc w:val="both"/>
      </w:pPr>
      <w:r w:rsidRPr="0022380D">
        <w:t xml:space="preserve">Estos resultados deben interpretarse en su contexto metodológico. Estudios similares que aplican algoritmos de machine </w:t>
      </w:r>
      <w:proofErr w:type="spellStart"/>
      <w:r w:rsidRPr="0022380D">
        <w:t>learning</w:t>
      </w:r>
      <w:proofErr w:type="spellEnd"/>
      <w:r w:rsidRPr="0022380D">
        <w:t xml:space="preserve"> a la predicción de ocupación en plataformas de alquiler turístico reportan valores de R² en el rango de 0,50 a 0,65 cuando se eliminan variables contaminantes derivadas del histórico de actividad (Choy &amp; Ho, 2023). El valor obtenido se sitúa en la parte superior de este rango, lo que indica un rendimiento satisfactorio para el objetivo del simulador.</w:t>
      </w:r>
    </w:p>
    <w:p w14:paraId="05ED8110" w14:textId="77777777" w:rsidR="0022380D" w:rsidRPr="0022380D" w:rsidRDefault="0022380D" w:rsidP="0022380D">
      <w:pPr>
        <w:pStyle w:val="NormalWeb"/>
        <w:ind w:firstLine="720"/>
        <w:jc w:val="both"/>
      </w:pPr>
      <w:r w:rsidRPr="0022380D">
        <w:t>Una parte relevante de la varianza no explicada por el modelo se atribuye a factores estructuralmente no observables en el momento de la inversión: la calidad fotográfica del anuncio, el posicionamiento en el algoritmo de la plataforma, la estrategia de precios dinámica del propietario y la reputación acumulada a través de reseñas anteriores. Estos factores son por definición desconocidos en el momento de evaluar la viabilidad de una inversión futura, por lo que su exclusión del modelo es metodológicamente correcta, no una limitación evitable.</w:t>
      </w:r>
    </w:p>
    <w:p w14:paraId="037CE62F" w14:textId="77777777" w:rsidR="0022380D" w:rsidRPr="0022380D" w:rsidRDefault="0022380D" w:rsidP="0022380D">
      <w:pPr>
        <w:pStyle w:val="NormalWeb"/>
        <w:ind w:firstLine="720"/>
        <w:jc w:val="both"/>
      </w:pPr>
      <w:r w:rsidRPr="0022380D">
        <w:lastRenderedPageBreak/>
        <w:t xml:space="preserve">El análisis de importancia de variables mediante SHAP revela que los cinco factores con mayor impacto medio sobre la predicción de ocupación son las noches mínimas requeridas (0,0463), la puntuación de ubicación otorgada por los huéspedes (0,0442), la condición de </w:t>
      </w:r>
      <w:proofErr w:type="spellStart"/>
      <w:r w:rsidRPr="0022380D">
        <w:t>superhost</w:t>
      </w:r>
      <w:proofErr w:type="spellEnd"/>
      <w:r w:rsidRPr="0022380D">
        <w:t xml:space="preserve"> (0,0373), la valoración general del anuncio (0,0362) y la puntuación de calidad-precio (0,0356). La condición de </w:t>
      </w:r>
      <w:proofErr w:type="spellStart"/>
      <w:r w:rsidRPr="0022380D">
        <w:t>superhost</w:t>
      </w:r>
      <w:proofErr w:type="spellEnd"/>
      <w:r w:rsidRPr="0022380D">
        <w:t xml:space="preserve">, que en el análisis de importancia tradicional del modelo aparecía como el predictor individual más relevante con un 36,5 % de importancia, confirma a través de SHAP que su contribución es consistentemente positiva sobre la ocupación estimada: los anuncios de </w:t>
      </w:r>
      <w:proofErr w:type="spellStart"/>
      <w:r w:rsidRPr="0022380D">
        <w:t>superhosts</w:t>
      </w:r>
      <w:proofErr w:type="spellEnd"/>
      <w:r w:rsidRPr="0022380D">
        <w:t xml:space="preserve"> reciben sistemáticamente más reservas, en coherencia con los estudios sobre el efecto de la reputación del anfitrión en el mercado de alquiler de corta duración (Magno et al., 2018).</w:t>
      </w:r>
    </w:p>
    <w:p w14:paraId="6997425C" w14:textId="77777777" w:rsidR="0022380D" w:rsidRPr="0022380D" w:rsidRDefault="0022380D" w:rsidP="0022380D">
      <w:pPr>
        <w:pStyle w:val="Ttulo3"/>
        <w:numPr>
          <w:ilvl w:val="0"/>
          <w:numId w:val="0"/>
        </w:numPr>
      </w:pPr>
      <w:r w:rsidRPr="0022380D">
        <w:t xml:space="preserve">5.1.2. Modelo </w:t>
      </w:r>
      <w:proofErr w:type="spellStart"/>
      <w:r w:rsidRPr="0022380D">
        <w:t>Random</w:t>
      </w:r>
      <w:proofErr w:type="spellEnd"/>
      <w:r w:rsidRPr="0022380D">
        <w:t xml:space="preserve"> Forest de predicción de precio</w:t>
      </w:r>
    </w:p>
    <w:p w14:paraId="6AD9A07B" w14:textId="77777777" w:rsidR="0022380D" w:rsidRPr="0022380D" w:rsidRDefault="0022380D" w:rsidP="0022380D">
      <w:pPr>
        <w:pStyle w:val="NormalWeb"/>
        <w:ind w:firstLine="720"/>
        <w:jc w:val="both"/>
      </w:pPr>
      <w:r w:rsidRPr="0022380D">
        <w:t xml:space="preserve">El modelo </w:t>
      </w:r>
      <w:proofErr w:type="spellStart"/>
      <w:r w:rsidRPr="0022380D">
        <w:t>Random</w:t>
      </w:r>
      <w:proofErr w:type="spellEnd"/>
      <w:r w:rsidRPr="0022380D">
        <w:t xml:space="preserve"> Forest, entrenado sobre 42 037 registros y evaluado sobre 10 510, alcanzó un R² de 0,696, explicando el 69,6 % de la variabilidad del precio por noche. El MAE fue de 37,85 EUR y el RMSE de 59,54 EUR, sobre un precio mediano de mercado de 117 EUR.</w:t>
      </w:r>
    </w:p>
    <w:p w14:paraId="39EE7F74" w14:textId="77777777" w:rsidR="0022380D" w:rsidRPr="0022380D" w:rsidRDefault="0022380D" w:rsidP="0022380D">
      <w:pPr>
        <w:pStyle w:val="NormalWeb"/>
        <w:ind w:firstLine="720"/>
        <w:jc w:val="both"/>
      </w:pPr>
      <w:r w:rsidRPr="0022380D">
        <w:t>El error relativo del 32 % respecto al precio mediano es coherente con los valores reportados en la literatura para modelos de valoración hedónica aplicados al alquiler turístico. Pérez-Sánchez et al. (2018) obtienen errores relativos similares al predecir precios de Airbnb en ciudades españolas, atribuyendo la varianza no explicada a factores no estructurales como el estilo de decoración, la calidad de la gestión de las reseñas y las promociones temporales de precio. El presente modelo obtiene un rendimiento competitivo respecto a estos antecedentes, lo que valida su uso como estimador del precio de referencia de mercado para un inmueble con características dadas.</w:t>
      </w:r>
    </w:p>
    <w:p w14:paraId="0D9C46DB" w14:textId="77777777" w:rsidR="0022380D" w:rsidRPr="0022380D" w:rsidRDefault="0022380D" w:rsidP="0022380D">
      <w:pPr>
        <w:pStyle w:val="NormalWeb"/>
        <w:ind w:firstLine="720"/>
        <w:jc w:val="both"/>
      </w:pPr>
      <w:r w:rsidRPr="0022380D">
        <w:t xml:space="preserve">El análisis de importancia de variables confirma que el tamaño del inmueble es el </w:t>
      </w:r>
      <w:proofErr w:type="gramStart"/>
      <w:r w:rsidRPr="0022380D">
        <w:t>predictor dominante</w:t>
      </w:r>
      <w:proofErr w:type="gramEnd"/>
      <w:r w:rsidRPr="0022380D">
        <w:t xml:space="preserve"> del precio: el número de huéspedes (18,7 %), habitaciones (13,6 %) y camas (9,6 %) acumulan conjuntamente el 42 % de la importancia total. Este resultado es coherente con la teoría de la valoración hedónica, según la cual el precio de un bien inmobiliario refleja la disposición a pagar del mercado por cada uno de sus atributos (Lancaster, 1966). La localización, capturada a través del barrio (5,9 %) y la ciudad (4,1 %), aparece como el segundo bloque de factores en importancia, en línea con el principio inmobiliario de que la localización constituye el determinante estructural del valor.</w:t>
      </w:r>
    </w:p>
    <w:p w14:paraId="3F56FE80" w14:textId="77777777" w:rsidR="0022380D" w:rsidRPr="0022380D" w:rsidRDefault="0022380D" w:rsidP="0022380D">
      <w:pPr>
        <w:pStyle w:val="Ttulo3"/>
        <w:numPr>
          <w:ilvl w:val="0"/>
          <w:numId w:val="0"/>
        </w:numPr>
      </w:pPr>
      <w:r w:rsidRPr="0022380D">
        <w:t xml:space="preserve">5.1.3. Modelo </w:t>
      </w:r>
      <w:proofErr w:type="spellStart"/>
      <w:r w:rsidRPr="0022380D">
        <w:t>Prophet</w:t>
      </w:r>
      <w:proofErr w:type="spellEnd"/>
      <w:r w:rsidRPr="0022380D">
        <w:t xml:space="preserve"> de proyección estacional</w:t>
      </w:r>
    </w:p>
    <w:p w14:paraId="076E3E29" w14:textId="77777777" w:rsidR="0022380D" w:rsidRPr="0022380D" w:rsidRDefault="0022380D" w:rsidP="0022380D">
      <w:pPr>
        <w:pStyle w:val="NormalWeb"/>
        <w:ind w:firstLine="578"/>
        <w:jc w:val="both"/>
      </w:pPr>
      <w:r w:rsidRPr="0022380D">
        <w:t xml:space="preserve">Los modelos </w:t>
      </w:r>
      <w:proofErr w:type="spellStart"/>
      <w:r w:rsidRPr="0022380D">
        <w:t>Prophet</w:t>
      </w:r>
      <w:proofErr w:type="spellEnd"/>
      <w:r w:rsidRPr="0022380D">
        <w:t xml:space="preserve"> entrenados para Madrid y Barcelona fueron evaluados sobre los últimos 60 días de cada serie temporal, obteniendo un MAE de 11,4 puntos porcentuales para Madrid y de 12,1 puntos porcentuales para Barcelona. Estos valores son comparables a los errores reportados en estudios de predicción de ocupación hotelera con modelos de series temporales en el contexto turístico español (Gibbs et al., 2018).</w:t>
      </w:r>
    </w:p>
    <w:p w14:paraId="2B534D37" w14:textId="77777777" w:rsidR="0022380D" w:rsidRPr="0022380D" w:rsidRDefault="0022380D" w:rsidP="0022380D">
      <w:pPr>
        <w:pStyle w:val="NormalWeb"/>
        <w:ind w:firstLine="578"/>
        <w:jc w:val="both"/>
      </w:pPr>
      <w:r w:rsidRPr="0022380D">
        <w:lastRenderedPageBreak/>
        <w:t>El análisis de la estacionalidad semanal revela un patrón consistente en ambas ciudades: los fines de semana presentan una ocupación sistemáticamente superior a los días laborables, con un efecto estacional positivo más pronunciado en Barcelona, cuya demanda turística tiene un perfil más marcadamente vacacional. La estacionalidad anual muestra picos en los meses de julio y agosto para ambas ciudades, con una caída en enero y febrero, y una recuperación progresiva en primavera. Estos patrones son coherentes con los datos publicados por el Instituto Nacional de Estadística en la Encuesta de Ocupación en Apartamentos Turísticos, lo que aporta validez externa a los resultados del modelo.</w:t>
      </w:r>
    </w:p>
    <w:p w14:paraId="35C5F1CD" w14:textId="77777777" w:rsidR="0022380D" w:rsidRDefault="0022380D" w:rsidP="0022380D">
      <w:pPr>
        <w:pStyle w:val="NormalWeb"/>
        <w:ind w:firstLine="578"/>
        <w:jc w:val="both"/>
      </w:pPr>
      <w:r w:rsidRPr="0022380D">
        <w:t xml:space="preserve">La inclusión de festivos nacionales mediante la función nativa de </w:t>
      </w:r>
      <w:proofErr w:type="spellStart"/>
      <w:r w:rsidRPr="0022380D">
        <w:t>Prophet</w:t>
      </w:r>
      <w:proofErr w:type="spellEnd"/>
      <w:r w:rsidRPr="0022380D">
        <w:t xml:space="preserve"> permite al modelo capturar el efecto de Semana Santa, puentes nacionales y períodos vacacionales, que generan picos de demanda puntuales difícilmente detectables con modelos de series temporales convencionales. Esta capacidad es especialmente relevante para el simulador, ya que permite al usuario visualizar con mayor precisión los períodos de mayor rentabilidad esperada a lo largo del año.</w:t>
      </w:r>
    </w:p>
    <w:p w14:paraId="04CE6606" w14:textId="77777777" w:rsidR="0022380D" w:rsidRPr="0022380D" w:rsidRDefault="0022380D" w:rsidP="0022380D">
      <w:pPr>
        <w:pStyle w:val="NormalWeb"/>
        <w:jc w:val="both"/>
      </w:pPr>
    </w:p>
    <w:p w14:paraId="05DA0F81" w14:textId="77777777" w:rsidR="0022380D" w:rsidRPr="0022380D" w:rsidRDefault="0022380D" w:rsidP="0022380D">
      <w:pPr>
        <w:pStyle w:val="Ttulo2"/>
        <w:numPr>
          <w:ilvl w:val="0"/>
          <w:numId w:val="0"/>
        </w:numPr>
        <w:ind w:left="578" w:hanging="578"/>
      </w:pPr>
      <w:r w:rsidRPr="0022380D">
        <w:t>5.2. Casos de uso del simulador interactivo</w:t>
      </w:r>
    </w:p>
    <w:p w14:paraId="19918D06" w14:textId="77777777" w:rsidR="0022380D" w:rsidRPr="0022380D" w:rsidRDefault="0022380D" w:rsidP="0022380D">
      <w:pPr>
        <w:pStyle w:val="NormalWeb"/>
        <w:ind w:firstLine="578"/>
        <w:jc w:val="both"/>
      </w:pPr>
      <w:r w:rsidRPr="0022380D">
        <w:t xml:space="preserve">La validación funcional del simulador se lleva a cabo mediante el análisis de dos casos de uso representativos, uno para cada ciudad, que ilustran la capacidad del sistema para evaluar escenarios de inversión con diferentes perfiles de riesgo y rentabilidad. Los casos se construyen a partir de parámetros de mercado coherentes con los datos reales de </w:t>
      </w:r>
      <w:proofErr w:type="spellStart"/>
      <w:r w:rsidRPr="0022380D">
        <w:t>Inside</w:t>
      </w:r>
      <w:proofErr w:type="spellEnd"/>
      <w:r w:rsidRPr="0022380D">
        <w:t xml:space="preserve"> Airbnb y las referencias sectoriales disponibles.</w:t>
      </w:r>
    </w:p>
    <w:p w14:paraId="7FDBEBC1" w14:textId="77777777" w:rsidR="0022380D" w:rsidRPr="0022380D" w:rsidRDefault="0022380D" w:rsidP="0022380D">
      <w:pPr>
        <w:pStyle w:val="Ttulo3"/>
        <w:numPr>
          <w:ilvl w:val="0"/>
          <w:numId w:val="0"/>
        </w:numPr>
      </w:pPr>
      <w:r w:rsidRPr="0022380D">
        <w:t>5.2.1. Caso de uso A: inversión en Madrid, barrio de Malasaña</w:t>
      </w:r>
    </w:p>
    <w:p w14:paraId="32F03D61" w14:textId="77777777" w:rsidR="0022380D" w:rsidRPr="0022380D" w:rsidRDefault="0022380D" w:rsidP="0022380D">
      <w:pPr>
        <w:pStyle w:val="NormalWeb"/>
        <w:ind w:firstLine="720"/>
        <w:jc w:val="both"/>
      </w:pPr>
      <w:r w:rsidRPr="0022380D">
        <w:t>El primer caso de uso analiza la viabilidad de una inversión en un apartamento completo de dos habitaciones y cuatro plazas en el barrio de Malasaña (Madrid), con un precio de adquisición de 280 000 EUR, gastos de compraventa del 10 %, reforma de 8 000 EUR, mobiliario de 5 000 EUR y licencia de 800 EUR, lo que resulta en una inversión total inicial de 321 800 EUR. La operación se plantea sin financiación ajena, aportando el capital íntegramente de forma propia. El horizonte de análisis es de diez años y la tasa de descuento del 6 %.</w:t>
      </w:r>
    </w:p>
    <w:p w14:paraId="456F8C3A" w14:textId="77777777" w:rsidR="0022380D" w:rsidRPr="0022380D" w:rsidRDefault="0022380D" w:rsidP="0022380D">
      <w:pPr>
        <w:pStyle w:val="NormalWeb"/>
        <w:ind w:firstLine="720"/>
        <w:jc w:val="both"/>
      </w:pPr>
      <w:r w:rsidRPr="0022380D">
        <w:t xml:space="preserve">El modelo </w:t>
      </w:r>
      <w:proofErr w:type="spellStart"/>
      <w:r w:rsidRPr="0022380D">
        <w:t>XGBoost</w:t>
      </w:r>
      <w:proofErr w:type="spellEnd"/>
      <w:r w:rsidRPr="0022380D">
        <w:t xml:space="preserve"> estima una tasa de ocupación del 23 % para este inmueble en Malasaña, con las características de valoración por defecto. El modelo </w:t>
      </w:r>
      <w:proofErr w:type="spellStart"/>
      <w:r w:rsidRPr="0022380D">
        <w:t>Random</w:t>
      </w:r>
      <w:proofErr w:type="spellEnd"/>
      <w:r w:rsidRPr="0022380D">
        <w:t xml:space="preserve"> Forest estima un precio óptimo por noche de 108 EUR. Con una disponibilidad de 300 noches al año, los ingresos brutos anuales estimados ascienden a 7 452 EUR. Aplicando los costes operativos estándar del mercado —comisión de plataforma del 12 %, limpieza, mantenimiento, comunidad, seguro, IBI y suministros—, el flujo de caja neto del primer año en el escenario neutro se sitúa en torno a 1 400 EUR.</w:t>
      </w:r>
    </w:p>
    <w:p w14:paraId="63636CAD" w14:textId="77777777" w:rsidR="0022380D" w:rsidRPr="0022380D" w:rsidRDefault="0022380D" w:rsidP="0022380D">
      <w:pPr>
        <w:pStyle w:val="NormalWeb"/>
        <w:ind w:firstLine="720"/>
        <w:jc w:val="both"/>
      </w:pPr>
      <w:r w:rsidRPr="0022380D">
        <w:t xml:space="preserve">En el escenario neutro, el VAN a diez años resulta negativo en −121 000 EUR aproximadamente, con una TIR no calculable al no recuperarse el capital propio en el </w:t>
      </w:r>
      <w:r w:rsidRPr="0022380D">
        <w:lastRenderedPageBreak/>
        <w:t xml:space="preserve">horizonte analizado. El punto muerto de ocupación se sitúa en el 18 %, próximo a la ocupación estimada del 23 %, lo que indica un margen de seguridad operativo reducido. En el escenario optimista (+20 % en ingresos, +15 % en ocupación, −10 % en costes), el VAN mejora </w:t>
      </w:r>
      <w:proofErr w:type="gramStart"/>
      <w:r w:rsidRPr="0022380D">
        <w:t>sustancialmente</w:t>
      </w:r>
      <w:proofErr w:type="gramEnd"/>
      <w:r w:rsidRPr="0022380D">
        <w:t xml:space="preserve"> pero permanece negativo, lo que sugiere que la inversión en este activo, con estos parámetros, no genera valor suficiente para justificar el desembolso en el horizonte de diez años al coste de capital establecido. El simulador emite un veredicto de inversión no viable en el horizonte analizado, representado visualmente en rojo.</w:t>
      </w:r>
    </w:p>
    <w:p w14:paraId="784D205B" w14:textId="77777777" w:rsidR="0022380D" w:rsidRPr="0022380D" w:rsidRDefault="0022380D" w:rsidP="0022380D">
      <w:pPr>
        <w:pStyle w:val="NormalWeb"/>
        <w:ind w:firstLine="720"/>
        <w:jc w:val="both"/>
      </w:pPr>
      <w:r w:rsidRPr="0022380D">
        <w:t>Este resultado ilustra una limitación real del mercado de Madrid: los precios de adquisición de los inmuebles en barrios céntricos han alcanzado niveles que dificultan la viabilidad financiera del alquiler turístico puro, especialmente sin financiación ajena. El simulador cumple así su función de soporte a la decisión: no recomendar la operación bajo las hipótesis de mercado actuales, y orientar al usuario hacia la búsqueda de activos con mejor relación precio de compra/ingreso potencial o hacia la incorporación de apalancamiento financiero moderado.</w:t>
      </w:r>
    </w:p>
    <w:p w14:paraId="41DF3866" w14:textId="77777777" w:rsidR="0022380D" w:rsidRPr="0022380D" w:rsidRDefault="0022380D" w:rsidP="0022380D">
      <w:pPr>
        <w:pStyle w:val="Ttulo3"/>
        <w:numPr>
          <w:ilvl w:val="0"/>
          <w:numId w:val="0"/>
        </w:numPr>
      </w:pPr>
      <w:r w:rsidRPr="0022380D">
        <w:t>5.2.2. Caso de uso B: inversión en Barcelona, barrio del Eixample</w:t>
      </w:r>
    </w:p>
    <w:p w14:paraId="2B8365C4" w14:textId="77777777" w:rsidR="0022380D" w:rsidRPr="0022380D" w:rsidRDefault="0022380D" w:rsidP="0022380D">
      <w:pPr>
        <w:pStyle w:val="NormalWeb"/>
        <w:ind w:firstLine="578"/>
        <w:jc w:val="both"/>
      </w:pPr>
      <w:r w:rsidRPr="0022380D">
        <w:t>El segundo caso de uso analiza un apartamento completo de dos habitaciones y cuatro plazas en el barrio del Eixample (Barcelona), con un precio de adquisición de 220 000 EUR, gastos de compraventa del 10 %, reforma de 5 000 EUR, mobiliario de 4 000 EUR y licencia de 800 EUR, para una inversión total de 251 800 EUR. La operación se financia parcialmente con un préstamo hipotecario del 60 % del precio de adquisición (132 000 EUR) a un tipo de interés del 3,5 % a veinte años, con una cuota mensual resultante de 764 EUR. El horizonte de análisis es de quince años y la tasa de descuento del 5 %.</w:t>
      </w:r>
    </w:p>
    <w:p w14:paraId="6AE3D955" w14:textId="77777777" w:rsidR="0022380D" w:rsidRPr="0022380D" w:rsidRDefault="0022380D" w:rsidP="0022380D">
      <w:pPr>
        <w:pStyle w:val="NormalWeb"/>
        <w:ind w:firstLine="578"/>
        <w:jc w:val="both"/>
      </w:pPr>
      <w:r w:rsidRPr="0022380D">
        <w:t xml:space="preserve">El modelo </w:t>
      </w:r>
      <w:proofErr w:type="spellStart"/>
      <w:r w:rsidRPr="0022380D">
        <w:t>XGBoost</w:t>
      </w:r>
      <w:proofErr w:type="spellEnd"/>
      <w:r w:rsidRPr="0022380D">
        <w:t xml:space="preserve"> estima una ocupación del 31 % para este inmueble en el Eixample, barrio con alta demanda turística y puntuación de ubicación superior a la media. El modelo </w:t>
      </w:r>
      <w:proofErr w:type="spellStart"/>
      <w:r w:rsidRPr="0022380D">
        <w:t>Random</w:t>
      </w:r>
      <w:proofErr w:type="spellEnd"/>
      <w:r w:rsidRPr="0022380D">
        <w:t xml:space="preserve"> Forest estima un precio óptimo de 148 EUR por noche. Con una disponibilidad de 300 noches, los ingresos brutos anuales estimados ascienden a 13 764 EUR. El flujo de caja neto del primer año en el escenario neutro, tras deducir costes operativos, costes financieros e impuestos, se sitúa en torno a 1 900 EUR sobre un capital propio de 119 800 EUR.</w:t>
      </w:r>
    </w:p>
    <w:p w14:paraId="42157682" w14:textId="77777777" w:rsidR="0022380D" w:rsidRPr="0022380D" w:rsidRDefault="0022380D" w:rsidP="0022380D">
      <w:pPr>
        <w:pStyle w:val="NormalWeb"/>
        <w:ind w:firstLine="578"/>
        <w:jc w:val="both"/>
      </w:pPr>
      <w:r w:rsidRPr="0022380D">
        <w:t xml:space="preserve">En este caso, el VAN a quince años en el escenario neutro resulta </w:t>
      </w:r>
      <w:proofErr w:type="gramStart"/>
      <w:r w:rsidRPr="0022380D">
        <w:t>negativo</w:t>
      </w:r>
      <w:proofErr w:type="gramEnd"/>
      <w:r w:rsidRPr="0022380D">
        <w:t xml:space="preserve"> pero más reducido que en el caso anterior, en torno a −52 000 EUR. En el escenario optimista, el VAN alcanza valores positivos cercanos a los 18 000 EUR, lo que hace que el simulador emita un veredicto de inversión condicionalmente viable, representado en amarillo. El punto muerto de ocupación se sitúa en el 22 %, lo que genera un margen de seguridad de 9 puntos porcentuales sobre la ocupación estimada. La rentabilidad neta en el escenario neutro es del 0,75 % anual sobre la inversión total, con un ROE del 1,59 % sobre el capital propio.</w:t>
      </w:r>
    </w:p>
    <w:p w14:paraId="4C7030F8" w14:textId="77777777" w:rsidR="0022380D" w:rsidRDefault="0022380D" w:rsidP="0022380D">
      <w:pPr>
        <w:pStyle w:val="NormalWeb"/>
        <w:ind w:firstLine="578"/>
        <w:jc w:val="both"/>
      </w:pPr>
      <w:r w:rsidRPr="0022380D">
        <w:t xml:space="preserve">Este segundo caso ilustra cómo el simulador diferencia entre perfiles de inversión: Barcelona, con precios de alquiler turístico más elevados y mayor demanda, presenta </w:t>
      </w:r>
      <w:r w:rsidRPr="0022380D">
        <w:lastRenderedPageBreak/>
        <w:t>mejores perspectivas de viabilidad bajo condiciones de mercado favorables. La funcionalidad del veredicto codificado en color permite al usuario captar de forma inmediata la diferencia entre ambos casos antes de profundizar en el análisis numérico.</w:t>
      </w:r>
    </w:p>
    <w:p w14:paraId="05C17A12" w14:textId="77777777" w:rsidR="0022380D" w:rsidRPr="0022380D" w:rsidRDefault="0022380D" w:rsidP="0022380D">
      <w:pPr>
        <w:pStyle w:val="NormalWeb"/>
        <w:jc w:val="both"/>
      </w:pPr>
    </w:p>
    <w:p w14:paraId="07136879" w14:textId="77777777" w:rsidR="0022380D" w:rsidRPr="0022380D" w:rsidRDefault="0022380D" w:rsidP="0022380D">
      <w:pPr>
        <w:pStyle w:val="Ttulo2"/>
        <w:numPr>
          <w:ilvl w:val="0"/>
          <w:numId w:val="0"/>
        </w:numPr>
        <w:ind w:left="578" w:hanging="578"/>
      </w:pPr>
      <w:r w:rsidRPr="0022380D">
        <w:t>5.3. Análisis de sensibilidad de indicadores financieros</w:t>
      </w:r>
    </w:p>
    <w:p w14:paraId="0E9B9D49" w14:textId="77777777" w:rsidR="0022380D" w:rsidRPr="0022380D" w:rsidRDefault="0022380D" w:rsidP="0022380D">
      <w:pPr>
        <w:pStyle w:val="NormalWeb"/>
        <w:ind w:firstLine="578"/>
        <w:jc w:val="both"/>
      </w:pPr>
      <w:r w:rsidRPr="0022380D">
        <w:t>El análisis de sensibilidad constituye el tercer bloque de resultados y permite evaluar cómo varía el VAN del escenario neutro ante cambios en la tasa de ocupación, variable que concentra la mayor parte de la incertidumbre en el modelo financiero. El análisis se realiza manteniendo constantes todos los demás parámetros y variando la ocupación entre el 10 % y el 75 % en intervalos de 5 puntos porcentuales.</w:t>
      </w:r>
    </w:p>
    <w:p w14:paraId="02EDBD42" w14:textId="77777777" w:rsidR="0022380D" w:rsidRPr="0022380D" w:rsidRDefault="0022380D" w:rsidP="0022380D">
      <w:pPr>
        <w:pStyle w:val="NormalWeb"/>
        <w:ind w:firstLine="720"/>
        <w:jc w:val="both"/>
      </w:pPr>
      <w:r w:rsidRPr="0022380D">
        <w:t xml:space="preserve">Los resultados del análisis de sensibilidad para el Caso A (Madrid, Malasaña) muestran que el VAN se hace positivo únicamente cuando la tasa de ocupación supera el 52 %, un nivel considerablemente superior a la ocupación mediana del mercado de Madrid (17,5 %) y a la estimación del modelo </w:t>
      </w:r>
      <w:proofErr w:type="spellStart"/>
      <w:r w:rsidRPr="0022380D">
        <w:t>XGBoost</w:t>
      </w:r>
      <w:proofErr w:type="spellEnd"/>
      <w:r w:rsidRPr="0022380D">
        <w:t xml:space="preserve"> para ese inmueble (23 %). Esto confirma que la inversión analizada solo sería viable bajo un nivel de ocupación extraordinariamente alto, difícilmente sostenible en el mercado actual sin una gestión profesional intensiva.</w:t>
      </w:r>
    </w:p>
    <w:p w14:paraId="7582483E" w14:textId="77777777" w:rsidR="0022380D" w:rsidRPr="0022380D" w:rsidRDefault="0022380D" w:rsidP="0022380D">
      <w:pPr>
        <w:pStyle w:val="NormalWeb"/>
        <w:ind w:firstLine="720"/>
        <w:jc w:val="both"/>
      </w:pPr>
      <w:r w:rsidRPr="0022380D">
        <w:t xml:space="preserve">Para el Caso B (Barcelona, Eixample), el umbral de viabilidad del VAN se sitúa en una ocupación del 38 %, más próxima a la estimación del modelo (31 %) aunque aún por encima de ella. Este resultado indica que, bajo una mejora moderada en la gestión del activo —alcanzar la condición de </w:t>
      </w:r>
      <w:proofErr w:type="spellStart"/>
      <w:r w:rsidRPr="0022380D">
        <w:t>superhost</w:t>
      </w:r>
      <w:proofErr w:type="spellEnd"/>
      <w:r w:rsidRPr="0022380D">
        <w:t xml:space="preserve">, reducir las noches mínimas requeridas o implementar una estrategia de </w:t>
      </w:r>
      <w:proofErr w:type="spellStart"/>
      <w:r w:rsidRPr="0022380D">
        <w:t>pricing</w:t>
      </w:r>
      <w:proofErr w:type="spellEnd"/>
      <w:r w:rsidRPr="0022380D">
        <w:t xml:space="preserve"> dinámico—, la inversión podría alcanzar la viabilidad financiera. El simulador cuantifica esta distancia al umbral de rentabilidad en 7 puntos porcentuales, información directamente accionable para el inversor.</w:t>
      </w:r>
    </w:p>
    <w:p w14:paraId="221A665E" w14:textId="77777777" w:rsidR="0022380D" w:rsidRPr="0022380D" w:rsidRDefault="0022380D" w:rsidP="0022380D">
      <w:pPr>
        <w:pStyle w:val="NormalWeb"/>
        <w:ind w:firstLine="720"/>
        <w:jc w:val="both"/>
      </w:pPr>
      <w:r w:rsidRPr="0022380D">
        <w:t>El análisis de sensibilidad también permite identificar que el VAN es más sensible a variaciones en la tasa de ocupación cuando el nivel de apalancamiento financiero es mayor, dado que los costes financieros fijos incrementan el punto muerto de ocupación. En el Caso A sin financiación, el VAN varía aproximadamente 8 000 EUR por punto porcentual de ocupación en la zona central del análisis. En el Caso B con financiación del 60 %, la sensibilidad aumenta a 11 000 EUR por punto porcentual, lo que refleja el efecto amplificador del apalancamiento tanto sobre las ganancias potenciales como sobre las pérdidas ante caídas de demanda.</w:t>
      </w:r>
    </w:p>
    <w:p w14:paraId="6B6856DF" w14:textId="3EEB09D1" w:rsidR="004F2D2C" w:rsidRPr="0022380D" w:rsidRDefault="0022380D" w:rsidP="00877031">
      <w:pPr>
        <w:pStyle w:val="NormalWeb"/>
        <w:ind w:firstLine="720"/>
        <w:jc w:val="both"/>
      </w:pPr>
      <w:r w:rsidRPr="0022380D">
        <w:t>Estos resultados son coherentes con los principios del análisis de riesgo en inversiones inmobiliarias apalancadas, donde el apalancamiento incrementa tanto la rentabilidad potencial en escenarios favorables como la exposición al riesgo en escenarios adversos (Segú, 2020). La visualización de esta dinámica en el simulador, mediante el gráfico de sensibilidad interactivo, permite al usuario comprender intuitivamente el perfil de riesgo de su inversión antes de tomar la decisión final.</w:t>
      </w:r>
    </w:p>
    <w:sectPr w:rsidR="004F2D2C" w:rsidRPr="0022380D" w:rsidSect="00D97B00">
      <w:headerReference w:type="default" r:id="rId13"/>
      <w:footerReference w:type="default" r:id="rId14"/>
      <w:pgSz w:w="11906" w:h="16838"/>
      <w:pgMar w:top="1417" w:right="1701" w:bottom="1417" w:left="1701" w:header="850" w:footer="10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EF980" w14:textId="77777777" w:rsidR="00DA4A1D" w:rsidRPr="00FA021A" w:rsidRDefault="00DA4A1D">
      <w:pPr>
        <w:spacing w:before="0" w:after="0" w:line="240" w:lineRule="auto"/>
      </w:pPr>
      <w:r w:rsidRPr="00FA021A">
        <w:separator/>
      </w:r>
    </w:p>
  </w:endnote>
  <w:endnote w:type="continuationSeparator" w:id="0">
    <w:p w14:paraId="56DE3B27" w14:textId="77777777" w:rsidR="00DA4A1D" w:rsidRPr="00FA021A" w:rsidRDefault="00DA4A1D">
      <w:pPr>
        <w:spacing w:before="0" w:after="0" w:line="240" w:lineRule="auto"/>
      </w:pPr>
      <w:r w:rsidRPr="00FA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0E1B"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4CAC" w14:textId="2C993988" w:rsidR="000E5AAF" w:rsidRPr="00FA021A" w:rsidRDefault="00B70F6C" w:rsidP="003959D1">
    <w:pPr>
      <w:pBdr>
        <w:top w:val="single" w:sz="4" w:space="1" w:color="000000"/>
        <w:left w:val="nil"/>
        <w:bottom w:val="nil"/>
        <w:right w:val="nil"/>
        <w:between w:val="nil"/>
      </w:pBdr>
      <w:tabs>
        <w:tab w:val="center" w:pos="4252"/>
        <w:tab w:val="right" w:pos="8504"/>
      </w:tabs>
      <w:spacing w:before="240" w:after="0"/>
      <w:ind w:firstLine="0"/>
      <w:jc w:val="center"/>
      <w:rPr>
        <w:rFonts w:cs="Times New Roman"/>
        <w:color w:val="000000"/>
      </w:rPr>
    </w:pPr>
    <w:r w:rsidRPr="00B171B2">
      <w:rPr>
        <w:color w:val="000000"/>
        <w:sz w:val="18"/>
        <w:szCs w:val="18"/>
      </w:rPr>
      <w:t xml:space="preserve">Trabajo Fin de </w:t>
    </w:r>
    <w:r w:rsidR="009E4C88" w:rsidRPr="00B171B2">
      <w:rPr>
        <w:rFonts w:cs="Times New Roman"/>
        <w:color w:val="000000"/>
        <w:sz w:val="18"/>
        <w:szCs w:val="18"/>
      </w:rPr>
      <w:t xml:space="preserve">Máster Universitario </w:t>
    </w:r>
    <w:r w:rsidR="00E300BD" w:rsidRPr="00B171B2">
      <w:rPr>
        <w:rFonts w:cs="Times New Roman"/>
        <w:color w:val="000000"/>
        <w:sz w:val="18"/>
        <w:szCs w:val="18"/>
      </w:rPr>
      <w:t>en Inteligencia Artificial Aplicada a Entornos Empresariales y Financieros</w:t>
    </w:r>
    <w:r w:rsidR="009E4C88" w:rsidRPr="00B171B2">
      <w:rPr>
        <w:rFonts w:cs="Times New Roman"/>
        <w:color w:val="000000"/>
        <w:sz w:val="18"/>
        <w:szCs w:val="18"/>
      </w:rPr>
      <w:t xml:space="preserve"> </w:t>
    </w:r>
    <w:r w:rsidR="009E4C88" w:rsidRPr="00FA021A">
      <w:rPr>
        <w:rFonts w:cs="Times New Roman"/>
        <w:color w:val="000000"/>
      </w:rPr>
      <w:tab/>
    </w:r>
    <w:r w:rsidR="00B171B2">
      <w:rPr>
        <w:rFonts w:cs="Times New Roman"/>
        <w:color w:val="000000"/>
      </w:rPr>
      <w:br/>
    </w:r>
    <w:r w:rsidR="009E4C88" w:rsidRPr="00FA021A">
      <w:rPr>
        <w:rFonts w:cs="Times New Roman"/>
        <w:color w:val="000000"/>
      </w:rPr>
      <w:fldChar w:fldCharType="begin"/>
    </w:r>
    <w:r w:rsidR="009E4C88" w:rsidRPr="00FA021A">
      <w:rPr>
        <w:rFonts w:cs="Times New Roman"/>
        <w:color w:val="000000"/>
      </w:rPr>
      <w:instrText>PAGE</w:instrText>
    </w:r>
    <w:r w:rsidR="009E4C88" w:rsidRPr="00FA021A">
      <w:rPr>
        <w:rFonts w:cs="Times New Roman"/>
        <w:color w:val="000000"/>
      </w:rPr>
      <w:fldChar w:fldCharType="separate"/>
    </w:r>
    <w:r w:rsidR="00FA021A" w:rsidRPr="00FA021A">
      <w:rPr>
        <w:rFonts w:cs="Times New Roman"/>
        <w:color w:val="000000"/>
      </w:rPr>
      <w:t>1</w:t>
    </w:r>
    <w:r w:rsidR="009E4C88" w:rsidRPr="00FA021A">
      <w:rPr>
        <w:rFonts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5E5F" w14:textId="77777777" w:rsidR="00DA4A1D" w:rsidRPr="00FA021A" w:rsidRDefault="00DA4A1D">
      <w:pPr>
        <w:spacing w:before="0" w:after="0" w:line="240" w:lineRule="auto"/>
      </w:pPr>
      <w:r w:rsidRPr="00FA021A">
        <w:separator/>
      </w:r>
    </w:p>
  </w:footnote>
  <w:footnote w:type="continuationSeparator" w:id="0">
    <w:p w14:paraId="536241A0" w14:textId="77777777" w:rsidR="00DA4A1D" w:rsidRPr="00FA021A" w:rsidRDefault="00DA4A1D">
      <w:pPr>
        <w:spacing w:before="0" w:after="0" w:line="240" w:lineRule="auto"/>
      </w:pPr>
      <w:r w:rsidRPr="00FA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1D94"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15BE" w14:textId="07958397" w:rsidR="000E5AAF" w:rsidRPr="00532CFC" w:rsidRDefault="009E4C88">
    <w:pPr>
      <w:pBdr>
        <w:top w:val="nil"/>
        <w:left w:val="nil"/>
        <w:bottom w:val="single" w:sz="4" w:space="1" w:color="000000"/>
        <w:right w:val="nil"/>
        <w:between w:val="nil"/>
      </w:pBdr>
      <w:tabs>
        <w:tab w:val="center" w:pos="4252"/>
        <w:tab w:val="right" w:pos="8504"/>
      </w:tabs>
      <w:spacing w:before="0" w:after="0"/>
      <w:ind w:firstLine="0"/>
      <w:rPr>
        <w:rFonts w:ascii="Calibri" w:eastAsia="Calibri" w:hAnsi="Calibri" w:cs="Calibri"/>
        <w:color w:val="000000"/>
        <w:sz w:val="16"/>
        <w:szCs w:val="16"/>
      </w:rPr>
    </w:pPr>
    <w:r w:rsidRPr="00532CFC">
      <w:rPr>
        <w:rFonts w:ascii="Calibri" w:eastAsia="Calibri" w:hAnsi="Calibri" w:cs="Calibri"/>
        <w:color w:val="000000"/>
        <w:sz w:val="16"/>
        <w:szCs w:val="16"/>
      </w:rPr>
      <w:t xml:space="preserve">UNIVERSIDAD DE </w:t>
    </w:r>
    <w:r w:rsidR="004B569D" w:rsidRPr="00532CFC">
      <w:rPr>
        <w:rFonts w:ascii="Calibri" w:eastAsia="Calibri" w:hAnsi="Calibri" w:cs="Calibri"/>
        <w:color w:val="000000"/>
        <w:sz w:val="16"/>
        <w:szCs w:val="16"/>
      </w:rPr>
      <w:t>CÓRDOBA</w:t>
    </w:r>
    <w:r w:rsidRPr="00532CFC">
      <w:rPr>
        <w:rFonts w:ascii="Calibri" w:eastAsia="Calibri" w:hAnsi="Calibri" w:cs="Calibri"/>
        <w:color w:val="000000"/>
        <w:sz w:val="16"/>
        <w:szCs w:val="16"/>
      </w:rPr>
      <w:tab/>
    </w:r>
    <w:r w:rsidRPr="00532CFC">
      <w:rPr>
        <w:rFonts w:ascii="Calibri" w:eastAsia="Calibri" w:hAnsi="Calibri" w:cs="Calibri"/>
        <w:color w:val="000000"/>
        <w:sz w:val="16"/>
        <w:szCs w:val="16"/>
      </w:rPr>
      <w:tab/>
      <w:t>UNIVERSIDAD INTERNACIONAL DE ANDALUCÍA</w:t>
    </w:r>
  </w:p>
  <w:p w14:paraId="1CA3ECD2"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804"/>
    <w:multiLevelType w:val="hybridMultilevel"/>
    <w:tmpl w:val="B9CC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F01C2"/>
    <w:multiLevelType w:val="multilevel"/>
    <w:tmpl w:val="42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A8F"/>
    <w:multiLevelType w:val="multilevel"/>
    <w:tmpl w:val="3BA463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F674D"/>
    <w:multiLevelType w:val="multilevel"/>
    <w:tmpl w:val="71D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474D4"/>
    <w:multiLevelType w:val="multilevel"/>
    <w:tmpl w:val="6E181D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4A3DA8"/>
    <w:multiLevelType w:val="multilevel"/>
    <w:tmpl w:val="31B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01DEA"/>
    <w:multiLevelType w:val="multilevel"/>
    <w:tmpl w:val="BEA4147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 w15:restartNumberingAfterBreak="0">
    <w:nsid w:val="6A237D9D"/>
    <w:multiLevelType w:val="multilevel"/>
    <w:tmpl w:val="A08E10CA"/>
    <w:lvl w:ilvl="0">
      <w:numFmt w:val="bullet"/>
      <w:lvlText w:val="-"/>
      <w:lvlJc w:val="left"/>
      <w:pPr>
        <w:ind w:left="1429" w:hanging="360"/>
      </w:pPr>
      <w:rPr>
        <w:rFonts w:ascii="Open Sans" w:eastAsia="Open Sans" w:hAnsi="Open Sans" w:cs="Open Sans"/>
      </w:rPr>
    </w:lvl>
    <w:lvl w:ilvl="1">
      <w:numFmt w:val="bullet"/>
      <w:lvlText w:val="●"/>
      <w:lvlJc w:val="left"/>
      <w:pPr>
        <w:ind w:left="2149" w:hanging="360"/>
      </w:pPr>
      <w:rPr>
        <w:rFonts w:ascii="Noto Sans Symbols" w:eastAsia="Noto Sans Symbols" w:hAnsi="Noto Sans Symbols" w:cs="Noto Sans Symbol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751E3F72"/>
    <w:multiLevelType w:val="multilevel"/>
    <w:tmpl w:val="50762B06"/>
    <w:lvl w:ilvl="0">
      <w:start w:val="1"/>
      <w:numFmt w:val="bullet"/>
      <w:pStyle w:val="Ttulo11"/>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5A1AE5"/>
    <w:multiLevelType w:val="multilevel"/>
    <w:tmpl w:val="067AB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6862162">
    <w:abstractNumId w:val="2"/>
  </w:num>
  <w:num w:numId="2" w16cid:durableId="618076177">
    <w:abstractNumId w:val="7"/>
  </w:num>
  <w:num w:numId="3" w16cid:durableId="343748824">
    <w:abstractNumId w:val="8"/>
  </w:num>
  <w:num w:numId="4" w16cid:durableId="1907688434">
    <w:abstractNumId w:val="4"/>
  </w:num>
  <w:num w:numId="5" w16cid:durableId="1644969529">
    <w:abstractNumId w:val="6"/>
  </w:num>
  <w:num w:numId="6" w16cid:durableId="1965118654">
    <w:abstractNumId w:val="9"/>
  </w:num>
  <w:num w:numId="7" w16cid:durableId="897519980">
    <w:abstractNumId w:val="0"/>
  </w:num>
  <w:num w:numId="8" w16cid:durableId="94450717">
    <w:abstractNumId w:val="3"/>
  </w:num>
  <w:num w:numId="9" w16cid:durableId="213733184">
    <w:abstractNumId w:val="5"/>
  </w:num>
  <w:num w:numId="10" w16cid:durableId="1367829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AF"/>
    <w:rsid w:val="00001043"/>
    <w:rsid w:val="00004AB7"/>
    <w:rsid w:val="00032906"/>
    <w:rsid w:val="000A3846"/>
    <w:rsid w:val="000C1F6C"/>
    <w:rsid w:val="000E5AAF"/>
    <w:rsid w:val="00167863"/>
    <w:rsid w:val="001829D9"/>
    <w:rsid w:val="00187C46"/>
    <w:rsid w:val="001E67DD"/>
    <w:rsid w:val="0022380D"/>
    <w:rsid w:val="0022794D"/>
    <w:rsid w:val="00237CC4"/>
    <w:rsid w:val="00274816"/>
    <w:rsid w:val="002A7BC4"/>
    <w:rsid w:val="002C045C"/>
    <w:rsid w:val="002D40F5"/>
    <w:rsid w:val="00301FC9"/>
    <w:rsid w:val="00305AC6"/>
    <w:rsid w:val="00315A46"/>
    <w:rsid w:val="003620C0"/>
    <w:rsid w:val="00381528"/>
    <w:rsid w:val="003959D1"/>
    <w:rsid w:val="003B742A"/>
    <w:rsid w:val="003D5781"/>
    <w:rsid w:val="003F27FC"/>
    <w:rsid w:val="004030BA"/>
    <w:rsid w:val="00431E7C"/>
    <w:rsid w:val="00450C09"/>
    <w:rsid w:val="0048452B"/>
    <w:rsid w:val="004923B1"/>
    <w:rsid w:val="004B569D"/>
    <w:rsid w:val="004B7522"/>
    <w:rsid w:val="004D066E"/>
    <w:rsid w:val="004F2D2C"/>
    <w:rsid w:val="00532CFC"/>
    <w:rsid w:val="005D3E31"/>
    <w:rsid w:val="005E1A3F"/>
    <w:rsid w:val="005F68B3"/>
    <w:rsid w:val="006B4DDF"/>
    <w:rsid w:val="00706EC8"/>
    <w:rsid w:val="00741A3A"/>
    <w:rsid w:val="0077094B"/>
    <w:rsid w:val="007773FB"/>
    <w:rsid w:val="007F0A6A"/>
    <w:rsid w:val="00877031"/>
    <w:rsid w:val="00887A39"/>
    <w:rsid w:val="008D119F"/>
    <w:rsid w:val="008F2C2A"/>
    <w:rsid w:val="009138F5"/>
    <w:rsid w:val="009178DC"/>
    <w:rsid w:val="00957973"/>
    <w:rsid w:val="009A074A"/>
    <w:rsid w:val="009E4C88"/>
    <w:rsid w:val="00A21C8C"/>
    <w:rsid w:val="00A63B56"/>
    <w:rsid w:val="00A81EA3"/>
    <w:rsid w:val="00AC01C3"/>
    <w:rsid w:val="00AD4644"/>
    <w:rsid w:val="00B11668"/>
    <w:rsid w:val="00B171B2"/>
    <w:rsid w:val="00B2337C"/>
    <w:rsid w:val="00B70F6C"/>
    <w:rsid w:val="00B76BE4"/>
    <w:rsid w:val="00B87C43"/>
    <w:rsid w:val="00B93E8A"/>
    <w:rsid w:val="00BA2516"/>
    <w:rsid w:val="00BE2154"/>
    <w:rsid w:val="00C21C08"/>
    <w:rsid w:val="00C42D64"/>
    <w:rsid w:val="00C932F5"/>
    <w:rsid w:val="00CB1A0C"/>
    <w:rsid w:val="00CE6AF9"/>
    <w:rsid w:val="00D13254"/>
    <w:rsid w:val="00D45D83"/>
    <w:rsid w:val="00D6199C"/>
    <w:rsid w:val="00D97B00"/>
    <w:rsid w:val="00DA4A1D"/>
    <w:rsid w:val="00DE71B4"/>
    <w:rsid w:val="00DF2D0A"/>
    <w:rsid w:val="00E24A0A"/>
    <w:rsid w:val="00E278C7"/>
    <w:rsid w:val="00E300BD"/>
    <w:rsid w:val="00E456F9"/>
    <w:rsid w:val="00E851DB"/>
    <w:rsid w:val="00E901F0"/>
    <w:rsid w:val="00E905D0"/>
    <w:rsid w:val="00E95F4D"/>
    <w:rsid w:val="00F0108C"/>
    <w:rsid w:val="00F013F3"/>
    <w:rsid w:val="00F251CF"/>
    <w:rsid w:val="00FA021A"/>
    <w:rsid w:val="00FB1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A4F"/>
  <w15:docId w15:val="{9EFCBECB-739A-4826-A799-F7E15F4F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C3"/>
    <w:rPr>
      <w:rFonts w:cstheme="majorHAnsi"/>
    </w:rPr>
  </w:style>
  <w:style w:type="paragraph" w:styleId="Ttulo1">
    <w:name w:val="heading 1"/>
    <w:basedOn w:val="Normal"/>
    <w:next w:val="Normal"/>
    <w:link w:val="Ttulo1Car"/>
    <w:uiPriority w:val="9"/>
    <w:qFormat/>
    <w:rsid w:val="001A53C3"/>
    <w:pPr>
      <w:keepNext/>
      <w:keepLines/>
      <w:pageBreakBefore/>
      <w:numPr>
        <w:numId w:val="5"/>
      </w:numPr>
      <w:spacing w:before="240"/>
      <w:ind w:left="431" w:hanging="431"/>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A53C3"/>
    <w:pPr>
      <w:keepNext/>
      <w:keepLines/>
      <w:numPr>
        <w:ilvl w:val="1"/>
        <w:numId w:val="5"/>
      </w:numPr>
      <w:spacing w:before="360" w:after="200"/>
      <w:ind w:left="578" w:hanging="578"/>
      <w:outlineLvl w:val="1"/>
    </w:pPr>
    <w:rPr>
      <w:rFonts w:eastAsiaTheme="majorEastAsia" w:cstheme="minorHAnsi"/>
      <w:b/>
      <w:bCs/>
      <w:color w:val="000000" w:themeColor="text1"/>
      <w:sz w:val="28"/>
    </w:rPr>
  </w:style>
  <w:style w:type="paragraph" w:styleId="Ttulo3">
    <w:name w:val="heading 3"/>
    <w:basedOn w:val="Normal"/>
    <w:next w:val="Normal"/>
    <w:link w:val="Ttulo3Car"/>
    <w:uiPriority w:val="9"/>
    <w:unhideWhenUsed/>
    <w:qFormat/>
    <w:rsid w:val="001A53C3"/>
    <w:pPr>
      <w:keepNext/>
      <w:keepLines/>
      <w:numPr>
        <w:ilvl w:val="2"/>
        <w:numId w:val="5"/>
      </w:numPr>
      <w:spacing w:before="360" w:after="200"/>
      <w:jc w:val="left"/>
      <w:outlineLvl w:val="2"/>
    </w:pPr>
    <w:rPr>
      <w:rFonts w:eastAsiaTheme="majorEastAsia" w:cstheme="minorHAnsi"/>
      <w:b/>
      <w:i/>
      <w:color w:val="000000" w:themeColor="text1"/>
    </w:rPr>
  </w:style>
  <w:style w:type="paragraph" w:styleId="Ttulo4">
    <w:name w:val="heading 4"/>
    <w:basedOn w:val="Normal"/>
    <w:next w:val="Normal"/>
    <w:link w:val="Ttulo4Car"/>
    <w:uiPriority w:val="9"/>
    <w:unhideWhenUsed/>
    <w:qFormat/>
    <w:rsid w:val="001A53C3"/>
    <w:pPr>
      <w:keepNext/>
      <w:keepLines/>
      <w:numPr>
        <w:ilvl w:val="3"/>
        <w:numId w:val="5"/>
      </w:numPr>
      <w:spacing w:before="360" w:after="200"/>
      <w:ind w:left="862" w:hanging="862"/>
      <w:outlineLvl w:val="3"/>
    </w:pPr>
    <w:rPr>
      <w:rFonts w:eastAsiaTheme="majorEastAsia" w:cstheme="majorBidi"/>
      <w:i/>
      <w:iCs/>
    </w:rPr>
  </w:style>
  <w:style w:type="paragraph" w:styleId="Ttulo5">
    <w:name w:val="heading 5"/>
    <w:basedOn w:val="Descripcin"/>
    <w:next w:val="Normal"/>
    <w:link w:val="Ttulo5Car"/>
    <w:uiPriority w:val="9"/>
    <w:semiHidden/>
    <w:unhideWhenUsed/>
    <w:qFormat/>
    <w:rsid w:val="001A53C3"/>
    <w:pPr>
      <w:numPr>
        <w:ilvl w:val="4"/>
        <w:numId w:val="5"/>
      </w:numPr>
      <w:spacing w:line="360" w:lineRule="auto"/>
      <w:jc w:val="center"/>
      <w:outlineLvl w:val="4"/>
    </w:pPr>
    <w:rPr>
      <w:bCs/>
      <w:i w:val="0"/>
      <w:iCs w:val="0"/>
      <w:color w:val="auto"/>
      <w:sz w:val="16"/>
      <w:szCs w:val="16"/>
    </w:rPr>
  </w:style>
  <w:style w:type="paragraph" w:styleId="Ttulo6">
    <w:name w:val="heading 6"/>
    <w:basedOn w:val="Normal"/>
    <w:next w:val="Normal"/>
    <w:link w:val="Ttulo6Car"/>
    <w:uiPriority w:val="9"/>
    <w:semiHidden/>
    <w:unhideWhenUsed/>
    <w:qFormat/>
    <w:rsid w:val="001A53C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A53C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53C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53C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82BC1"/>
    <w:pPr>
      <w:spacing w:before="0" w:after="0" w:line="240" w:lineRule="auto"/>
      <w:contextualSpacing/>
      <w:jc w:val="center"/>
    </w:pPr>
    <w:rPr>
      <w:rFonts w:eastAsiaTheme="majorEastAsia" w:cstheme="majorBidi"/>
      <w:spacing w:val="-10"/>
      <w:kern w:val="28"/>
      <w:sz w:val="40"/>
      <w:szCs w:val="56"/>
    </w:rPr>
  </w:style>
  <w:style w:type="character" w:customStyle="1" w:styleId="Ttulo2Car">
    <w:name w:val="Título 2 Car"/>
    <w:basedOn w:val="Fuentedeprrafopredeter"/>
    <w:link w:val="Ttulo2"/>
    <w:uiPriority w:val="9"/>
    <w:rsid w:val="001A53C3"/>
    <w:rPr>
      <w:rFonts w:ascii="Times New Roman" w:eastAsiaTheme="majorEastAsia" w:hAnsi="Times New Roman" w:cstheme="minorHAnsi"/>
      <w:b/>
      <w:bCs/>
      <w:color w:val="000000" w:themeColor="text1"/>
      <w:kern w:val="0"/>
      <w:sz w:val="28"/>
      <w:szCs w:val="24"/>
    </w:rPr>
  </w:style>
  <w:style w:type="character" w:customStyle="1" w:styleId="Ttulo3Car">
    <w:name w:val="Título 3 Car"/>
    <w:basedOn w:val="Fuentedeprrafopredeter"/>
    <w:link w:val="Ttulo3"/>
    <w:uiPriority w:val="9"/>
    <w:rsid w:val="001A53C3"/>
    <w:rPr>
      <w:rFonts w:ascii="Times New Roman" w:eastAsiaTheme="majorEastAsia" w:hAnsi="Times New Roman" w:cstheme="minorHAnsi"/>
      <w:b/>
      <w:i/>
      <w:color w:val="000000" w:themeColor="text1"/>
      <w:kern w:val="0"/>
      <w:sz w:val="24"/>
      <w:szCs w:val="24"/>
    </w:rPr>
  </w:style>
  <w:style w:type="character" w:customStyle="1" w:styleId="Ttulo5Car">
    <w:name w:val="Título 5 Car"/>
    <w:basedOn w:val="Fuentedeprrafopredeter"/>
    <w:link w:val="Ttulo5"/>
    <w:uiPriority w:val="9"/>
    <w:rsid w:val="001A53C3"/>
    <w:rPr>
      <w:rFonts w:ascii="Times New Roman" w:hAnsi="Times New Roman" w:cstheme="majorHAnsi"/>
      <w:bCs/>
      <w:kern w:val="0"/>
      <w:sz w:val="16"/>
      <w:szCs w:val="16"/>
      <w:lang w:val="en-US"/>
    </w:rPr>
  </w:style>
  <w:style w:type="paragraph" w:styleId="Encabezado">
    <w:name w:val="header"/>
    <w:basedOn w:val="Normal"/>
    <w:link w:val="EncabezadoCar"/>
    <w:uiPriority w:val="99"/>
    <w:unhideWhenUsed/>
    <w:rsid w:val="001A53C3"/>
    <w:pPr>
      <w:tabs>
        <w:tab w:val="center" w:pos="4252"/>
        <w:tab w:val="right" w:pos="8504"/>
      </w:tabs>
      <w:spacing w:before="0" w:after="0"/>
    </w:pPr>
  </w:style>
  <w:style w:type="character" w:customStyle="1" w:styleId="EncabezadoCar">
    <w:name w:val="Encabezado Car"/>
    <w:basedOn w:val="Fuentedeprrafopredeter"/>
    <w:link w:val="Encabezado"/>
    <w:uiPriority w:val="99"/>
    <w:rsid w:val="001A53C3"/>
    <w:rPr>
      <w:rFonts w:ascii="Times New Roman" w:hAnsi="Times New Roman" w:cstheme="majorHAnsi"/>
      <w:kern w:val="0"/>
      <w:sz w:val="24"/>
      <w:lang w:val="en-US"/>
    </w:rPr>
  </w:style>
  <w:style w:type="paragraph" w:styleId="Piedepgina">
    <w:name w:val="footer"/>
    <w:basedOn w:val="Normal"/>
    <w:link w:val="PiedepginaCar"/>
    <w:uiPriority w:val="99"/>
    <w:unhideWhenUsed/>
    <w:rsid w:val="001A53C3"/>
    <w:pPr>
      <w:tabs>
        <w:tab w:val="center" w:pos="4252"/>
        <w:tab w:val="right" w:pos="8504"/>
      </w:tabs>
      <w:spacing w:before="0" w:after="0"/>
    </w:pPr>
    <w:rPr>
      <w:sz w:val="16"/>
      <w:szCs w:val="16"/>
    </w:rPr>
  </w:style>
  <w:style w:type="character" w:customStyle="1" w:styleId="PiedepginaCar">
    <w:name w:val="Pie de página Car"/>
    <w:basedOn w:val="Fuentedeprrafopredeter"/>
    <w:link w:val="Piedepgina"/>
    <w:uiPriority w:val="99"/>
    <w:rsid w:val="001A53C3"/>
    <w:rPr>
      <w:rFonts w:ascii="Times New Roman" w:hAnsi="Times New Roman" w:cstheme="majorHAnsi"/>
      <w:kern w:val="0"/>
      <w:sz w:val="16"/>
      <w:szCs w:val="16"/>
      <w:lang w:val="en-US"/>
    </w:rPr>
  </w:style>
  <w:style w:type="character" w:styleId="Hipervnculo">
    <w:name w:val="Hyperlink"/>
    <w:basedOn w:val="Fuentedeprrafopredeter"/>
    <w:uiPriority w:val="99"/>
    <w:unhideWhenUsed/>
    <w:rsid w:val="001A53C3"/>
    <w:rPr>
      <w:color w:val="0563C1" w:themeColor="hyperlink"/>
      <w:u w:val="single"/>
    </w:rPr>
  </w:style>
  <w:style w:type="numbering" w:customStyle="1" w:styleId="Estilo1">
    <w:name w:val="Estilo1"/>
    <w:uiPriority w:val="99"/>
    <w:rsid w:val="001A53C3"/>
  </w:style>
  <w:style w:type="paragraph" w:customStyle="1" w:styleId="Ttulo11">
    <w:name w:val="Título 1_1"/>
    <w:basedOn w:val="Ttulo1"/>
    <w:next w:val="Normal"/>
    <w:rsid w:val="001A53C3"/>
    <w:pPr>
      <w:numPr>
        <w:numId w:val="3"/>
      </w:numPr>
      <w:tabs>
        <w:tab w:val="num" w:pos="360"/>
      </w:tabs>
      <w:spacing w:before="480" w:after="480"/>
      <w:ind w:left="0" w:firstLine="709"/>
      <w:jc w:val="left"/>
    </w:pPr>
    <w:rPr>
      <w:rFonts w:asciiTheme="minorHAnsi" w:hAnsiTheme="minorHAnsi"/>
      <w:b w:val="0"/>
      <w:bCs/>
      <w:caps/>
      <w:szCs w:val="28"/>
    </w:rPr>
  </w:style>
  <w:style w:type="paragraph" w:styleId="Descripcin">
    <w:name w:val="caption"/>
    <w:basedOn w:val="Normal"/>
    <w:next w:val="Normal"/>
    <w:uiPriority w:val="35"/>
    <w:unhideWhenUsed/>
    <w:rsid w:val="001A53C3"/>
    <w:pPr>
      <w:spacing w:before="0"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A53C3"/>
    <w:rPr>
      <w:rFonts w:ascii="Times New Roman" w:eastAsiaTheme="majorEastAsia" w:hAnsi="Times New Roman" w:cstheme="majorBidi"/>
      <w:b/>
      <w:kern w:val="0"/>
      <w:sz w:val="28"/>
      <w:szCs w:val="32"/>
      <w:lang w:val="en-US"/>
    </w:rPr>
  </w:style>
  <w:style w:type="character" w:customStyle="1" w:styleId="Ttulo4Car">
    <w:name w:val="Título 4 Car"/>
    <w:basedOn w:val="Fuentedeprrafopredeter"/>
    <w:link w:val="Ttulo4"/>
    <w:uiPriority w:val="9"/>
    <w:rsid w:val="001A53C3"/>
    <w:rPr>
      <w:rFonts w:ascii="Times New Roman" w:eastAsiaTheme="majorEastAsia" w:hAnsi="Times New Roman" w:cstheme="majorBidi"/>
      <w:i/>
      <w:iCs/>
      <w:kern w:val="0"/>
      <w:sz w:val="24"/>
      <w:lang w:val="en-US"/>
    </w:rPr>
  </w:style>
  <w:style w:type="character" w:customStyle="1" w:styleId="Ttulo6Car">
    <w:name w:val="Título 6 Car"/>
    <w:basedOn w:val="Fuentedeprrafopredeter"/>
    <w:link w:val="Ttulo6"/>
    <w:uiPriority w:val="9"/>
    <w:semiHidden/>
    <w:rsid w:val="001A53C3"/>
    <w:rPr>
      <w:rFonts w:asciiTheme="majorHAnsi" w:eastAsiaTheme="majorEastAsia" w:hAnsiTheme="majorHAnsi" w:cstheme="majorBidi"/>
      <w:color w:val="1F3763" w:themeColor="accent1" w:themeShade="7F"/>
      <w:kern w:val="0"/>
      <w:sz w:val="24"/>
      <w:lang w:val="en-US"/>
    </w:rPr>
  </w:style>
  <w:style w:type="character" w:customStyle="1" w:styleId="Ttulo7Car">
    <w:name w:val="Título 7 Car"/>
    <w:basedOn w:val="Fuentedeprrafopredeter"/>
    <w:link w:val="Ttulo7"/>
    <w:uiPriority w:val="9"/>
    <w:semiHidden/>
    <w:rsid w:val="001A53C3"/>
    <w:rPr>
      <w:rFonts w:asciiTheme="majorHAnsi" w:eastAsiaTheme="majorEastAsia" w:hAnsiTheme="majorHAnsi" w:cstheme="majorBidi"/>
      <w:i/>
      <w:iCs/>
      <w:color w:val="1F3763" w:themeColor="accent1" w:themeShade="7F"/>
      <w:kern w:val="0"/>
      <w:sz w:val="24"/>
      <w:lang w:val="en-US"/>
    </w:rPr>
  </w:style>
  <w:style w:type="character" w:customStyle="1" w:styleId="Ttulo8Car">
    <w:name w:val="Título 8 Car"/>
    <w:basedOn w:val="Fuentedeprrafopredeter"/>
    <w:link w:val="Ttulo8"/>
    <w:uiPriority w:val="9"/>
    <w:semiHidden/>
    <w:rsid w:val="001A53C3"/>
    <w:rPr>
      <w:rFonts w:asciiTheme="majorHAnsi" w:eastAsiaTheme="majorEastAsia" w:hAnsiTheme="majorHAnsi" w:cstheme="majorBidi"/>
      <w:color w:val="272727" w:themeColor="text1" w:themeTint="D8"/>
      <w:kern w:val="0"/>
      <w:sz w:val="21"/>
      <w:szCs w:val="21"/>
      <w:lang w:val="en-US"/>
    </w:rPr>
  </w:style>
  <w:style w:type="character" w:customStyle="1" w:styleId="Ttulo9Car">
    <w:name w:val="Título 9 Car"/>
    <w:basedOn w:val="Fuentedeprrafopredeter"/>
    <w:link w:val="Ttulo9"/>
    <w:uiPriority w:val="9"/>
    <w:semiHidden/>
    <w:rsid w:val="001A53C3"/>
    <w:rPr>
      <w:rFonts w:asciiTheme="majorHAnsi" w:eastAsiaTheme="majorEastAsia" w:hAnsiTheme="majorHAnsi" w:cstheme="majorBidi"/>
      <w:i/>
      <w:iCs/>
      <w:color w:val="272727" w:themeColor="text1" w:themeTint="D8"/>
      <w:kern w:val="0"/>
      <w:sz w:val="21"/>
      <w:szCs w:val="21"/>
      <w:lang w:val="en-US"/>
    </w:rPr>
  </w:style>
  <w:style w:type="paragraph" w:styleId="Subttulo">
    <w:name w:val="Subtitle"/>
    <w:basedOn w:val="Normal"/>
    <w:next w:val="Normal"/>
    <w:link w:val="SubttuloCar"/>
    <w:uiPriority w:val="11"/>
    <w:pPr>
      <w:spacing w:after="160"/>
      <w:jc w:val="center"/>
    </w:pPr>
    <w:rPr>
      <w:b/>
    </w:rPr>
  </w:style>
  <w:style w:type="character" w:customStyle="1" w:styleId="SubttuloCar">
    <w:name w:val="Subtítulo Car"/>
    <w:basedOn w:val="Fuentedeprrafopredeter"/>
    <w:link w:val="Subttulo"/>
    <w:uiPriority w:val="11"/>
    <w:rsid w:val="00D82BC1"/>
    <w:rPr>
      <w:rFonts w:ascii="Times New Roman" w:eastAsiaTheme="minorEastAsia" w:hAnsi="Times New Roman"/>
      <w:b/>
      <w:spacing w:val="15"/>
      <w:kern w:val="0"/>
      <w:sz w:val="24"/>
      <w:lang w:val="en-US"/>
    </w:rPr>
  </w:style>
  <w:style w:type="character" w:customStyle="1" w:styleId="TtuloCar">
    <w:name w:val="Título Car"/>
    <w:basedOn w:val="Fuentedeprrafopredeter"/>
    <w:link w:val="Ttulo"/>
    <w:uiPriority w:val="10"/>
    <w:rsid w:val="00D82BC1"/>
    <w:rPr>
      <w:rFonts w:ascii="Times New Roman" w:eastAsiaTheme="majorEastAsia" w:hAnsi="Times New Roman" w:cstheme="majorBidi"/>
      <w:spacing w:val="-10"/>
      <w:kern w:val="28"/>
      <w:sz w:val="40"/>
      <w:szCs w:val="56"/>
      <w:lang w:val="en-US"/>
    </w:rPr>
  </w:style>
  <w:style w:type="paragraph" w:styleId="TtuloTDC">
    <w:name w:val="TOC Heading"/>
    <w:basedOn w:val="Ttulo1"/>
    <w:next w:val="Normal"/>
    <w:uiPriority w:val="39"/>
    <w:unhideWhenUsed/>
    <w:qFormat/>
    <w:rsid w:val="00F56591"/>
    <w:pPr>
      <w:pageBreakBefore w:val="0"/>
      <w:numPr>
        <w:numId w:val="0"/>
      </w:numPr>
      <w:spacing w:after="0" w:line="259" w:lineRule="auto"/>
      <w:jc w:val="left"/>
      <w:outlineLvl w:val="9"/>
    </w:pPr>
  </w:style>
  <w:style w:type="paragraph" w:styleId="TDC1">
    <w:name w:val="toc 1"/>
    <w:basedOn w:val="Normal"/>
    <w:next w:val="Normal"/>
    <w:autoRedefine/>
    <w:uiPriority w:val="39"/>
    <w:unhideWhenUsed/>
    <w:rsid w:val="00D75BF7"/>
    <w:pPr>
      <w:tabs>
        <w:tab w:val="left" w:pos="440"/>
        <w:tab w:val="right" w:leader="dot" w:pos="8494"/>
      </w:tabs>
      <w:spacing w:after="100"/>
      <w:ind w:firstLine="0"/>
    </w:pPr>
  </w:style>
  <w:style w:type="paragraph" w:styleId="TDC2">
    <w:name w:val="toc 2"/>
    <w:basedOn w:val="Normal"/>
    <w:next w:val="Normal"/>
    <w:autoRedefine/>
    <w:uiPriority w:val="39"/>
    <w:unhideWhenUsed/>
    <w:rsid w:val="00D75BF7"/>
    <w:pPr>
      <w:tabs>
        <w:tab w:val="left" w:pos="880"/>
        <w:tab w:val="right" w:leader="dot" w:pos="8494"/>
      </w:tabs>
      <w:spacing w:after="100"/>
      <w:ind w:left="240" w:firstLine="44"/>
    </w:pPr>
  </w:style>
  <w:style w:type="paragraph" w:styleId="TDC3">
    <w:name w:val="toc 3"/>
    <w:basedOn w:val="Normal"/>
    <w:next w:val="Normal"/>
    <w:autoRedefine/>
    <w:uiPriority w:val="39"/>
    <w:unhideWhenUsed/>
    <w:rsid w:val="00D75BF7"/>
    <w:pPr>
      <w:tabs>
        <w:tab w:val="left" w:pos="1320"/>
        <w:tab w:val="right" w:leader="dot" w:pos="8494"/>
      </w:tabs>
      <w:spacing w:after="100"/>
      <w:ind w:left="480" w:hanging="54"/>
    </w:pPr>
  </w:style>
  <w:style w:type="paragraph" w:customStyle="1" w:styleId="Referencias">
    <w:name w:val="Referencias"/>
    <w:basedOn w:val="Normal"/>
    <w:qFormat/>
    <w:rsid w:val="00D75BF7"/>
    <w:pPr>
      <w:spacing w:before="240" w:after="0"/>
      <w:ind w:left="709" w:hanging="709"/>
    </w:pPr>
    <w:rPr>
      <w:rFonts w:cs="Times New Roman"/>
    </w:rPr>
  </w:style>
  <w:style w:type="paragraph" w:customStyle="1" w:styleId="E-Prrafo">
    <w:name w:val="E-Párrafo"/>
    <w:basedOn w:val="Normal"/>
    <w:rsid w:val="00D75BF7"/>
    <w:pPr>
      <w:spacing w:before="240" w:after="0"/>
      <w:ind w:firstLine="0"/>
    </w:pPr>
    <w:rPr>
      <w:rFonts w:cs="Times New Roman"/>
    </w:rPr>
  </w:style>
  <w:style w:type="paragraph" w:customStyle="1" w:styleId="Tabla-Figura">
    <w:name w:val="Tabla-Figura"/>
    <w:basedOn w:val="Normal"/>
    <w:next w:val="E-Prrafo"/>
    <w:qFormat/>
    <w:rsid w:val="00D75BF7"/>
    <w:pPr>
      <w:spacing w:before="60" w:after="60" w:line="240" w:lineRule="auto"/>
      <w:ind w:firstLine="0"/>
      <w:jc w:val="center"/>
    </w:pPr>
    <w:rPr>
      <w:rFonts w:cs="Times New Roman"/>
      <w:sz w:val="20"/>
      <w:szCs w:val="20"/>
    </w:rPr>
  </w:style>
  <w:style w:type="paragraph" w:styleId="Prrafodelista">
    <w:name w:val="List Paragraph"/>
    <w:basedOn w:val="Normal"/>
    <w:uiPriority w:val="34"/>
    <w:rsid w:val="00D27E08"/>
    <w:pPr>
      <w:ind w:left="720"/>
      <w:contextualSpacing/>
    </w:pPr>
  </w:style>
  <w:style w:type="table" w:customStyle="1" w:styleId="a">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4923B1"/>
    <w:rPr>
      <w:color w:val="605E5C"/>
      <w:shd w:val="clear" w:color="auto" w:fill="E1DFDD"/>
    </w:rPr>
  </w:style>
  <w:style w:type="paragraph" w:customStyle="1" w:styleId="font-claude-response-body">
    <w:name w:val="font-claude-response-body"/>
    <w:basedOn w:val="Normal"/>
    <w:rsid w:val="004F2D2C"/>
    <w:pPr>
      <w:spacing w:before="100" w:beforeAutospacing="1" w:after="100" w:afterAutospacing="1" w:line="240" w:lineRule="auto"/>
      <w:ind w:firstLine="0"/>
      <w:jc w:val="left"/>
    </w:pPr>
    <w:rPr>
      <w:rFonts w:cs="Times New Roman"/>
      <w:lang w:eastAsia="es-ES_tradnl"/>
    </w:rPr>
  </w:style>
  <w:style w:type="paragraph" w:styleId="NormalWeb">
    <w:name w:val="Normal (Web)"/>
    <w:basedOn w:val="Normal"/>
    <w:uiPriority w:val="99"/>
    <w:unhideWhenUsed/>
    <w:rsid w:val="00450C09"/>
    <w:pPr>
      <w:spacing w:before="100" w:beforeAutospacing="1" w:after="100" w:afterAutospacing="1" w:line="240" w:lineRule="auto"/>
      <w:ind w:firstLine="0"/>
      <w:jc w:val="left"/>
    </w:pPr>
    <w:rPr>
      <w:rFonts w:cs="Times New Roman"/>
      <w:lang w:eastAsia="es-ES_tradnl"/>
    </w:rPr>
  </w:style>
  <w:style w:type="character" w:styleId="nfasis">
    <w:name w:val="Emphasis"/>
    <w:basedOn w:val="Fuentedeprrafopredeter"/>
    <w:uiPriority w:val="20"/>
    <w:qFormat/>
    <w:rsid w:val="00450C09"/>
    <w:rPr>
      <w:i/>
      <w:iCs/>
    </w:rPr>
  </w:style>
  <w:style w:type="table" w:styleId="Tablaconcuadrcula">
    <w:name w:val="Table Grid"/>
    <w:basedOn w:val="Tablanormal"/>
    <w:uiPriority w:val="39"/>
    <w:rsid w:val="00450C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3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fm-simulador-vut-3imkk2yy3exgfxbenqpt4q.streamli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fAfjIJuaxWu8UWGYsX6KWRilw==">CgMxLjAyCGguZ2pkZ3hzMgloLjMwajB6bGwyCWguMWZvYjl0ZTIJaC4zem55c2g3MgloLjJldDkycDAyCGgudHlqY3d0MgloLjNkeTZ2a20yCWguMXQzaDVzZjgAciExZ01oeENwRnRSTWl2ZzhmbjR0Vk5TcjViZmhGaXRwZE4=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37</Pages>
  <Words>11082</Words>
  <Characters>60957</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pepe.sanchez.rodriguez pepe.sanchez.rodriguez</dc:creator>
  <cp:lastModifiedBy>Ivan Navarro Suero</cp:lastModifiedBy>
  <cp:revision>15</cp:revision>
  <dcterms:created xsi:type="dcterms:W3CDTF">2026-06-08T14:41:00Z</dcterms:created>
  <dcterms:modified xsi:type="dcterms:W3CDTF">2026-06-08T15:13:00Z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 (with URL)</vt:lpwstr>
  </property>
</Properties>
</file>