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анализу. По этой причине исследователи в своих статьях рассматривают только черно-белые изображения (т.н. gray scale). В таком случае, во-первых, 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pPr>
      <w:r>
        <w:rPr>
          <w:rFonts w:ascii="Times New Roman" w:hAnsi="Times New Roman" w:eastAsia="Times New Roman" w:cs="Times New Roman"/>
          <w:sz w:val="28"/>
          <w:szCs w:val="28"/>
          <w:lang w:eastAsia="ar-SA"/>
        </w:rPr>
        <w:t xml:space="preserve">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r/>
                      </pic:nvPicPr>
                      <pic:blipFill>
                        <a:blip r:embed="rId21"/>
                        <a:stretch/>
                      </pic:blipFill>
                      <pic:spPr bwMode="auto">
                        <a:xfrm>
                          <a:off x="0" y="0"/>
                          <a:ext cx="5322569" cy="29324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8"/>
          <w:szCs w:val="28"/>
          <w:lang w:eastAsia="ar-SA"/>
        </w:rPr>
      </w:r>
      <w:r/>
    </w:p>
    <w:p>
      <w:pPr>
        <w:ind w:firstLine="709"/>
        <w:jc w:val="center"/>
        <w:spacing w:after="0"/>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rFonts w:ascii="Times New Roman" w:hAnsi="Times New Roman" w:eastAsia="Times New Roman" w:cs="Times New Roman"/>
          <w:sz w:val="28"/>
          <w:szCs w:val="28"/>
          <w:lang w:eastAsia="ar-SA"/>
        </w:rPr>
      </w: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Рассмотрим пример </w:t>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t xml:space="preserve">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1.3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аутентификация, мониторинг и отслеживание [77].</w:t>
      </w:r>
      <w:r>
        <w:rPr>
          <w:rFonts w:ascii="Times New Roman" w:hAnsi="Times New Roman" w:eastAsia="Times New Roman" w:cs="Times New Roman"/>
          <w:sz w:val="28"/>
          <w:szCs w:val="28"/>
          <w:highlight w:val="cyan"/>
          <w:lang w:eastAsia="ar-SA"/>
        </w:rPr>
        <w:t xml:space="preserve"> Например, автор встраивает свои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w:t>
      </w:r>
      <w:r>
        <w:rPr>
          <w:rFonts w:ascii="Times New Roman" w:hAnsi="Times New Roman" w:eastAsia="Times New Roman" w:cs="Times New Roman"/>
          <w:sz w:val="28"/>
          <w:szCs w:val="28"/>
          <w:highlight w:val="none"/>
          <w:lang w:eastAsia="ar-SA"/>
        </w:rPr>
        <w:t xml:space="preserve"> </w:t>
      </w:r>
      <w:r/>
      <w:r>
        <w:rPr>
          <w:rFonts w:ascii="Times New Roman" w:hAnsi="Times New Roman" w:eastAsia="Times New Roman" w:cs="Times New Roman"/>
          <w:sz w:val="28"/>
          <w:szCs w:val="28"/>
          <w:lang w:eastAsia="ar-SA"/>
        </w:rPr>
        <w:t xml:space="preserve">Стеганографические алгоритмы позволяют свободно встраивать и извлекать ЦВЗ.</w:t>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left="0" w:firstLine="0"/>
        <w:tabs>
          <w:tab w:val="left" w:pos="426" w:leader="none"/>
        </w:tabs>
        <w:rPr>
          <w:rFonts w:ascii="Times New Roman" w:hAnsi="Times New Roman" w:eastAsia="Times New Roman" w:cs="Times New Roman"/>
          <w:color w:val="auto"/>
          <w:sz w:val="28"/>
          <w:szCs w:val="28"/>
          <w:lang w:eastAsia="ar-SA"/>
        </w:rPr>
      </w:pPr>
      <w:r>
        <w:t xml:space="preserve">1.4 </w:t>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контейнере,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 </w:t>
      </w:r>
      <w:r>
        <w:rPr>
          <w:rFonts w:ascii="Times New Roman" w:hAnsi="Times New Roman" w:cs="Times New Roman"/>
          <w:sz w:val="28"/>
          <w:szCs w:val="28"/>
          <w:highlight w:val="red"/>
          <w:lang w:eastAsia="ar-SA"/>
        </w:rPr>
        <w:t xml:space="preserve">Не понятно в чем идея подходов</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w:t>
      </w:r>
      <w:r>
        <w:rPr>
          <w:highlight w:val="red"/>
        </w:rP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highlight w:val="red"/>
          <w:lang w:eastAsia="ar-SA"/>
        </w:rPr>
        <w:t xml:space="preserve">стегоанализа</w:t>
      </w:r>
      <w:r>
        <w:rPr>
          <w:rFonts w:ascii="Times New Roman" w:hAnsi="Times New Roman" w:cs="Times New Roman"/>
          <w:sz w:val="28"/>
          <w:szCs w:val="28"/>
          <w:highlight w:val="red"/>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highlight w:val="red"/>
          <w:lang w:eastAsia="ar-SA"/>
        </w:rPr>
        <w:t xml:space="preserve">энтропия, для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Обнаружение сообщений с использованием машинного зр</w:t>
      </w:r>
      <w:r>
        <w:rPr>
          <w:rFonts w:ascii="Times New Roman" w:hAnsi="Times New Roman" w:cs="Times New Roman"/>
          <w:sz w:val="28"/>
          <w:szCs w:val="28"/>
          <w:highlight w:val="red"/>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 [87-89].</w:t>
      </w:r>
      <w:r>
        <w:rPr>
          <w:highlight w:val="red"/>
        </w:rP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1.4.1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соседних пикселей </w:t>
      </w:r>
      <w:r>
        <w:rPr>
          <w:rFonts w:ascii="Times New Roman" w:hAnsi="Times New Roman" w:cs="Times New Roman"/>
          <w:sz w:val="28"/>
          <w:szCs w:val="28"/>
          <w:lang w:eastAsia="ar-SA"/>
        </w:rPr>
        <w:t xml:space="preserve">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необычные (шумные) области данных, нарушения в которых не воходит за границы известной дисперсии статистики.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highlight w:val="red"/>
          <w:lang w:eastAsia="ar-SA"/>
        </w:rPr>
        <w:t xml:space="preserve">boosting</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w:t>
      </w:r>
      <w:r>
        <w:rPr>
          <w:rFonts w:ascii="Times New Roman" w:hAnsi="Times New Roman" w:cs="Times New Roman"/>
          <w:sz w:val="28"/>
          <w:szCs w:val="28"/>
          <w:lang w:eastAsia="ar-SA"/>
        </w:rPr>
        <w:t xml:space="preserve">, например, групповое понижение яркости цвета соседних пикселов.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w:t>
      </w:r>
      <w:r>
        <w:rPr>
          <w:rFonts w:ascii="Times New Roman" w:hAnsi="Times New Roman" w:cs="Times New Roman"/>
          <w:sz w:val="28"/>
          <w:szCs w:val="28"/>
          <w:lang w:eastAsia="ar-SA"/>
        </w:rPr>
        <w:t xml:space="preserve">Однако, этот метод также может давать ошибочные результаты:</w:t>
      </w:r>
      <w:r>
        <w:rPr>
          <w:rFonts w:ascii="Times New Roman" w:hAnsi="Times New Roman" w:cs="Times New Roman"/>
          <w:sz w:val="28"/>
          <w:szCs w:val="28"/>
          <w:lang w:eastAsia="ar-SA"/>
        </w:rPr>
      </w:r>
    </w:p>
    <w:p>
      <w:pPr>
        <w:pStyle w:val="907"/>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ошибка первого рода – случай, когда заполненный контейнер признается пустым.</w:t>
      </w:r>
      <w:r>
        <w:rPr>
          <w:rFonts w:ascii="Times New Roman" w:hAnsi="Times New Roman" w:cs="Times New Roman"/>
          <w:sz w:val="28"/>
          <w:szCs w:val="28"/>
          <w:lang w:eastAsia="ar-SA"/>
        </w:rPr>
      </w:r>
      <w:r/>
    </w:p>
    <w:p>
      <w:pPr>
        <w:pStyle w:val="907"/>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highlight w:val="none"/>
          <w:lang w:eastAsia="ar-SA"/>
        </w:rPr>
        <w:t xml:space="preserve">ошибка второго рода – случай, когда пустой контейнер признается заполненным.</w:t>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w:t>
      </w:r>
      <w:r>
        <w:rPr>
          <w:rFonts w:ascii="Times New Roman" w:hAnsi="Times New Roman" w:cs="Times New Roman"/>
          <w:sz w:val="28"/>
          <w:szCs w:val="28"/>
          <w:highlight w:val="red"/>
          <w:lang w:eastAsia="ar-SA"/>
        </w:rPr>
        <w:t xml:space="preserve">A </w:t>
      </w:r>
      <w:r>
        <w:rPr>
          <w:rFonts w:ascii="Times New Roman" w:hAnsi="Times New Roman" w:cs="Times New Roman"/>
          <w:sz w:val="28"/>
          <w:szCs w:val="28"/>
          <w:highlight w:val="red"/>
          <w:lang w:eastAsia="ar-SA"/>
        </w:rPr>
        <w:t xml:space="preserve">Statistical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LSB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Grayscale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highlight w:val="red"/>
        </w:rPr>
      </w:pPr>
      <w:r>
        <w:rPr>
          <w:rFonts w:ascii="Times New Roman" w:hAnsi="Times New Roman" w:cs="Times New Roman"/>
          <w:b/>
          <w:bCs/>
          <w:i/>
          <w:iCs/>
          <w:sz w:val="28"/>
          <w:szCs w:val="28"/>
          <w:highlight w:val="red"/>
          <w:lang w:eastAsia="ar-SA"/>
        </w:rPr>
        <w:t xml:space="preserve">Уточнить какую статистику собирает хи квадрат для анализа</w:t>
      </w:r>
      <w:r>
        <w:rPr>
          <w:rFonts w:ascii="Times New Roman" w:hAnsi="Times New Roman" w:cs="Times New Roman"/>
          <w:sz w:val="28"/>
          <w:szCs w:val="28"/>
          <w:highlight w:val="none"/>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red"/>
          <w:lang w:eastAsia="ar-SA"/>
        </w:rPr>
        <w:t xml:space="preserve">В</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работе</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val="en-US" w:eastAsia="ar-SA"/>
        </w:rPr>
        <w:t xml:space="preserve">Steganalysis</w:t>
      </w:r>
      <w:r>
        <w:rPr>
          <w:rFonts w:ascii="Times New Roman" w:hAnsi="Times New Roman" w:cs="Times New Roman"/>
          <w:sz w:val="28"/>
          <w:szCs w:val="28"/>
          <w:highlight w:val="red"/>
          <w:lang w:val="en-US" w:eastAsia="ar-SA"/>
        </w:rPr>
        <w:t xml:space="preserve"> of Spread Spectrum Data Hiding Using a Subspace Approach" (2005) </w:t>
      </w:r>
      <w:r>
        <w:rPr>
          <w:rFonts w:ascii="Times New Roman" w:hAnsi="Times New Roman" w:cs="Times New Roman"/>
          <w:sz w:val="28"/>
          <w:szCs w:val="28"/>
          <w:highlight w:val="red"/>
          <w:lang w:eastAsia="ar-SA"/>
        </w:rPr>
        <w:t xml:space="preserve">авторы</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Эндрю</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Кер</w:t>
      </w:r>
      <w:r>
        <w:rPr>
          <w:rFonts w:ascii="Times New Roman" w:hAnsi="Times New Roman" w:cs="Times New Roman"/>
          <w:sz w:val="28"/>
          <w:szCs w:val="28"/>
          <w:highlight w:val="red"/>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and</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Its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Generalization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Spatio-Temporal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(2011) авторы </w:t>
      </w:r>
      <w:r>
        <w:rPr>
          <w:rFonts w:ascii="Times New Roman" w:hAnsi="Times New Roman" w:cs="Times New Roman"/>
          <w:sz w:val="28"/>
          <w:szCs w:val="28"/>
          <w:highlight w:val="red"/>
          <w:lang w:eastAsia="ar-SA"/>
        </w:rPr>
        <w:t xml:space="preserve">Кейхидзи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Огава</w:t>
      </w:r>
      <w:r>
        <w:rPr>
          <w:rFonts w:ascii="Times New Roman" w:hAnsi="Times New Roman" w:cs="Times New Roman"/>
          <w:sz w:val="28"/>
          <w:szCs w:val="28"/>
          <w:highlight w:val="red"/>
          <w:lang w:eastAsia="ar-SA"/>
        </w:rPr>
        <w:t xml:space="preserve"> и </w:t>
      </w:r>
      <w:r>
        <w:rPr>
          <w:rFonts w:ascii="Times New Roman" w:hAnsi="Times New Roman" w:cs="Times New Roman"/>
          <w:sz w:val="28"/>
          <w:szCs w:val="28"/>
          <w:highlight w:val="red"/>
          <w:lang w:eastAsia="ar-SA"/>
        </w:rPr>
        <w:t xml:space="preserve">Мидори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Китагава</w:t>
      </w:r>
      <w:r>
        <w:rPr>
          <w:rFonts w:ascii="Times New Roman" w:hAnsi="Times New Roman" w:cs="Times New Roman"/>
          <w:sz w:val="28"/>
          <w:szCs w:val="28"/>
          <w:highlight w:val="red"/>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работе "A </w:t>
      </w:r>
      <w:r>
        <w:rPr>
          <w:rFonts w:ascii="Times New Roman" w:hAnsi="Times New Roman" w:cs="Times New Roman"/>
          <w:sz w:val="28"/>
          <w:szCs w:val="28"/>
          <w:highlight w:val="red"/>
          <w:lang w:eastAsia="ar-SA"/>
        </w:rPr>
        <w:t xml:space="preserve">Novel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 (2012) авторы </w:t>
      </w:r>
      <w:r>
        <w:rPr>
          <w:rFonts w:ascii="Times New Roman" w:hAnsi="Times New Roman" w:cs="Times New Roman"/>
          <w:sz w:val="28"/>
          <w:szCs w:val="28"/>
          <w:highlight w:val="red"/>
          <w:lang w:eastAsia="ar-SA"/>
        </w:rPr>
        <w:t xml:space="preserve">Мингченг</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Чен</w:t>
      </w:r>
      <w:r>
        <w:rPr>
          <w:rFonts w:ascii="Times New Roman" w:hAnsi="Times New Roman" w:cs="Times New Roman"/>
          <w:sz w:val="28"/>
          <w:szCs w:val="28"/>
          <w:highlight w:val="red"/>
          <w:lang w:eastAsia="ar-SA"/>
        </w:rPr>
        <w:t xml:space="preserve"> и Кун </w:t>
      </w:r>
      <w:r>
        <w:rPr>
          <w:rFonts w:ascii="Times New Roman" w:hAnsi="Times New Roman" w:cs="Times New Roman"/>
          <w:sz w:val="28"/>
          <w:szCs w:val="28"/>
          <w:highlight w:val="red"/>
          <w:lang w:eastAsia="ar-SA"/>
        </w:rPr>
        <w:t xml:space="preserve">Шэнь</w:t>
      </w:r>
      <w:r>
        <w:rPr>
          <w:rFonts w:ascii="Times New Roman" w:hAnsi="Times New Roman" w:cs="Times New Roman"/>
          <w:sz w:val="28"/>
          <w:szCs w:val="28"/>
          <w:highlight w:val="red"/>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highlight w:val="red"/>
          <w:lang w:eastAsia="ar-SA"/>
        </w:rPr>
        <w:t xml:space="preserve">Comparative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Study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Various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Techniques</w:t>
      </w:r>
      <w:r>
        <w:rPr>
          <w:rFonts w:ascii="Times New Roman" w:hAnsi="Times New Roman" w:cs="Times New Roman"/>
          <w:sz w:val="28"/>
          <w:szCs w:val="28"/>
          <w:highlight w:val="red"/>
          <w:lang w:eastAsia="ar-SA"/>
        </w:rPr>
        <w:t xml:space="preserve">: A </w:t>
      </w:r>
      <w:r>
        <w:rPr>
          <w:rFonts w:ascii="Times New Roman" w:hAnsi="Times New Roman" w:cs="Times New Roman"/>
          <w:sz w:val="28"/>
          <w:szCs w:val="28"/>
          <w:highlight w:val="red"/>
          <w:lang w:eastAsia="ar-SA"/>
        </w:rPr>
        <w:t xml:space="preserve">Review</w:t>
      </w:r>
      <w:r>
        <w:rPr>
          <w:rFonts w:ascii="Times New Roman" w:hAnsi="Times New Roman" w:cs="Times New Roman"/>
          <w:sz w:val="28"/>
          <w:szCs w:val="28"/>
          <w:highlight w:val="red"/>
          <w:lang w:eastAsia="ar-SA"/>
        </w:rPr>
        <w:t xml:space="preserve">" (2015) авторы Ибрагим Абдуллаев и Абу </w:t>
      </w:r>
      <w:r>
        <w:rPr>
          <w:rFonts w:ascii="Times New Roman" w:hAnsi="Times New Roman" w:cs="Times New Roman"/>
          <w:sz w:val="28"/>
          <w:szCs w:val="28"/>
          <w:highlight w:val="red"/>
          <w:lang w:eastAsia="ar-SA"/>
        </w:rPr>
        <w:t xml:space="preserve">Бакр</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Билял</w:t>
      </w:r>
      <w:r>
        <w:rPr>
          <w:rFonts w:ascii="Times New Roman" w:hAnsi="Times New Roman" w:cs="Times New Roman"/>
          <w:sz w:val="28"/>
          <w:szCs w:val="28"/>
          <w:highlight w:val="red"/>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rPr>
          <w:highlight w:val="red"/>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red"/>
          <w:lang w:eastAsia="ar-SA"/>
        </w:rPr>
        <w:t xml:space="preserve">В целом, метод Хи-квадрат остается важным инструментом в </w:t>
      </w:r>
      <w:r>
        <w:rPr>
          <w:rFonts w:ascii="Times New Roman" w:hAnsi="Times New Roman" w:cs="Times New Roman"/>
          <w:sz w:val="28"/>
          <w:szCs w:val="28"/>
          <w:highlight w:val="red"/>
          <w:lang w:eastAsia="ar-SA"/>
        </w:rPr>
        <w:t xml:space="preserve">стегоанализе</w:t>
      </w:r>
      <w:r>
        <w:rPr>
          <w:rFonts w:ascii="Times New Roman" w:hAnsi="Times New Roman" w:cs="Times New Roman"/>
          <w:sz w:val="28"/>
          <w:szCs w:val="28"/>
          <w:highlight w:val="red"/>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highlight w:val="red"/>
          <w:lang w:eastAsia="ar-SA"/>
        </w:rPr>
        <w:t xml:space="preserve">Кривсаном</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Krivic</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et</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al</w:t>
      </w:r>
      <w:r>
        <w:rPr>
          <w:rFonts w:ascii="Times New Roman" w:hAnsi="Times New Roman" w:cs="Times New Roman"/>
          <w:sz w:val="28"/>
          <w:szCs w:val="28"/>
          <w:highlight w:val="red"/>
          <w:lang w:eastAsia="ar-SA"/>
        </w:rPr>
        <w:t xml:space="preserve">., 2005), показало, что метод Хи-квадрат может использоват</w:t>
      </w:r>
      <w:r>
        <w:rPr>
          <w:rFonts w:ascii="Times New Roman" w:hAnsi="Times New Roman" w:cs="Times New Roman"/>
          <w:sz w:val="28"/>
          <w:szCs w:val="28"/>
          <w:highlight w:val="red"/>
          <w:lang w:eastAsia="ar-SA"/>
        </w:rPr>
        <w:t xml:space="preserve">ься для обнаружения сообщений, встроенных с помощью методов стеганографии на основе замены младших битов.</w:t>
      </w:r>
      <w:r>
        <w:rPr>
          <w:rFonts w:ascii="Times New Roman" w:hAnsi="Times New Roman" w:cs="Times New Roman"/>
          <w:sz w:val="28"/>
          <w:szCs w:val="28"/>
          <w:lang w:eastAsia="ar-SA"/>
        </w:rPr>
        <w:t xml:space="preserve">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left="375" w:firstLine="0"/>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1.5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ЦВЗ;</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Оценка эффективности алгоритма внедрения оценивается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выявления мала. </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hAnsi="Times New Roman" w:eastAsia="Times New Roman" w:cs="Times New Roman"/>
          <w:sz w:val="28"/>
          <w:szCs w:val="28"/>
          <w:lang w:eastAsia="ar-SA"/>
        </w:rPr>
        <w:t xml:space="preserve">Эффективность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2023-05-23T08:07:37Z</dcterms:modified>
</cp:coreProperties>
</file>