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a48 · dnsl-fallas-maquinaria-pasteurizado-xai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Modelo que sirve modelo-47 (detección de fallos en pasteurización con XAI integrada): red convolucional 1D multitarea con pérdida físico-informada (DNSL) que diagnostica el estado de cuatro componentes de un pasteurizador (enfriador, válvula, bomba y acumulador) a partir de un ciclo de 60 s de siete sensores a 10 Hz, y añade explicabilidad integrada: ventanas temporales críticas (Grad-CAM), importancia por sensor (SHAP opcional), riesgo por componente y acciones de mantenimiento priorizadas.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Dotar al diagnóstico de fallos de maquinaria de pasteurizado (Entregable 47) de explicabilidad, diagnóstico causal aproximado y recomendación prescriptiva, de modo que el técnico de planta sepa no solo qué componente degrada, sino cuándo se manifiesta dentro del ciclo, qué sensor domina la decisión y qué acción priorizar.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Modo inline: se envía un ciclo de 60 s (siete sensores a 10 Hz) y se obtiene el estado de los cuatro componentes con su confianza y su xai_result (estado del sistema, componentes alterados, variables clave y acciones, con la ventana crítica y el riesgo por componente); SHAP es opcional. Modo batch: se envía un CSV con varios ciclos (Cycle_ID) y cada fila devuelve su predicción y su propio xai_result o xai_error.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te dice cuánto tiempo falta exactamente para que falle un componente ni sustituye la inspección del técnico: te indica el estado actual de cada componente, en qué momento del ciclo aparece la anomalía y qué actuación se recomienda.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Los datos son las lecturas de siete sensores del pasteurizador durante un ciclo completo de 60 segundos (diez lecturas por segundo), que llegan del sistema de planta o de un archivo CSV con varios ciclos.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Presión de entrada del circuito (bar).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PS3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Presión de salida / retorno (bar).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EPS1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Potencia activa del motor (W).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Caudal volumétrico (L/min).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de entrada (°C).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TS2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de salida (°C).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VS1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Vibración mecánica (mm/s). Serie de un ciclo de 60 s a 10 Hz (600 pasos; se rellena con ceros o se trunca a 600)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Time_Segundos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Marca temporal de cada muestra (0,0–60,0 s); ordena la serie y se remuestrea a 10 Hz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Cycle_ID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Identificador del ciclo; en batch agrupa las filas de cada ciclo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data_path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Alternativa a los arrays: CSV (local o s3://) con las columnas anteriores; en batch es la entrada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apply_digital_twin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Desplaza TS1/TS2 al baseline de 65 °C. Solo para datos del banco de laboratorio UCI; con datos reales de planta debe ser false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include_xai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XAI de cada ciclo (xai_result / xai_error): Grad-CAM, riesgo y acciones. Inline y batch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include_shap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Añade SHAP (sensor más relevante) a la XAI. Requiere include_xai; coste alto en CPU. En batch solo se calcula en los primeros n_samples ciclos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include_cam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Inline: devuelve además la curva Grad-CAM (600 valores) por componente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n_samples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Batch con include_shap: ciclos máximos con SHAP (el resto lleva solo Grad-CAM, siempre presente en todos los ciclos)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Enfriador_Fouling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del enfriador (ensuciamiento)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Valvula_Switch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 la válvula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Bomba_Leakage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 la bomba (fugas)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Acumulador_Gas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Estado del acumulador (presión de gas)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0 = Sano, 1 = Warning (inspección programada), 2 = Crítico (degradación severa)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Confianza_Fouling / _Valvula / _Bomba / _Acumulador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Probabilidad softmax de la clase predicha para cada componente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valores próximos a 1 indican alta seguridad del modelo; no es una probabilidad calibrada de fallo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xai_result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XAI del ciclo (inline: en la respuesta; batch: en cada fila). Mismo contrato que modelo-43: Estado_del_sistema.Estado_interpretativo, Bloques_principales, Variables_clave, Acciones_sugeridas / Mensaje_operativo y Detalle_componentes (ventana crítica Grad-CAM, riesgo, acción, sensor SHAP)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Estado = peor estado de los 4 componentes (Normal / Warning / Crítico); Bloques = componentes alterados; Variables = sensores de la regla física (y el sensor SHAP si se pidió); Acciones = acciones prescriptivas por urgencia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xai_error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Motivo si la XAI de ese ciclo falló (xai_result es null); null si fue correcta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un fallo de XAI no afecta a la predicción del ciclo ni a la de los demás ciclos del lote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para un ciclo el estado del sistema sale «Crítico» porque el enfriador está en «Crítico» con una confianza del 96 %, la acción sugerida es «Fouling: Detener producción y ejecutar limpieza CIP inmediata», debes parar y limpiar; si válvula, bomba y acumulador salen «Sano», no requieren intervención en ese ciclo.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En las pruebas con ciclos que el modelo no había visto, acertó el estado de los cuatro componentes a la vez en cerca del 99 % de los ciclos. Los pocos errores fueron falsas alarmas (un componente sano marcado como «Warning»), no fallos reales pasados por alto.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Cuando un componente salga «Crítico» o «Warning» con confianza baja (por debajo del 70-80 %): confirma con una inspección antes de parar la producción.</w:t>
      </w:r>
    </w:p>
    <w:p ns2:paraId="2053022C" ns2:textId="77777777" w:rsidR="00CE24DC" w:rsidRDefault="00000000">
      <w:r>
        <w:t xml:space="preserve">•  Cuando las temperaturas de tus datos sean de planta real y no de laboratorio: comprueba con el equipo técnico que no se está aplicando el ajuste de laboratorio (gemelo digital).</w:t>
      </w:r>
    </w:p>
    <w:p ns2:paraId="2053022C" ns2:textId="77777777" w:rsidR="00CE24DC" w:rsidRDefault="00000000">
      <w:r>
        <w:t xml:space="preserve">•  Cuando el ciclo tenga menos de 60 s de datos o huecos en alguna lectura: el diagnóstico de ese ciclo no es fiable.</w:t>
      </w:r>
    </w:p>
    <w:p ns2:paraId="2053022C" ns2:textId="77777777" w:rsidR="00CE24DC" w:rsidRDefault="00000000">
      <w:r>
        <w:t xml:space="preserve">•  Cuando la explicación señale un sensor o un instante que no tenga sentido físico para ti: trátala como una pista, no como una causa demostrada.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sustituye el criterio del técnico de mantenimiento ni garantiza que un componente no vaya a fallar.</w:t>
      </w:r>
    </w:p>
    <w:p ns2:paraId="36E72011" ns2:textId="77777777" w:rsidR="00CE24DC" w:rsidRDefault="00000000">
      <w:r>
        <w:t xml:space="preserve">•  No demuestra la causa física de una avería: la explicación señala dónde y qué sensor pesó más en la decisión, no por qué se estropeó.</w:t>
      </w:r>
    </w:p>
    <w:p ns2:paraId="36E72011" ns2:textId="77777777" w:rsidR="00CE24DC" w:rsidRDefault="00000000">
      <w:r>
        <w:t xml:space="preserve">•  No está validado todavía con datos reales de una planta lechera: se ha probado con un banco de pruebas de laboratorio.</w:t>
      </w:r>
    </w:p>
    <w:p ns2:paraId="36E72011" ns2:textId="77777777" w:rsidR="00CE24DC" w:rsidRDefault="00000000">
      <w:r>
        <w:t xml:space="preserve">•  No decide solo ni ejecuta paradas: las acciones recomendadas son una sugerencia que debe confirmar una persona.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Sí. En las pruebas de laboratorio acertó el estado de los cuatro componentes a la vez en el 98,79 % de los ciclos, y los errores observados fueron falsas alarmas. En una planta real el rendimiento puede ser menor hasta que el modelo se calibre con datos propios. Es una ayuda a la decisión, no una garantía.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Acierto simultáneo de los 4 componentes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98,79 % en test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ciclos en los que se diagnostican bien los cuatro componentes a la vez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Equilibrio entre detectar fallos y evitar falsas alarmas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95 % exigido · 99,70 % obtenido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Criterio de éxito del diagnóstico de fallos (F1 macro)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Fallos reales no detectados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Ninguno clasificado como «Sano» en test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Los pocos errores fueron falsas alarmas, no fallos pasados por alto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Explicación disponible por ciclo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Los 4 componentes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Para cada componente: momento crítico del ciclo, riesgo y acción de mantenimiento recomendada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Datos de laboratorio, no de leche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Entrenado y evaluado con el banco hidráulico UCI (aceite, fallos inyectados de forma controlada), adaptado con un gemelo térmico. Las métricas son optimistas respecto a planta; requiere calibración (transfer learning) con datos etiquetados de un pasteurizador real antes de producción. El equipo de IA no dispone aún de datos reales.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Gemelo digital según el origen de los datos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Con datos UCI hay que aplicar apply_digital_twin=true (offset de TS1/TS2 a 65 °C con ts1_mean_train); con datos reales de planta debe ser false. Aplicarlo mal desplaza las temperaturas y degrada el diagnóstico.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Explicabilidad post-hoc, no causal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Grad-CAM y SHAP explican lo que el modelo 've', no prueban causalidad física; si el modelo se equivoca, la explicación justifica una predicción incorrecta. Las acciones prescriptivas son una tabla experta configurable (maintenance_actions.yaml), no una optimización.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SHAP: coste y dependencia de versión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SHAP (GradientExplainer) cuesta ≈5–8 s por ciclo en CPU, por eso es opcional y en batch se limita a los primeros n_samples ciclos (el resto lleva solo Grad-CAM). Sus valores dependen de la versión de shap: se reproducen con shap ≥ 0,51 (verificado 0,52.0), no con 0,42.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Ventana fija de 600 pasos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Cada ciclo se procesa como 60 s a 10 Hz: con menos pasos se rellena con ceros (calidad no garantizada) y con más se trunca a los 600 primeros.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Pendiente de validación de infraestructura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/train contra un MLflow real no verificado. El reentrenamiento sí está verificado con los datos entregados (14/10/2026): calibración fine_tune (por defecto) 0,9970 de exact match en el 15 % de test; reentrenamiento full desde cero 0,9849 de exact match en GPU (94 épocas), frente al 0,9879 del modelo entregado: en GPU el entrenamiento no es bit a bit reproducible y varía ±1 ciclo de test entre ejecuciones.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a48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dnsl-fallas-maquinaria-pasteurizado-xai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