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A13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ml13-wine-price-fluctuation-prediction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Modelo para la predicción de fluctuaciones de precios basado en redes neuronales recurrentes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RNN-VINO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Vitivinícola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23/06/2026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Clasificación binaria sobre serie temporal semanal — Regresión Logística sobre 6 indicadores técnicos (rama tabular de producción). Las redes recurrentes (GRU y ensemble GRU+LogReg) quedaron como experimentales: no hay artefacto entregado y no se integran</w:t>
            </w:r>
          </w:p>
        </w:tc>
      </w:tr>
      <w:tr>
        <w:tc>
          <w:tcPr>
            <w:tcW w:type="dxa" w:w="4320"/>
          </w:tcPr>
          <w:p>
            <w:r>
              <w:t>Variable(s) objetivo</w:t>
            </w:r>
          </w:p>
        </w:tc>
        <w:tc>
          <w:tcPr>
            <w:tcW w:type="dxa" w:w="4320"/>
          </w:tcPr>
          <w:p>
            <w:r>
              <w:t>target — 1 si la media del precio del vino tinto a granel en las semanas t+1..t+4 supera el precio de la semana t en más de un 2,5%; 0 en caso contrario</w:t>
            </w:r>
          </w:p>
        </w:tc>
      </w:tr>
      <w:tr>
        <w:tc>
          <w:tcPr>
            <w:tcW w:type="dxa" w:w="4320"/>
          </w:tcPr>
          <w:p>
            <w:r>
              <w:t>Horizonte de predicción</w:t>
            </w:r>
          </w:p>
        </w:tc>
        <w:tc>
          <w:tcPr>
            <w:tcW w:type="dxa" w:w="4320"/>
          </w:tcPr>
          <w:p>
            <w:r>
              <w:t>4 semanas (historial mínimo de 20 semanas por la ventana de Bollinger-20)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scikit-learn (LogisticRegression C=1.0, L2, class_weight=balanced + StandardScaler); pandas / numpy / joblib; xgboost solo para el reentrenamiento (compite con LogReg por Smart Score)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 (para DATAGIA)</w:t>
            </w:r>
          </w:p>
        </w:tc>
      </w:tr>
      <w:tr>
        <w:tc>
          <w:tcPr>
            <w:tcW w:type="dxa" w:w="4320"/>
          </w:tcPr>
          <w:p>
            <w:r>
              <w:t>Dataset de entrenamiento</w:t>
            </w:r>
          </w:p>
        </w:tc>
        <w:tc>
          <w:tcPr>
            <w:tcW w:type="dxa" w:w="4320"/>
          </w:tcPr>
          <w:p>
            <w:r>
              <w:t>Boletines semanales de precios del vino del MAPA (datos abiertos RISP), precio medio nacional del vino tinto a granel: 173 semanas válidas (ago-2022 a nov-2025), 150 observaciones con target; desarrollo 126 semanas y hold-out las últimas 24 (19/05/2025-27/10/2025)</w:t>
            </w:r>
          </w:p>
        </w:tc>
      </w:tr>
      <w:tr>
        <w:tc>
          <w:tcPr>
            <w:tcW w:type="dxa" w:w="4320"/>
          </w:tcPr>
          <w:p>
            <w:r>
              <w:t>Discrepancia memoria vs. artefacto</w:t>
            </w:r>
          </w:p>
        </w:tc>
        <w:tc>
          <w:tcPr>
            <w:tcW w:type="dxa" w:w="4320"/>
          </w:tcPr>
          <w:p>
            <w:r>
              <w:t>Ninguna en el modelo: la Tabla 6 (test) y las Tablas 4-5 (CV) se reproducen exactamente con los artefactos y el código entregados, y el reentrenamiento da coeficientes idénticos. Solo hay diferencias de forma: título 'RNN' frente a modelo servido LogReg, y errata en la accuracy media de CV (0,659 en la memoria; recalculada 0,660). Ver outputs/a13/verification_report.md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Fichero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ml_model.pkl</w:t>
            </w:r>
          </w:p>
        </w:tc>
        <w:tc>
          <w:tcPr>
            <w:tcW w:type="dxa" w:w="2880"/>
          </w:tcPr>
          <w:p>
            <w:r>
              <w:t>joblib / LogisticRegression</w:t>
            </w:r>
          </w:p>
        </w:tc>
        <w:tc>
          <w:tcPr>
            <w:tcW w:type="dxa" w:w="2880"/>
          </w:tcPr>
          <w:p>
            <w:r>
              <w:t>Clasificador de producción (C=1.0, L2, class_weight=balanced, max_iter=1000, random_state=42); serializado con scikit-learn 1.3.2 — 863 B</w:t>
            </w:r>
          </w:p>
        </w:tc>
      </w:tr>
      <w:tr>
        <w:tc>
          <w:tcPr>
            <w:tcW w:type="dxa" w:w="2880"/>
          </w:tcPr>
          <w:p>
            <w:r>
              <w:t>scaler.pkl</w:t>
            </w:r>
          </w:p>
        </w:tc>
        <w:tc>
          <w:tcPr>
            <w:tcW w:type="dxa" w:w="2880"/>
          </w:tcPr>
          <w:p>
            <w:r>
              <w:t>joblib / StandardScaler</w:t>
            </w:r>
          </w:p>
        </w:tc>
        <w:tc>
          <w:tcPr>
            <w:tcW w:type="dxa" w:w="2880"/>
          </w:tcPr>
          <w:p>
            <w:r>
              <w:t>Escalador ajustado sobre las 126 semanas de train+validación para las 6 features — 759 B</w:t>
            </w:r>
          </w:p>
        </w:tc>
      </w:tr>
      <w:tr>
        <w:tc>
          <w:tcPr>
            <w:tcW w:type="dxa" w:w="2880"/>
          </w:tcPr>
          <w:p>
            <w:r>
              <w:t>feature_schema.json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Orden de las 6 columnas de entrada (logret, distsma12, rsi14, bollingerpos, weeksin, weekcos), fórmulas y definición del target (umbral 0,025, ventana 4) — 1,3 KB</w:t>
            </w:r>
          </w:p>
        </w:tc>
      </w:tr>
      <w:tr>
        <w:tc>
          <w:tcPr>
            <w:tcW w:type="dxa" w:w="2880"/>
          </w:tcPr>
          <w:p>
            <w:r>
              <w:t>model_config.json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{"model_type": "logreg"} — tipo de modelo ganador del Smart Score; imprescindible para inferencia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Librería</w:t>
            </w:r>
          </w:p>
        </w:tc>
        <w:tc>
          <w:tcPr>
            <w:tcW w:type="dxa" w:w="4320"/>
          </w:tcPr>
          <w:p>
            <w:r>
              <w:t>Versión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1.3.2 en el entrenamiento original; servido con 1.5.2, pin del repo (InconsistentVersionWarning al deserializar, sin impacto numérico: probabilidades idénticas)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2.1.4 (requirements entregado); verificado con 3.0.6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1.24.3 (requirements entregado); verificado con 2.5.3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1.3.2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2.0.3 (solo para reentrenamiento; no se usa en inferencia con el artefacto entregado)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