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a15 · wine-ipi-price-forecast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ml15-wine-ipi-price-forecast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de predicción del Índice de Precios Fitosanitarios (IPI) nacional español para el sector vitivinícola, a seis meses vista (t+6), mediante una regresión Ridge (scikit-learn) sobre 16 variables autorregresivas, exógenas internacionales/financieras y estacionales, todas ya retardadas respecto al mes de origen. Es el único horizonte (de los cuatro evaluados: t+1, t+2, t+3, t+6) que supera de forma consistente el baseline de persistencia tanto en validación como en test hold-out.</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Regresión de serie temporal, horizonte fijo t+6 (direct multi-step forecasting)</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scikit-learn (Pipeline: StandardScaler + Ridge, alpha=25.0); pandas / numpy / joblib</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horizon_6_ridge.pkl (payload joblib: modelo + contrato de 16 feature_columns + metadatos de entrenamiento)</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con seis meses de antelación la evolución del IPI fitosanitario nacional (precios de medios de protección fitopatológica en viticultura), para dar soporte a la planificación de compras, la evaluación de riesgos de coste y la toma de decisiones de aprovisionamiento del sector vitivinícola bajo incertidumbre de mercado.</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se aportan las 16 variables del contrato del artefacto, o solo un subconjunto (incluso solo 'date') — el resto se deriva automáticamente desde 'date'/'origin_date' y un histórico de referencia bundled (retardos autorregresivos y exógenos, más las 4 variables de calendario) — y se obtiene la predicción del IPI nacional a 6 meses vista. Modo predict batch: acepta un CSV con el panel completo (una fila = una predicción ya calculada) o un histórico simple mensual (date/year+month + ipi_national_current, igual que data/input/ipi_history.csv del equipo de IA), fusionando todas sus filas en el histórico de referencia para derivar cada predicción. Cada predicción indica el valor real ya observado a 6 meses (si existe) y avisa (feature_status/feature_notes) cuando alguna variable exógena se ha completado con su último dato publicado. Modo train: reentrena desde cero un Pipeline StandardScaler+Ridge(alpha=25.0) con el procedimiento original del equipo de IA — test = últimos 13 meses del panel, validación = los 12 anteriores, entrenamiento con las filas cuyo objetivo cae antes de la validación — y evalúa en test frente a la persistencia; sobre el panel entregado reproduce exactamente el artefacto y sus métricas. El artefacto fijo servido en producción nunca se sobrescribe.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ipi_national_current</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(índice base 2020=100)</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Último IPI fitosanitario nacional observado en el mes de origen — ancla de la predicción</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se deriva del histórico de referencia bundled en 'date' si se omite; si se aporta, además sobrescribe ese histórico en esa fecha</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derivado del histórico de referencia</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ipi_national_lag_1 … ipi_national_lag_6</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(índice base 2020=100)</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IPI nacional observado entre 1 y 6 meses antes del mes de origen (6 retardos autorregresivos)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se derivan del histórico de referencia bundled a partir de 'date' si se omiten</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derivados del histórico de referencia</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chem_sector_lag_11, copper_lag_14, eur_usd_lag_17, oil_brent_lag_12, usa_lag_1</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(índice base 2020=100)</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Cinco variables exógenas retardadas: indicador sectorial químico, cobre, tipo de cambio EUR/USD, petróleo Brent y precios de pesticidas de EE. UU. — cada una con el retardo (en meses) que mostró mayor correlación anticipatoria en el análisis lead-lag del equipo de IA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se derivan del histórico de referencia bundled a partir de 'date' si se omiten</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derivados del histórico de referencia</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month_sin, month_cos, quarter, is_spring_risk</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 float / int / int(0-1)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Codificación estacional del mes de origen (ciclo anual, trimestre natural, riesgo fúngico primaveral abril-junio)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se derivan automáticamente si se aporta 'date'/'origin_date'</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derivadas de date/origin_date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date / origin_date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string (YYYY-MM-DD)</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Fecha de origen de la predicción — necesaria solo para derivar automáticamente las 4 variables de calendario si no se aportan ya calculadas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(si ya se aportan las 4 variables de calendario)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y_pred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(índice base 2020=100)</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IPI fitosanitario nacional predicho a horizonte t+6</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continuo, típicamente 80-135 (rango histórico observado del índice)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 esperado del índice nacional dentro de 6 meses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y_anchor</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ipi_national_current usado como ancla de referencia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igual rango que y_pred</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compárese con y_pred para estimar la variación porcentual esperada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origin_date / target_date / horizon</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date / date / int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Mes de origen, mes objetivo (origin_date + 6 meses) y horizonte en meses (siempre 6)</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target_date es el mes al que se refiere y_pred, no el mes de los datos de entrada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xai_feature_values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dict[str, 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Valores de las 16 features efectivamente usadas en la predicción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consumido por el servicio de explicabilidad para justificar la predicción</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hold-out (memoria, Tabla 4 — Ridge_alpha_25.0, t+6)</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RMSE=1,0396; MAE=0,9440; MAPE=0,7377%; R²=0,1751; MDA=100%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8 observaciones evaluables de enero a agosto 2025 (origin_date), único bloque con y_true ya disponible en la serie IPI nacional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se equivoca de media 0,94 puntos de índice; acierta el 100% de las veces la dirección del cambio respecto al último valor observado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Mejora frente a baseline de persistencia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 -54,04%; MAPE -54,88% (baseline RMSE=2,2619, MAPE=1,6350%)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models/metrics/final_evaluation.json — comparación frente a predecir simplemente el último valor observado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la mejora es sustancial y se mantiene tanto en validación (-5,90%) como en test, criterio central de selección del horizonte t+6</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Validación fija (memoria, Tabla 3 — criterio real de selección de modelo)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RMSE=1,2584; MAE=1,0595; MAPE=0,8495%; mejora RMSE vs. naive=-5,90%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12 observaciones, enero-diciembre 2024 — único horizonte (de t+1/t+2/t+3/t+6) donde un modelo aprendido mejora al baseline de persistencia en esta fase</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test nunca se usó para elegir la arquitectura; esta es la evidencia que motivó restringir el despliegue a t+6</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13/13 casos, coincidencia exacta (diferencia 0,0) contra el endpoint HTTP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Los 13 meses del split de test (data/splits/test/panel_test.csv) re-ejecutados contra /predict del plugin integrado — ver outputs/a15/verification_report.md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integrado reproduce exactamente el comportamiento del artefacto entregado; es fidelidad del wiring, no acierto adicional del modelo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histórico simple de IPI (corrección post-review)</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15/15 filas de data/input/ipi_history.csv, 0 errores, 13/13 coinciden con el golden dataset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El histórico mensual simple del equipo de IA (solo date+ipi_national_current, sin las 15 features restantes) ejecutado contra /predict batch real tras añadir la derivación automática desde el histórico de referencia bundled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confirma que el modo de entrada más simple para el usuario final (solo el valor actual del índice) funciona igual de bien que el panel técnico completo</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Nombre de directorio potencialmente engañoso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carpeta original entregada se llama 'a15-rnn-vitivinicola-...' y el glosario de la memoria incluye LSTM/GRU, pero el modelo productivo desplegado es una regresión Ridge lineal, no una red neuronal recurrente. No se ha podido confirmar si hubo una fase experimental con RNN descartada y no documentada.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Histórico de referencia bundled, no auto-actualizable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servicio reconstruye los retardos automáticamente (igual que el pipeline original) a partir de dos CSV de referencia empaquetados junto al modelo (snapshot hasta feb-2026/jun-2026). Para fechas posteriores al snapshot hace falta aportar 'ipi_national_current' explícitamente (o, en modo batch, que el propio CSV de entrada incluya esos meses). El snapshot no se refresca solo — requiere que el equipo de IA regenere y resuba los ficheros de referencia periódicamente.</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Capa regional contextual no incluida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memoria documenta una 'capa regional contextual' por Comunidad Autónoma (cruce con RECAN/IPC/clima) como salida informativa adicional a la predicción nacional. No está implementada en este plugin — solo se sirve la predicción nacional a t+6. Queda como decisión de alcance para una futura iteración.</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Bloque de evaluación reducido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Solo 8 de los 13 meses del test hold-out tienen valor real observado (los 5 restantes tienen fecha objetivo posterior al último dato disponible en la serie histórica, feb-2026). Las métricas de exactitud se apoyan en esas 8 observaciones — una muestra pequeña, como advierte la propia memoria.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R² modesto en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R² de test (0,175) es bajo en términos absolutos, aunque coherente con una serie muy persistente donde el baseline de persistencia obtiene R² negativo (-2,91). El MAPE (0,74%) y la mejora relativa frente al baseline son las métricas más informativas para este caso, no el R².</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Reentrenamiento restringido al esquema fijo de 16 columnas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código original del equipo de IA seleccionaba automáticamente cualquier columna numérica no excluida como feature al reentrenar. Este plugin restringe deliberadamente el reentrenamiento a las 16 columnas exactas del artefacto entregado, para evitar que un CSV de reentrenamiento introduzca columnas nuevas sin control. Por lo demás sigue el procedimiento original (splits por fecha, relleno de valores ausentes con 0 y evaluación en test frente a la persistencia); sobre el panel entregado el reentrenamiento reproduce el artefacto y las métricas de test de forma exacta.</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Solo CPU, sin GPU (regresión lineal regularizada sobre 16 features tabulares). Artefacto muy ligero (~3 KB). El artefacto se serializó con scikit-learn==1.8.0; cargarlo con otra versión genera avisos de compatibilidad (InconsistentVersionWarning) sin alterar el resultado numérico: con la versión desplegada en la plataforma (1.5.2) los 13 casos de test y las métricas oficiales se reproducen exactamente. No requiere conexión a red ni GPU en inferencia.</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data/splits/test/panel_test.csv (13 filas, enero 2025 - enero 2026)</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13 predicciones — 8 con valor real disponible (ene-ago 2025), 5 sin valor real aún (sep 2025-ene 2026, fecha objetivo posterior al último dato de la serie)</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predict inline sobre las 13 filas reproduce exactamente (diferencia 0,0) los 13 golden_cases del manifest, ejecutado contra el endpoint HTTP real del plugin integrado, no solo contra una llamada directa en Python</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a15 (</w:t>
    </w:r>
    <w:proofErr w:type="spellStart"/>
    <w:r>
      <w:rPr>
        <w:rFonts w:ascii="Liberalisation sans narrow" w:eastAsia="Liberalisation sans narrow" w:hAnsi="Liberalisation sans narrow" w:cs="Liberalisation sans narrow"/>
        <w:color w:val="000000"/>
      </w:rPr>
      <w:t xml:space="preserve">wine-ipi-price-forecast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