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a07 · cereals-grain-pest-detection</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ml7-cereals-grain-pest-detection</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1.0.0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Detector de objetos basado en red neuronal convolucional (YOLO de la librería ultralytics) para la detección temprana de infestaciones en grano de cereal almacenado. A partir de una imagen RGB, localiza los insectos presentes mediante cajas delimitadoras y los clasifica en 5 clases de plaga (cf, sz, rd, tc, os), devolviendo la especie dominante, su confianza, el recuento por especie, el detalle de cada detección y la imagen anotada. Inferencia solo en CPU.</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object_detection (detección de objetos multiclase sobre imagen)</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ultralytics (YOLO) sobre PyTorch; artefacto servido best.pt. La memoria describe la arquitectura entrenada como YOLO26n (variante nano, 260 capas, 2.505.750 parámetros, ~5,8 GFLOPs); el plugin la carga como checkpoint YOLO de ultralytics.</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best.pt (~5,3 MB) — checkpoint YOLO de ultralytics con las mejores métricas de validación. Cargado vía ArtifactStore (carpeta ml7_cereals_grain_pest_detection, local o S3). last.pt no se entrega.</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Anticipar la presencia de plagas de insectos en centros de almacenamiento de grano, donde la infestación puede provocar pérdidas del 10-40 % de la producción anual (pérdida de peso, de capacidad germinativa, rancidez y proliferación fúngica). Permite una vigilancia preventiva automatizada mediante análisis periódico de imágenes y la generación de alertas tempranas para intervenir antes de que la infestación se consolide.</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Modo predict inline: una imagen individual como ruta de fichero (image_path) o cadena base64 (image_base64); devuelve la especie dominante, confianza, recuento por especie, todas las detecciones y la imagen anotada. Modo predict batch: un directorio o fichero .zip de imágenes dentro del contenedor (data_path); devuelve una predicción por imagen (especie dominante, confianza, nº de detecciones y recuento por especie). El umbral de confianza puede sobrescribirse por petición (threshold). El reentrenamiento por usuario no está soportado (HTTP 501): el modelo sirve un artefacto entrenado externamente.</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mode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Discriminador de modo de /predict: 'inline' (una imagen) o 'batch' (carpeta/ZIP)</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inline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image_path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 None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Ruta a una imagen en disco (modo inline); extensiones .jpg/.jpeg/.png/.bmp/.tif/.tiff</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Uno de image_path / image_base64</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None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image_base64</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 | None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Imagen codificada en base64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Uno de image_path / image_base64</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None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threshold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 None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Umbral de confianza de detección; si no se indica se usa el valor por defecto del modelo (0,28)</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None (→0,28)</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Modo batch: ruta a un directorio o fichero .zip de imágenes dentro del contenedor</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mlflow_run_id</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Aceptado por contrato pero ignorado: el modelo no soporta reentrenamiento por usuario (train → HTTP 501)</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Código de la especie dominante (cf, sz, rd, tc, os) o 'none' si no hay detecciones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cf|sz|rd|tc|os|none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Plaga predominante en la imagen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confidence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Confianza máxima de la especie dominante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Fiabilidad de la detección principal</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total_detections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int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Número total de insectos detectados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 0</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Magnitud de la presencia de plaga en la imagen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species_counts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Recuento de detecciones por especie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{especie: conteo}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Reparto por tipo de plaga</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detections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[inline] Lista con class, class_name, confidence y bbox [x1,y1,x2,y2] por detección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Detalle por caja para revisión o anotación</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annotated_image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 (base64)</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[inline] Imagen JPEG en base64 con las cajas dibujadas</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Permite validar visualmente las detecciones</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predictions</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list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[batch] Una entrada por imagen con filename, prediction, confidence, total_detections y species_counts (sin detections ni imagen anotada)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0..N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Resultado agregado del lote</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IDP = mAP@0,5 (global,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KPI principal declarado en la memoria; media del AP por clase con IoU ≥ 0,5 sobre el conjunto de test (2.700 imágenes, 4.090 instancias). Métrica declarada en la memoria, sin 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supera el criterio de aceptación (&gt; 0,8) y se sitúa en el rango 80-90 % reportado en la literatura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Precision (global,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0,84</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Proporción de cajas predichas correctas sobre el conjunto de test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de cada 100 detecciones, ~84 corresponden a insectos reales de la clase indicada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Recall (global,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0,81</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Proporción de insectos reales correctamente detectados sobre el conjunto de test (declarada en la memoria)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modelo localiza ~81 de cada 100 insectos presentes</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mAP@0,5 por clase (rango, detección)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0,84 (cf) – 0,95 (os)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cf 0,84 / os 0,95 / rd 0,87 / sz 0,88 / tc 0,88 (memoria, Tabla 7). Métrica declarada, sin verificación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Cryptolestes ferrugineus es la clase más difícil; Oryzaephilus surinamensis la más fiable</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Precision / Recall (global, clasificación)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0,71 / 0,87</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Métricas a nivel de clasificación de especie (sin localización), derivadas de la matriz de confusión sobre el test (memoria, Tabla 8)</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buena sensibilidad global; la precisión baja por confusiones entre especies morfológicamente similares</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Conjunto cerrado de 5 especies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modelo solo reconoce las plagas incluidas en el dataset de entrenamiento (cf, sz, rd, tc, os; sz agrupa Sitophilus zeamais y Sitophilus oryzae). Ante una especie no vista, puede no detectarla o asignarla erróneamente a una clase conocida (closed-set classification). Ampliar la cobertura exige nuevas imágenes anotadas y reentrenamiento/fine-tuning.</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Objetos de tamaño muy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Aproximadamente la mitad de las instancias miden menos de 42×42 px sobre imágenes de 512×512, con un área media de bounding box ~1.718 px. Ello dificulta la extracción de características y degrada las métricas, de forma más acusada en Cryptolestes ferrugineus y Rhyzopertha dominica.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Fuente de datos única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Se entrena y valida sobre una única fuente pública (Pestdataset, porción procesada del dataset de Li et al. 2024 vía Tian et al. 2025), con 17.999 imágenes reales de cámaras de almacenamiento tras limpieza. Aunque son datos reales (no sintéticos), la representatividad taxonómica y de condiciones queda acotada a ese conjunto.</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Entrenamiento en GPU, inferencia en CPU</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entrenamiento requirió GPU (CUDA, ~6-8 h en RTX 4070). En esta integración la inferencia está fijada a CPU (_DEVICE='cpu'); es adecuada para imágenes individuales o lotes pequeños, pero el throughput en lotes grandes es limitado sin GPU.</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Nombre de clase 'sz' simplificado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plugin muestra la clase sz como 'Sitophilus spp.', mientras que la memoria la define como 'Sitophilus zeamais / Sitophilus oryzae' agrupadas por similitud morfológica; ambas referencias designan la misma clase.</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Inferencia solo CPU (_DEVICE='cpu'); ultralytics importado de forma perezosa. Artefacto best.pt (~5,3 MB) cargado vía ArtifactStore (local artifacts/ o S3), nunca commiteado a git. Entrada RGB reescalada internamente por ultralytics (resolución nativa del dataset 512×512, tensor (3,512,512)); imagen anotada limitada a 640 px y JPEG calidad 70. Entorno de desarrollo: Python 3.10.11, torch/torchvision, ultralytics, opencv-python, numpy, pandas (PyTorch con CUDA solo para entrenamiento). El umbral por defecto CONF_THRESHOLD=0,28 se calibró para minimizar falsos positivos sin comprometer recall; es sobrescribible por petición. train() responde HTTP 501 (artefacto externo). metrics={} en el endpoint stats.</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No documentado en la entrega como golden dataset versionado. La memoria referencia el conjunto de test del split hold-out del Pestdataset (data/splits) y el pipeline de inferencia scripts/predict.py.</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Conjunto de test declarado en la memoria: 2.700 imágenes, 4.090 instancias etiquetadas (partición estratificada 70/15/15, semilla 42).</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Según la memoria, la evaluación sobre el test alcanza mAP@0,5 global de 0,87 (P 0,84 / R 0,81). No se ejecutó verificación de correctitud post-integración contra golden dataset en esta entrega (no existe verification_report.md).</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a07 (</w:t>
    </w:r>
    <w:proofErr w:type="spellStart"/>
    <w:r>
      <w:rPr>
        <w:rFonts w:ascii="Liberalisation sans narrow" w:eastAsia="Liberalisation sans narrow" w:hAnsi="Liberalisation sans narrow" w:cs="Liberalisation sans narrow"/>
        <w:color w:val="000000"/>
      </w:rPr>
      <w:t xml:space="preserve">cereals-grain-pest-detection</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