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717150">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717150">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71715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71715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a14 · wine-phyto-price-forecast</w:t>
      </w:r>
    </w:p>
    <w:p w14:paraId="51DA5B40" w14:textId="77777777" w:rsidR="00CE24DC" w:rsidRDefault="0071715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71715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Septiembre 2026</w:t>
      </w:r>
    </w:p>
    <w:p w14:paraId="27FF289D" w14:textId="77777777" w:rsidR="00CE24DC" w:rsidRDefault="00717150">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717150"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71715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717150">
            <w:r>
              <w:t>Modelo de predicción semanal del índice MAPA de precios de protección fitosanitaria (sector vitivinícola, base 2020=100) a 16 semanas vista, mediante una red GRU (PyTorch, 2 capas, 64 unidades ocultas) que predice un residual sobre un baseline lineal de drift y reconstruye el precio en escala original. Es el artefacto y la evaluación oficialmente aprobados por el equipo de IA: en el test reportado, el GRU supera al baseline lineal de Drift.</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71715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717150">
            <w:r>
              <w:t>Anticipar con 16 semanas de antelación la evolución del índice nacional de precios de protección fitosanitaria, para dar soporte a la planificación de compras y a la evaluación de riesgo de coste del sector vitivinícola. En la evaluación de test reportada por el equipo de IA, el modelo GRU mejora de forma clara sobre el baseline de tendencia simple (Drift) y sobre no hacer ningún cambio (Naive).</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71715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717150">
            <w:r>
              <w:t xml:space="preserve">Modo predict inline y predict batch (idéntico cálculo, solo cambia el transporte del histórico — JSON o CSV): se aporta un histórico semanal continuo (frecuencia domingo, sin huecos ni duplicados) de al menos 24 semanas con 6 variables base (índice de protección fitosanitaria, carburantes, cobre, gas, petróleo Brent, tipo de cambio EUR/USD); el servicio deriva automáticamente las 39 features (estacionalidad, retardos de 4/8/12 semanas, medias móviles de 4/8 semanas, diferencia mensual) y devuelve el precio </w:t>
            </w:r>
            <w:r>
              <w:t>predicho a 16 semanas, el precio actual y el baseline de drift de referencia. También admite reentrenamiento por usuario (/train): con un histórico semanal propio repite el procedimiento del equipo de IA para la GRU y guarda el modelo resultante en MLflow, sin sustituir nunca el modelo base.</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717150" w:rsidP="00BB2B0B">
      <w:pPr>
        <w:jc w:val="both"/>
      </w:pPr>
      <w:r>
        <w:t>El modelo no predice precios por Comunidad Autónoma ni por explotación individual, solo el índice nacional. No explica por sí mismo la causa de la subida o bajada prevista, ni incorpora eventos futuros conocidos (cambios regulatorios, roturas de stock) que no estén ya reflejados en la tendencia histórica.</w:t>
      </w:r>
    </w:p>
    <w:p w14:paraId="0B3A0E33" w14:textId="77777777" w:rsidR="00CE24DC" w:rsidRDefault="00CE24DC"/>
    <w:p w14:paraId="4D3F6144" w14:textId="77777777" w:rsidR="00CE24DC" w:rsidRDefault="00717150" w:rsidP="00BB2B0B">
      <w:pPr>
        <w:pStyle w:val="Heading1"/>
        <w:jc w:val="left"/>
      </w:pPr>
      <w:bookmarkStart w:id="4" w:name="_Toc233976910"/>
      <w:r>
        <w:lastRenderedPageBreak/>
        <w:t>2. Qué necesito darle (entradas)</w:t>
      </w:r>
      <w:bookmarkEnd w:id="4"/>
    </w:p>
    <w:p w14:paraId="5D23DC51" w14:textId="43C7F867" w:rsidR="00BB2B0B" w:rsidRDefault="00BB2B0B" w:rsidP="00BB2B0B">
      <w:pPr>
        <w:jc w:val="both"/>
      </w:pPr>
      <w:r>
        <w:t>Los datos de entrada son índices y precios ya procesados de fuentes oficiales (MAPA para el índice de protección fitosanitaria y carburantes; FRED/IMF/EIA para cobre, gas, petróleo y tipo de cambio), agregados a frecuencia semanal — no son mediciones directas de sensor ni formularios rellenados por el usuario final.</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71715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717150">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717150">
            <w:r>
              <w:t>rows (histórico semanal, mínimo 24 filas)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717150">
            <w:r>
              <w:t>Cada fila: date (YYYY-MM-DD, domingo), PROTECCION_FITO, CARBURANTES, COPPER_EUR_TON, GAS_EUR_MMBTU, COIL_EUR_BARRIL, DEXUSEU — todas índices/precios base 2020=100 o unidad de mercado (EUR/tonelada, EUR/MMBtu, EUR/barril, USD/EUR)</w:t>
            </w:r>
          </w:p>
        </w:tc>
      </w:tr>
      <w:tr w:rsidR="00CE24DC" w14:paraId="7483797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31B2DF2" w14:textId="77777777" w:rsidR="00CE24DC" w:rsidRPr="00B71B94" w:rsidRDefault="00717150">
            <w:pPr>
              <w:rPr>
                <w:lang w:val="en-US"/>
              </w:rPr>
            </w:pPr>
            <w:r w:rsidRPr="00B71B94">
              <w:rPr>
                <w:lang w:val="en-US"/>
              </w:rPr>
              <w:t>MONTH, MONTH_SIN, MONTH_COS, *_LAG_{4,8,12}, *_MA_{4,8}, *_DIFF_MONTH (39 features totales)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BE5303" w14:textId="77777777" w:rsidR="00CE24DC" w:rsidRDefault="00717150">
            <w:r>
              <w:t>Variables derivadas automáticamente del histórico aportado (estacionalidad, retardos autorregresivos, medias móviles, diferencia mensual) — nunca se piden al cliente</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717150"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71715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71715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717150">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717150">
            <w:r>
              <w:t>predicted_price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717150">
            <w:r>
              <w:t>PROTECCION_FITO predicho a 16 semanas vista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717150">
            <w:r>
              <w:t>valor esperado del índice nacional dentro de 16 semanas; comparar con current_price y drift_baseline</w:t>
            </w:r>
          </w:p>
        </w:tc>
      </w:tr>
      <w:tr w:rsidR="00CE24DC" w14:paraId="528BD72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D7F98F" w14:textId="77777777" w:rsidR="00CE24DC" w:rsidRDefault="00717150">
            <w:r>
              <w:t>current_price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8DE4A6" w14:textId="77777777" w:rsidR="00CE24DC" w:rsidRDefault="00717150">
            <w:r>
              <w:t>PROTECCION_FITO de la última fila del histórico aportado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899E53" w14:textId="77777777" w:rsidR="00CE24DC" w:rsidRDefault="00717150">
            <w:r>
              <w:t>ancla de referencia inmediata</w:t>
            </w:r>
          </w:p>
        </w:tc>
      </w:tr>
      <w:tr w:rsidR="00CE24DC" w14:paraId="181ECD7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CAD175" w14:textId="77777777" w:rsidR="00CE24DC" w:rsidRDefault="00717150">
            <w:r>
              <w:t>drift_baseline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D255DC" w14:textId="77777777" w:rsidR="00CE24DC" w:rsidRDefault="00717150">
            <w:r>
              <w:t xml:space="preserve">Baseline lineal simple (extrapolación de la tendencia mensual reciente) — la referencia frente a la que el </w:t>
            </w:r>
            <w:r>
              <w:lastRenderedPageBreak/>
              <w:t>GRU sí mejora en el test reportado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34C964" w14:textId="77777777" w:rsidR="00CE24DC" w:rsidRDefault="00717150">
            <w:r>
              <w:lastRenderedPageBreak/>
              <w:t xml:space="preserve">la diferencia entre predicted_price y drift_baseline es la corrección que aporta el modelo aprendido </w:t>
            </w:r>
            <w:r>
              <w:lastRenderedPageBreak/>
              <w:t>sobre la simple extrapolación de tendencia</w:t>
            </w:r>
          </w:p>
        </w:tc>
      </w:tr>
      <w:tr w:rsidR="00CE24DC" w14:paraId="019F550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BCC9F5" w14:textId="77777777" w:rsidR="00CE24DC" w:rsidRPr="00B71B94" w:rsidRDefault="00717150">
            <w:pPr>
              <w:rPr>
                <w:lang w:val="en-US"/>
              </w:rPr>
            </w:pPr>
            <w:r w:rsidRPr="00B71B94">
              <w:rPr>
                <w:lang w:val="en-US"/>
              </w:rPr>
              <w:t>horizon_weeks / last_observed_date / prediction_date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9CAEA6" w14:textId="77777777" w:rsidR="00CE24DC" w:rsidRDefault="00717150">
            <w:r>
              <w:t>Horizonte (siempre 16), última fecha del histórico y fecha objetivo de la predicción (last_observed_date + 16 semanas)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E4C67C" w14:textId="77777777" w:rsidR="00CE24DC" w:rsidRDefault="00717150">
            <w:r>
              <w:t>prediction_date es la fecha a la que se refiere predicted_price, no la fecha de ejecución</w:t>
            </w:r>
          </w:p>
        </w:tc>
      </w:tr>
      <w:tr w:rsidR="00CE24DC" w14:paraId="316DEF7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8D6FB7" w14:textId="77777777" w:rsidR="00CE24DC" w:rsidRDefault="00717150">
            <w:r>
              <w:t>gap_warning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03A396" w14:textId="77777777" w:rsidR="00CE24DC" w:rsidRDefault="00717150">
            <w:r>
              <w:t>Aviso si el histórico aportado está desactualizado respecto a la fecha de ejecución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A78A35" w14:textId="77777777" w:rsidR="00CE24DC" w:rsidRDefault="00717150">
            <w:r>
              <w:t>si no es null, la predicción se basa en datos que ya no reflejan la semana actual</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717150" w:rsidP="00BB2B0B">
      <w:pPr>
        <w:pStyle w:val="Heading1"/>
        <w:jc w:val="left"/>
      </w:pPr>
      <w:bookmarkStart w:id="10" w:name="_Toc233976912"/>
      <w:r>
        <w:t>4. Cómo leo el resultado</w:t>
      </w:r>
      <w:bookmarkEnd w:id="10"/>
    </w:p>
    <w:p w14:paraId="68FE0EAC" w14:textId="77777777" w:rsidR="00CE24DC" w:rsidRDefault="00717150" w:rsidP="00BB2B0B">
      <w:pPr>
        <w:jc w:val="both"/>
      </w:pPr>
      <w:r>
        <w:t>Si el sistema recibe un histórico cuya última semana tiene un índice de 125,0 y predice 121,4 para 16 semanas después, mientras que el baseline de tendencia simple (drift_baseline) apuntaba a 117,7, la diferencia entre predicted_price y drift_baseline (3,7 puntos) es la corrección que aporta el modelo aprendido sobre limitarse a extrapolar la tendencia — una corrección que, según la evaluación de test, mejora la precisión frente a esa tendencia simple.</w:t>
      </w:r>
    </w:p>
    <w:p w14:paraId="7585C801" w14:textId="77777777" w:rsidR="00CE24DC" w:rsidRDefault="00CE24DC" w:rsidP="00BB2B0B">
      <w:pPr>
        <w:jc w:val="both"/>
      </w:pPr>
    </w:p>
    <w:p w14:paraId="2856C14E" w14:textId="77777777" w:rsidR="00CE24DC" w:rsidRDefault="00717150" w:rsidP="00BB2B0B">
      <w:pPr>
        <w:jc w:val="both"/>
      </w:pPr>
      <w:r>
        <w:t>En la evaluación de test reportada (211 semanas), el modelo se equivoca de media unos 1,70 puntos de índice — menos que extrapolar simplemente la tendencia reciente sin ningún modelo aprendido (esa alternativa se equivoca de media 1,94 puntos). Es decir: el modelo aprendido sí aporta una mejora de precisión medible frente a la regla simple, con una exactitud direccional (acertar si sube o baja) del 77,7%.</w:t>
      </w:r>
    </w:p>
    <w:p w14:paraId="23429964" w14:textId="77777777" w:rsidR="00CE24DC" w:rsidRDefault="00CE24DC"/>
    <w:p w14:paraId="4D0352D1" w14:textId="77777777" w:rsidR="00CE24DC" w:rsidRPr="00BB2B0B" w:rsidRDefault="00717150" w:rsidP="00BB2B0B">
      <w:pPr>
        <w:pStyle w:val="Heading1"/>
        <w:jc w:val="left"/>
      </w:pPr>
      <w:bookmarkStart w:id="11" w:name="_Toc233976913"/>
      <w:r>
        <w:t>5. Cuándo debo revisar manualmente</w:t>
      </w:r>
      <w:bookmarkEnd w:id="11"/>
    </w:p>
    <w:p w14:paraId="2053022C" w14:textId="77777777" w:rsidR="00CE24DC" w:rsidRDefault="00717150">
      <w:r>
        <w:t>•  Predicciones emitidas en periodos de shock de mercado, cambio regulatorio o geopolítico repentino en insumos agroquímicos — el modelo aprende de la dinámica histórica y no anticipa rupturas de esa dinámica.</w:t>
      </w:r>
    </w:p>
    <w:p w14:paraId="61897F40" w14:textId="77777777" w:rsidR="00CE24DC" w:rsidRDefault="00717150">
      <w:r>
        <w:lastRenderedPageBreak/>
        <w:t>•  Cualquier histórico aportado con gap_warning distinto de null — indica que los datos de entrada ya están desactualizados respecto a la fecha de ejecución.</w:t>
      </w:r>
    </w:p>
    <w:p w14:paraId="72E3A937" w14:textId="77777777" w:rsidR="00CE24DC" w:rsidRDefault="00717150">
      <w:r>
        <w:t>•  Predicciones fuera del rango histórico de entrenamiento (2005-2025) — son extrapolaciones no validadas.</w:t>
      </w:r>
    </w:p>
    <w:p w14:paraId="04A0CF39" w14:textId="77777777" w:rsidR="00CE24DC" w:rsidRDefault="00CE24DC"/>
    <w:p w14:paraId="283A7D53" w14:textId="77777777" w:rsidR="00CE24DC" w:rsidRPr="00BB2B0B" w:rsidRDefault="00717150" w:rsidP="00BB2B0B">
      <w:pPr>
        <w:pStyle w:val="Heading1"/>
        <w:jc w:val="left"/>
      </w:pPr>
      <w:bookmarkStart w:id="12" w:name="_Toc233976914"/>
      <w:r>
        <w:t>6. Qué no hace el modelo</w:t>
      </w:r>
      <w:bookmarkEnd w:id="12"/>
    </w:p>
    <w:p w14:paraId="36E72011" w14:textId="77777777" w:rsidR="00CE24DC" w:rsidRDefault="00717150">
      <w:r>
        <w:t>•  No sustituye el criterio experto de compras, y menos aún ante episodios de mercado extraordinarios.</w:t>
      </w:r>
    </w:p>
    <w:p w14:paraId="22DFA38F" w14:textId="77777777" w:rsidR="00CE24DC" w:rsidRDefault="00717150">
      <w:r>
        <w:t>•  No predice precios oficiales por Comunidad Autónoma ni por explotación — solo el índice nacional.</w:t>
      </w:r>
    </w:p>
    <w:p w14:paraId="78927319" w14:textId="77777777" w:rsidR="00CE24DC" w:rsidRDefault="00717150">
      <w:r>
        <w:t>•  No sustituye automáticamente el modelo base al reentrenar: el modelo reentrenado solo se usa si se indica su run de MLflow.</w:t>
      </w:r>
    </w:p>
    <w:p w14:paraId="2556713B" w14:textId="77777777" w:rsidR="00CE24DC" w:rsidRDefault="00717150">
      <w:r>
        <w:t>•  No garantiza que el precio real coincida con la predicción; es una estimación con margen de error medido, no un compromiso.</w:t>
      </w:r>
    </w:p>
    <w:p w14:paraId="3A0ADEDC" w14:textId="77777777" w:rsidR="00CE24DC" w:rsidRDefault="00CE24DC"/>
    <w:p w14:paraId="4E1464CE" w14:textId="77777777" w:rsidR="00CE24DC" w:rsidRPr="00BB2B0B" w:rsidRDefault="00717150" w:rsidP="00BB2B0B">
      <w:pPr>
        <w:pStyle w:val="Heading1"/>
        <w:jc w:val="left"/>
      </w:pPr>
      <w:bookmarkStart w:id="13" w:name="_Toc233976915"/>
      <w:r>
        <w:t>7. Puede equivocarse</w:t>
      </w:r>
      <w:bookmarkEnd w:id="13"/>
    </w:p>
    <w:p w14:paraId="7F6C063A" w14:textId="77777777" w:rsidR="00CE24DC" w:rsidRDefault="00717150">
      <w:r>
        <w:t>Sí. En la evaluación de test reportada se equivoca de media unos 1,70 puntos de índice (MAPE 1,39%), una mejora clara frente a extrapolar simplemente la tendencia reciente, con un 77,7% de acierto direccional. Debe usarse como apoyo a la planificación de compras y a la evaluación de riesgo, nunca como sustituto del criterio experto ante cambios bruscos del mercado, shocks regulatorios o fallos en la actualización de las fuentes de datos.</w:t>
      </w:r>
    </w:p>
    <w:p w14:paraId="6E37E5A4" w14:textId="77777777" w:rsidR="00CE24DC" w:rsidRDefault="00CE24DC"/>
    <w:p w14:paraId="7171A71B" w14:textId="77777777" w:rsidR="00CE24DC" w:rsidRPr="00BB2B0B" w:rsidRDefault="00717150"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71715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71715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717150">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717150">
            <w:r>
              <w:t>Criterio de aceptación del proyecto: RMSE del modelo seleccionado &lt; RMSE del baseline de Drift, en test</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717150">
            <w:r>
              <w:t>RMSE_GRU &lt; RMSE_Drift</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717150">
            <w:r>
              <w:t>CUMPLE. RMSE GRU=2,2873 frente a RMSE Drift=2,5406 -- una mejora del 10,0%.</w:t>
            </w:r>
          </w:p>
        </w:tc>
      </w:tr>
      <w:tr w:rsidR="00CE24DC" w14:paraId="71AB9761"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042B4B0" w14:textId="77777777" w:rsidR="00CE24DC" w:rsidRDefault="00717150">
            <w:r>
              <w:lastRenderedPageBreak/>
              <w:t>Selección de mejor arquitectura entre GRU/LSTM/XGBoost</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1A65A8" w14:textId="77777777" w:rsidR="00CE24DC" w:rsidRDefault="00717150">
            <w:r>
              <w:t>El modelo servido debe tener el menor RMSE de test entre las arquitecturas comparadas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BAADD6" w14:textId="77777777" w:rsidR="00CE24DC" w:rsidRDefault="00717150">
            <w:r>
              <w:t>CUMPLE. El GRU obtuvo el menor RMSE de test (2,2873 frente a 2,2983 LSTM y 3,3076 XGBoost).</w:t>
            </w:r>
          </w:p>
        </w:tc>
      </w:tr>
      <w:tr w:rsidR="00CE24DC" w14:paraId="5A46D4E7"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DB4FD1" w14:textId="77777777" w:rsidR="00CE24DC" w:rsidRDefault="00717150">
            <w:r>
              <w:t>Acierto direccional (sube/baja) en test</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91F758" w14:textId="77777777" w:rsidR="00CE24DC" w:rsidRDefault="00717150">
            <w:r>
              <w:t>Sin umbral contractual explícito -- referencia de calidad complementaria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CAAC74" w14:textId="77777777" w:rsidR="00CE24DC" w:rsidRDefault="00717150">
            <w:r>
              <w:t>77,7% para el GRU frente a 72,0% del baseline de Drift -- también mejor en esta métrica secundaria.</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717150"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71715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717150">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717150">
            <w:r>
              <w:t>Evaluación con un único split temporal (sin partición de validación separada)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717150">
            <w:r>
              <w:t xml:space="preserve">Esta entrega evalúa arquitecturas y reporta el resultado final sobre el mismo split de test (80/20), sin una fase de validación previa aislada del test. Existe una copia distinta y no oficial de este mismo código (no confirmada como aprobada por el equipo de IA) que identificaba esto como una posible fuga de datos entre selección de arquitectura y evaluación, y que, con un protocolo corregido, obtenía un resultado distinto (un modelo que no superaba a Drift). Esa auditoría no se ha podido contrastar con el </w:t>
            </w:r>
            <w:r>
              <w:t>equipo de IA y no forma parte de la entrega aprobada -- se deja constancia de su existencia por transparencia, sin que determine el estado de aceptación de este modelo.</w:t>
            </w:r>
          </w:p>
        </w:tc>
      </w:tr>
      <w:tr w:rsidR="00CE24DC" w14:paraId="3A3CD9C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6277EF" w14:textId="77777777" w:rsidR="00CE24DC" w:rsidRDefault="00717150">
            <w:r>
              <w:t>Reentrenamiento: requisitos y alcance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9FF9BE" w14:textId="77777777" w:rsidR="00CE24DC" w:rsidRDefault="00717150">
            <w:r>
              <w:t>El reentrenamiento por usuario repite el procedimiento del equipo de IA para la GRU (split temporal 80/20, 3 semillas, se guarda la de la semilla 42) con un histórico semanal en el formato del dataset de modelado o con las series en bruto. Como en el original, la parada temprana se decide sobre el propio periodo de test, así que sus métricas de test son optimistas. El modelo reentrenado solo se guarda en MLflow y se usa indicando su run; el modelo base no cambia.</w:t>
            </w:r>
          </w:p>
        </w:tc>
      </w:tr>
      <w:tr w:rsidR="00CE24DC" w14:paraId="20E7AB6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7B3C0C" w14:textId="77777777" w:rsidR="00CE24DC" w:rsidRDefault="00717150">
            <w:r>
              <w:t>Reajuste de escaladores en caliente, no un artefacto congelado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BB7E43" w14:textId="77777777" w:rsidR="00CE24DC" w:rsidRDefault="00717150">
            <w:r>
              <w:t>Esta entrega no incluye ningún escalador serializado -- el propio código original reajusta (fit) los escaladores de entrada/objetivo desde el dataset de entrenamiento bundled en cada predicción. Este servicio replica exactamente ese comportamiento, empaquetando el mismo dataset de referencia junto al modelo.</w:t>
            </w:r>
          </w:p>
        </w:tc>
      </w:tr>
      <w:tr w:rsidR="00CE24DC" w14:paraId="185681D2"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A67650" w14:textId="77777777" w:rsidR="00CE24DC" w:rsidRDefault="00717150">
            <w:r>
              <w:lastRenderedPageBreak/>
              <w:t>Dependencia de fuentes de datos externas y su continuidad</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15BF3D" w14:textId="77777777" w:rsidR="00CE24DC" w:rsidRDefault="00717150">
            <w:r>
              <w:t>Las variables de entrada dependen de la publicación continuada de los índices MAPA (protección fitosanitaria, carburantes) y de las series FRED/IMF/EIA (cobre, gas, petróleo, tipo de cambio). Un cambio de metodología o una interrupción en cualquiera de esas fuentes no está contemplado por el modelo.</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BFB6" w14:textId="77777777" w:rsidR="00717150" w:rsidRDefault="00717150">
      <w:pPr>
        <w:spacing w:after="0" w:line="240" w:lineRule="auto"/>
      </w:pPr>
      <w:r>
        <w:separator/>
      </w:r>
    </w:p>
  </w:endnote>
  <w:endnote w:type="continuationSeparator" w:id="0">
    <w:p w14:paraId="73941360" w14:textId="77777777" w:rsidR="00717150" w:rsidRDefault="00717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CD6FA195-E706-4076-98E4-653123746090}"/>
    <w:embedBold r:id="rId2" w:fontKey="{41B8D54E-7B70-40FA-A52C-945E220E5881}"/>
    <w:embedBoldItalic r:id="rId3" w:fontKey="{E34F219F-A800-40F1-8D71-4D192C8A0AE3}"/>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07E5C5FD-5001-4541-94C0-41EF83ABDD09}"/>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9A9CBF88-08CC-4F97-B379-30DE6BE6D767}"/>
    <w:embedBold r:id="rId6" w:fontKey="{1D439B6B-64D7-475C-A9BE-AB8C06B3BF86}"/>
  </w:font>
  <w:font w:name="DM Sans">
    <w:charset w:val="00"/>
    <w:family w:val="auto"/>
    <w:pitch w:val="variable"/>
    <w:sig w:usb0="8000002F" w:usb1="5000205B" w:usb2="00000000" w:usb3="00000000" w:csb0="00000093" w:csb1="00000000"/>
    <w:embedRegular r:id="rId7" w:fontKey="{23DA45B3-4214-42F1-B1F9-FD4D4242E5F9}"/>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71715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71715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71715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C3C75" w14:textId="77777777" w:rsidR="00717150" w:rsidRDefault="00717150">
      <w:pPr>
        <w:spacing w:after="0" w:line="240" w:lineRule="auto"/>
      </w:pPr>
      <w:r>
        <w:separator/>
      </w:r>
    </w:p>
  </w:footnote>
  <w:footnote w:type="continuationSeparator" w:id="0">
    <w:p w14:paraId="3D592589" w14:textId="77777777" w:rsidR="00717150" w:rsidRDefault="00717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71715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71715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71715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a14 (</w:t>
    </w:r>
    <w:proofErr w:type="spellStart"/>
    <w:r>
      <w:rPr>
        <w:rFonts w:ascii="Liberalisation sans narrow" w:eastAsia="Liberalisation sans narrow" w:hAnsi="Liberalisation sans narrow" w:cs="Liberalisation sans narrow"/>
        <w:color w:val="000000"/>
      </w:rPr>
      <w:t>wine-phyto-price-forecast</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71715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28332D"/>
    <w:rsid w:val="004B6D60"/>
    <w:rsid w:val="00717150"/>
    <w:rsid w:val="00AC1ABC"/>
    <w:rsid w:val="00B67A53"/>
    <w:rsid w:val="00B71B94"/>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1486</Words>
  <Characters>8176</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2026-10-13T11:35:00Z</cp:lastPrinted>
  <dcterms:created xsi:type="dcterms:W3CDTF">2026-07-03T11:22:00Z</dcterms:created>
  <dcterms:modified xsi:type="dcterms:W3CDTF">2026-10-13T11:35:00Z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